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F3CED" w14:textId="6C322A5A" w:rsidR="003B481B" w:rsidRPr="000B4E0A" w:rsidRDefault="00CA28AB" w:rsidP="00B71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8AB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-1969434381"/>
          <w:placeholder>
            <w:docPart w:val="EB863EF0B414455CB62FCA1B599810C7"/>
          </w:placeholder>
        </w:sdtPr>
        <w:sdtEndPr/>
        <w:sdtContent>
          <w:r w:rsidR="00123FEF">
            <w:rPr>
              <w:rFonts w:ascii="Times New Roman" w:hAnsi="Times New Roman" w:cs="Times New Roman"/>
              <w:b/>
              <w:bCs/>
              <w:sz w:val="24"/>
              <w:szCs w:val="24"/>
            </w:rPr>
            <w:t>"</w:t>
          </w:r>
          <w:r w:rsidR="00901866">
            <w:rPr>
              <w:rFonts w:ascii="Times New Roman" w:hAnsi="Times New Roman" w:cs="Times New Roman"/>
              <w:b/>
              <w:bCs/>
              <w:sz w:val="24"/>
              <w:szCs w:val="24"/>
            </w:rPr>
            <w:t>N</w:t>
          </w:r>
          <w:r w:rsidR="00123FEF" w:rsidRPr="00123FEF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oziedzīgi iegūtu līdzekļu legalizācijas un terorisma un </w:t>
          </w:r>
          <w:proofErr w:type="spellStart"/>
          <w:r w:rsidR="00123FEF" w:rsidRPr="00123FEF">
            <w:rPr>
              <w:rFonts w:ascii="Times New Roman" w:hAnsi="Times New Roman" w:cs="Times New Roman"/>
              <w:b/>
              <w:bCs/>
              <w:sz w:val="24"/>
              <w:szCs w:val="24"/>
            </w:rPr>
            <w:t>proliferācijas</w:t>
          </w:r>
          <w:proofErr w:type="spellEnd"/>
          <w:r w:rsidR="00123FEF" w:rsidRPr="00123FEF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finansēšanas riska pārvaldīšan</w:t>
          </w:r>
          <w:r w:rsidR="00901866">
            <w:rPr>
              <w:rFonts w:ascii="Times New Roman" w:hAnsi="Times New Roman" w:cs="Times New Roman"/>
              <w:b/>
              <w:bCs/>
              <w:sz w:val="24"/>
              <w:szCs w:val="24"/>
            </w:rPr>
            <w:t>as noteikumi</w:t>
          </w:r>
        </w:sdtContent>
      </w:sdt>
      <w:r w:rsidR="00123FE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3B481B" w:rsidRPr="00CA28AB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p w14:paraId="01311842" w14:textId="77777777" w:rsidR="003B481B" w:rsidRPr="000B4E0A" w:rsidRDefault="003B481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9"/>
      </w:tblGrid>
      <w:tr w:rsidR="000B4E0A" w:rsidRPr="000B4E0A" w14:paraId="7CC85CC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37C4C61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628B0C1D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B5CA8E7" w14:textId="6CFE1AC3" w:rsidR="00E53DE9" w:rsidRPr="00901866" w:rsidRDefault="00FC70C7" w:rsidP="000B4E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alias w:val="Nosaukums"/>
                <w:tag w:val="Nosaukums"/>
                <w:id w:val="512190232"/>
                <w:placeholder>
                  <w:docPart w:val="87E8EF45EC9E4D5A897E8DC56C77DAD9"/>
                </w:placeholder>
              </w:sdtPr>
              <w:sdtEndPr/>
              <w:sdtContent>
                <w:r w:rsidR="00901866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N</w:t>
                </w:r>
                <w:r w:rsidR="009D60E5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oziedzīgi iegūtu līdzekļu legalizācijas un terorisma un </w:t>
                </w:r>
                <w:proofErr w:type="spellStart"/>
                <w:r w:rsidR="009D60E5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proliferācijas</w:t>
                </w:r>
                <w:proofErr w:type="spellEnd"/>
                <w:r w:rsidR="009D60E5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finansēšanas riska pārvaldīšan</w:t>
                </w:r>
                <w:r w:rsidR="00901866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as noteikumi</w:t>
                </w:r>
              </w:sdtContent>
            </w:sdt>
          </w:p>
        </w:tc>
      </w:tr>
      <w:tr w:rsidR="000B4E0A" w:rsidRPr="000B4E0A" w14:paraId="0B8932A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D9BA38C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46DDEB54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A99DB91" w14:textId="174DDA03" w:rsidR="00E53DE9" w:rsidRPr="009D60E5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9D60E5" w:rsidRPr="000B4E0A" w14:paraId="05FE5A01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968F681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3AC5716E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68DF90C" w14:textId="36855D29" w:rsidR="009D60E5" w:rsidRDefault="009D60E5" w:rsidP="009D6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Noziedzīgi iegūtu līdzekļu legalizācijas un terorisma un </w:t>
            </w:r>
            <w:proofErr w:type="spellStart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finansēšanas novēršanas likuma 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turpmāk – Likums)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7.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 otrās daļas 1.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punkts noteic,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Banka izdod 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45. panta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pirmās daļas 1. punktā minēt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ajiem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 subjekti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em</w:t>
            </w:r>
            <w:r w:rsid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noteikumus par prasībām</w:t>
            </w:r>
            <w:r w:rsidRPr="009D6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kas ietveramas iekšējā</w:t>
            </w:r>
            <w:r w:rsidR="001154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Pr="009D6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kontroles sistēmā papildus </w:t>
            </w:r>
            <w:r w:rsid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</w:t>
            </w:r>
            <w:r w:rsidRPr="009D6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hyperlink r:id="rId11" w:anchor="p7" w:history="1">
              <w:r w:rsidRPr="00B716DB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lv-LV"/>
                </w:rPr>
                <w:t>7.</w:t>
              </w:r>
              <w:r w:rsidR="00B716DB" w:rsidRPr="00B716DB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lv-LV"/>
                </w:rPr>
                <w:t> </w:t>
              </w:r>
              <w:r w:rsidRPr="00B716DB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lv-LV"/>
                </w:rPr>
                <w:t>panta</w:t>
              </w:r>
            </w:hyperlink>
            <w:r w:rsidR="00B716DB" w:rsidRPr="00B716DB">
              <w:rPr>
                <w:rStyle w:val="Hyperlink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lv-LV"/>
              </w:rPr>
              <w:t xml:space="preserve"> </w:t>
            </w:r>
            <w:r w:rsidRPr="00B716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9D6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irmajā daļā noteiktajam</w:t>
            </w:r>
            <w:r w:rsid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6EF66CE4" w14:textId="77777777" w:rsidR="00901866" w:rsidRDefault="00901866" w:rsidP="009D6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2DB39306" w14:textId="728D8829" w:rsidR="009D60E5" w:rsidRDefault="00901866" w:rsidP="009D6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Likuma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7.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 otrās daļas 7.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punkts noteic,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Banka izdod 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45. panta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pirmās daļas 1. punktā minēt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ajiem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ikuma subjekti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em noteikumus par prasībām, </w:t>
            </w:r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saskaņā ar kurām veicams noziedzīgi iegūtu līdzekļu legalizācijas un terorisma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un </w:t>
            </w:r>
            <w:proofErr w:type="spellStart"/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2D1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(turpmāk</w:t>
            </w:r>
            <w:r w:rsidR="00B7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2D1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– NILLTPF)</w:t>
            </w:r>
            <w:r w:rsidR="002D1A97"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115491"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risku </w:t>
            </w:r>
            <w:proofErr w:type="spellStart"/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izvērtējums</w:t>
            </w:r>
            <w:proofErr w:type="spellEnd"/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kā arī prasības attiecībā uz pasākumiem </w:t>
            </w:r>
            <w:r w:rsidR="002D1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NILLTPF</w:t>
            </w:r>
            <w:r w:rsidRPr="00901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risku pārvaldībai un to mazināšanai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41FCB6B0" w14:textId="77777777" w:rsidR="00901866" w:rsidRDefault="00901866" w:rsidP="009D6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0D42D4E8" w14:textId="77777777" w:rsidR="009D60E5" w:rsidRPr="00EC7FB8" w:rsidRDefault="009D60E5" w:rsidP="009D60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2023. gada 1. janvārī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Finanšu un kapitāla tirgus komisija (turpmāk – Komisija) tika </w:t>
            </w:r>
            <w:r w:rsidRPr="00EC7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pievienota Latvijas Bankai. Saskaņā ar Latvijas Bankas likuma pārejas noteikumu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 punkt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Latvijas Bankas un Komisijas līdz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minētā </w:t>
            </w: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likuma spēkā stāšanās dienai izdotie ārējie normatīvie akti piemērojami līdz dienai, kad stājas spēkā attiecīgie Latvijas Bankas ārējie normatīvie akti, bet ne ilgāk kā līdz 2024. gada 31. decembrim.</w:t>
            </w:r>
          </w:p>
          <w:p w14:paraId="57EE7337" w14:textId="77777777" w:rsidR="009D60E5" w:rsidRPr="00EC7FB8" w:rsidRDefault="009D60E5" w:rsidP="009D6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71C6E1E4" w14:textId="7803F9AB" w:rsidR="009D60E5" w:rsidRPr="00EC7FB8" w:rsidRDefault="009D60E5" w:rsidP="009D6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Ņemot vērā minēto, ir sagatavot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Latvijas Bankas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alias w:val="Nosaukums"/>
                <w:tag w:val="Nosaukums"/>
                <w:id w:val="1070937149"/>
                <w:placeholder>
                  <w:docPart w:val="0AA6E7E0A9FF416380CA308582D4AE7F"/>
                </w:placeholder>
              </w:sdtPr>
              <w:sdtEndPr/>
              <w:sdtContent>
                <w:r w:rsidR="00901866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"</w:t>
                </w:r>
                <w:r w:rsidR="00901866" w:rsidRPr="00901866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N</w:t>
                </w:r>
                <w:r w:rsidR="00901866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oziedzīgi iegūtu līdzekļu legalizācijas un terorisma un </w:t>
                </w:r>
                <w:proofErr w:type="spellStart"/>
                <w:r w:rsidR="00901866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proliferācijas</w:t>
                </w:r>
                <w:proofErr w:type="spellEnd"/>
                <w:r w:rsidR="00901866" w:rsidRPr="009D60E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finansēšanas riska pārvaldīšan</w:t>
                </w:r>
                <w:r w:rsidR="006F688B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as noteikumi</w:t>
                </w:r>
              </w:sdtContent>
            </w:sdt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(turpmāk – Noteikumu projekts)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, kas aizstā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Komisijas 202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decembra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normatīvos 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>noteikumus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EC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 xml:space="preserve">Noziedzīgi iegūtu līdzekļu </w:t>
            </w:r>
            <w:r w:rsidR="00EB5D49">
              <w:rPr>
                <w:rFonts w:ascii="Times New Roman" w:hAnsi="Times New Roman" w:cs="Times New Roman"/>
                <w:sz w:val="24"/>
                <w:szCs w:val="24"/>
              </w:rPr>
              <w:t xml:space="preserve">legalizācijas 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 xml:space="preserve">un terorisma un </w:t>
            </w:r>
            <w:proofErr w:type="spellStart"/>
            <w:r w:rsidR="00901866">
              <w:rPr>
                <w:rFonts w:ascii="Times New Roman" w:hAnsi="Times New Roman" w:cs="Times New Roman"/>
                <w:sz w:val="24"/>
                <w:szCs w:val="24"/>
              </w:rPr>
              <w:t>proliferācijas</w:t>
            </w:r>
            <w:proofErr w:type="spellEnd"/>
            <w:r w:rsidR="00901866">
              <w:rPr>
                <w:rFonts w:ascii="Times New Roman" w:hAnsi="Times New Roman" w:cs="Times New Roman"/>
                <w:sz w:val="24"/>
                <w:szCs w:val="24"/>
              </w:rPr>
              <w:t xml:space="preserve"> finansēšanas riska </w:t>
            </w:r>
            <w:r w:rsidR="006F688B">
              <w:rPr>
                <w:rFonts w:ascii="Times New Roman" w:hAnsi="Times New Roman" w:cs="Times New Roman"/>
                <w:sz w:val="24"/>
                <w:szCs w:val="24"/>
              </w:rPr>
              <w:t xml:space="preserve">pārvaldīšanas 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normatīvie noteikumi" (turpmāk</w:t>
            </w:r>
            <w:r w:rsidR="00B716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06789">
              <w:rPr>
                <w:rFonts w:ascii="Times New Roman" w:hAnsi="Times New Roman" w:cs="Times New Roman"/>
                <w:sz w:val="24"/>
                <w:szCs w:val="24"/>
              </w:rPr>
              <w:t xml:space="preserve">Noteikumi 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B716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01866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439D5623" w14:textId="77777777" w:rsidR="009D60E5" w:rsidRPr="009D60E5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D60E5" w:rsidRPr="000B4E0A" w14:paraId="7372CDC0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09CF9150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7B065F55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6BF9B50" w14:textId="7A0DD887" w:rsidR="00176D4E" w:rsidRPr="00BE24BB" w:rsidRDefault="00176D4E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</w:t>
            </w:r>
            <w:r w:rsidR="002D1A97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projekts paredz:</w:t>
            </w:r>
          </w:p>
          <w:p w14:paraId="773F8187" w14:textId="3C4C0EB0" w:rsidR="009D60E5" w:rsidRPr="00BE24BB" w:rsidRDefault="00176D4E" w:rsidP="00206789">
            <w:pPr>
              <w:pStyle w:val="ListParagraph"/>
              <w:numPr>
                <w:ilvl w:val="0"/>
                <w:numId w:val="2"/>
              </w:numPr>
              <w:tabs>
                <w:tab w:val="left" w:pos="29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 Likuma 45.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pirmās daļas 1.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punktā minētajiem subjektiem (tas ir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visiem finanšu tirgus dalībniekiem, k</w:t>
            </w:r>
            <w:r w:rsidR="002D1A97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urus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15491" w:rsidRPr="00BE2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="00115491" w:rsidRPr="00BE2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ILLTPF</w:t>
            </w:r>
            <w:r w:rsidR="002D1A97" w:rsidRPr="00BE2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novēršanas jomā uzrauga un kontrolē Latvijas Banka) prasības, kas ietveramas </w:t>
            </w:r>
            <w:r w:rsidR="00115491" w:rsidRPr="00BE2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="00115491" w:rsidRPr="00BE2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ILLTPF</w:t>
            </w:r>
            <w:r w:rsidR="002D1A97" w:rsidRPr="00BE2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novēršanas iekšējās kontroles sistēmā papildus Likuma </w:t>
            </w:r>
            <w:hyperlink r:id="rId12" w:anchor="p7" w:history="1">
              <w:r w:rsidRPr="00BE24BB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7. panta</w:t>
              </w:r>
            </w:hyperlink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pirmajā daļā noteiktajam attiecībā uz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NILLTPF riska pārvaldīšanu un iestādes amatpersonu un darbinieku atbildību (Noteikumu projekta 2.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nodaļa);</w:t>
            </w:r>
          </w:p>
          <w:p w14:paraId="7D33372A" w14:textId="6518C38B" w:rsidR="004301B0" w:rsidRPr="00BE24BB" w:rsidRDefault="00D6243F" w:rsidP="00206789">
            <w:pPr>
              <w:pStyle w:val="ListParagraph"/>
              <w:tabs>
                <w:tab w:val="left" w:pos="29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2) </w:t>
            </w:r>
            <w:r w:rsidR="00176D4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 kredītiestādēm attiecībā uz pasākumiem NILLTPF riska pārvaldībai un t</w:t>
            </w:r>
            <w:r w:rsidR="006F688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176D4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mazināšanai</w:t>
            </w:r>
            <w:r w:rsidR="004301B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kā arī </w:t>
            </w:r>
            <w:r w:rsidR="00176D4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attiecībā uz NILLTPF riska</w:t>
            </w:r>
            <w:r w:rsidR="00056B5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pārvaldīšanas</w:t>
            </w:r>
            <w:r w:rsidR="00176D4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stratēģijas izstrādi (Noteikumu projekta 3.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4301B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nodaļa)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E7626D7" w14:textId="5B09DC6E" w:rsidR="003B691E" w:rsidRPr="00BE24BB" w:rsidRDefault="004301B0" w:rsidP="00206789">
            <w:pPr>
              <w:pStyle w:val="ListParagraph"/>
              <w:tabs>
                <w:tab w:val="left" w:pos="29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3) p</w:t>
            </w:r>
            <w:r w:rsidR="00D6243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rasības kredītiestādēm, kā arī </w:t>
            </w:r>
            <w:r w:rsidR="00EB5D4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citu </w:t>
            </w:r>
            <w:r w:rsidR="00D6243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dalībvalstu un trešo valstu kredītiestāžu filiālēm Latvijas Republikā attiecībā uz NILLTPF riska ekspozīcijas raksturojuma pārskata sagatavošanu (Noteikumu projekta 4.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6243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nodaļa).</w:t>
            </w:r>
          </w:p>
          <w:p w14:paraId="4C53CC7E" w14:textId="77777777" w:rsidR="00D6243F" w:rsidRPr="00BE24BB" w:rsidRDefault="00D6243F" w:rsidP="0020678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0B586CF" w14:textId="34EBBAD3" w:rsidR="006D41E9" w:rsidRPr="00BE24BB" w:rsidRDefault="00F15FC9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paredz pienākumu kredītiestādei izveidot un uzturēt NILLTPF riska </w:t>
            </w:r>
            <w:r w:rsidR="0023185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23185E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ārvaldīšanas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stratēģiju atbilstoši Noteikumu projekta 17.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punkta prasībām. Vienlaikus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 projekts paredz pienākumu arī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iestādei, kas nav kredītiestāde,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 tai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piemīt paaugstināts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NILLTPF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risks, izvērtē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vai tai nav atbilstoši un lietderīgi izveidot un uzturēt NILLTPF riska </w:t>
            </w:r>
            <w:r w:rsidR="0023185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23185E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ārvaldīšanas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stratēģiju atbilstoši Noteikumu projekta 17.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punkta prasībām tādā apjomā, kas atbilst iestādes darbības specifikai un </w:t>
            </w:r>
            <w:r w:rsidR="00115491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="00115491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piemītošajam NILLTPF riskam. Ja iestāde, kas nav kredītiestāde, lemj par NILLTPF </w:t>
            </w:r>
            <w:r w:rsidR="0023185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23185E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iska pārvaldīšanas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stratēģijas izveidošanu un uzturēšanu, tā NILLTPF </w:t>
            </w:r>
            <w:r w:rsidR="0023185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23185E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iska pārvaldīšanas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stratēģijā paredz tās Noteikumu projekta 17.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punkta prasības, kas ir attiecināmas uz tās darbības specifiku, klientu bāzi un iestādes NILLTPF risku. </w:t>
            </w:r>
          </w:p>
          <w:p w14:paraId="50E23CD4" w14:textId="77777777" w:rsidR="002E0EE9" w:rsidRPr="00BE24BB" w:rsidRDefault="002E0EE9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E286FBD" w14:textId="738881A3" w:rsidR="00AE2081" w:rsidRPr="00BE24BB" w:rsidRDefault="006D41E9" w:rsidP="00206789">
            <w:pPr>
              <w:pStyle w:val="ListParagraph"/>
              <w:shd w:val="clear" w:color="auto" w:fill="FFFFFF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Kredītiestāde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NILLTPF riska </w:t>
            </w:r>
            <w:r w:rsidR="0023185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23185E"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ārvaldīšanas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stratēģijā cita starpā 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nosaka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ārpakalpojuma izmantošanu saistīt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risk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Ar ārpakalpojumu Noteikumu projekta kontekstā 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Kredītiestāžu likuma 1.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68.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punktā ietvertajai definīcijai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saprasta jebkura līgumiska vienošanās starp kredītiestādi un ārpakalpojuma sniedzēju, kas paredz šim ārpakalpojuma sniedzējam pienākumu veikt noteiktu procesu, pakalpojumu vai citu darbību, ko citādi veiktu pati kredītiestāde.</w:t>
            </w:r>
          </w:p>
          <w:p w14:paraId="1535ADEF" w14:textId="77777777" w:rsidR="00902EA0" w:rsidRPr="00BE24BB" w:rsidRDefault="00902EA0" w:rsidP="00206789">
            <w:pPr>
              <w:pStyle w:val="ListParagraph"/>
              <w:shd w:val="clear" w:color="auto" w:fill="FFFFFF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8FDB11C" w14:textId="0B243721" w:rsidR="003B691E" w:rsidRPr="00BE24BB" w:rsidRDefault="00176D4E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projekts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kopumā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saturiski ir līdzīgs Noteikumiem Nr. 235, tomēr tajā ir šādas </w:t>
            </w:r>
            <w:r w:rsidRPr="00BE2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būtiskas izmaiņas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144DC8F" w14:textId="3F795D35" w:rsidR="003D1BBE" w:rsidRPr="00BE24BB" w:rsidRDefault="00176D4E" w:rsidP="00206789">
            <w:pPr>
              <w:pStyle w:val="ListParagraph"/>
              <w:numPr>
                <w:ilvl w:val="0"/>
                <w:numId w:val="1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Prasības attiecībā uz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NILLTPF riska pārvaldīšanu un iestādes amatpersonu un darbinieku atbildību (2.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nodaļa) tiek attiecinātas uz visiem Likuma 45.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pirmās daļas 1. punktā minētajiem subjektiem (Noteikumos Nr. 235 šīs pra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ības attiecās tikai uz kredītiestādēm). </w:t>
            </w:r>
            <w:r w:rsidR="0052353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k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redītiestādēm ir </w:t>
            </w:r>
            <w:r w:rsidR="0052353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precizēta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amatpersonu atbildība saistībā ar pienākumu izstrādāt NILLTPF riska pārvaldīšanas stratēģiju.</w:t>
            </w:r>
          </w:p>
          <w:p w14:paraId="41215675" w14:textId="77777777" w:rsidR="003B691E" w:rsidRPr="00BE24BB" w:rsidRDefault="003B691E" w:rsidP="00206789">
            <w:pPr>
              <w:pStyle w:val="ListParagraph"/>
              <w:spacing w:after="0" w:line="240" w:lineRule="auto"/>
              <w:ind w:left="4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DF6347A" w14:textId="73792C11" w:rsidR="00A66D05" w:rsidRPr="00BE24BB" w:rsidRDefault="00A66D05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Piemērojot Noteikumu projekta prasības par iestādes darbinieku atbildīb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as jom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ām, iestād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2E0EE9" w:rsidRPr="00BE24B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pienākums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ņem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vērā tās lielumu un organizatorisko struktūru, jo var būt iestādes, kurām nav padomes un līdz ar to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projektā ietvertās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prasības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par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padome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s atbildību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 šīm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iestādēm neattiecas. Ar padomi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oteikumu projekta kontekstā saprot Latvijas Republikā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reģistrēto iestāžu padomes, un prasības, kas ietver padomes atbildību, neattiecas uz iestāžu, kas reģistrētas </w:t>
            </w:r>
            <w:r w:rsidR="00EB5D49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citā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dalībvalstī, filiālēm Latvijā. </w:t>
            </w:r>
          </w:p>
          <w:p w14:paraId="4C003A13" w14:textId="77777777" w:rsidR="00A66D05" w:rsidRPr="00BE24BB" w:rsidRDefault="00A66D05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760568" w14:textId="7D326901" w:rsidR="00A66D05" w:rsidRPr="00BE24BB" w:rsidRDefault="00A66D05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Piemērojot 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projekta 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prasības par darbinieku atbildīb</w:t>
            </w:r>
            <w:r w:rsidR="00206789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sadalījumu, iestādēm jānodrošina, ka atbildīb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sadalījums </w:t>
            </w:r>
            <w:r w:rsidR="003E3F14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noteikts kādā iestādes iekšējā dokumentā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– NILLTPF novēršanas politikā, procedūrās u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tml.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E0EE9" w:rsidRPr="00BE24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neatkarīgi no iestādes lieluma un organizatoriskās struktūras.</w:t>
            </w:r>
          </w:p>
          <w:p w14:paraId="6D7598CD" w14:textId="77777777" w:rsidR="001D087D" w:rsidRPr="00BE24BB" w:rsidRDefault="001D087D" w:rsidP="0020678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9B3BE" w14:textId="1D212A35" w:rsidR="003B691E" w:rsidRPr="00BE24BB" w:rsidRDefault="001D087D" w:rsidP="00206789">
            <w:pPr>
              <w:pStyle w:val="ListParagraph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NILLTPF riska ekspozīcijas raksturojuma pārskats (turpmāk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Pārskats) strukturāli sadalīts </w:t>
            </w:r>
            <w:r w:rsidR="002D1A97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četrās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daļās:</w:t>
            </w:r>
          </w:p>
          <w:p w14:paraId="4307414E" w14:textId="4456DC58" w:rsidR="001D087D" w:rsidRPr="00BE24BB" w:rsidRDefault="002E0EE9" w:rsidP="00206789">
            <w:pPr>
              <w:pStyle w:val="ListParagraph"/>
              <w:tabs>
                <w:tab w:val="left" w:pos="23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 "NILLTPF riska ekspozīcijas raksturojuma rādītāji (M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11.00)" (turpmāk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D1A97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505A16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Pārskata 1.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daļa);</w:t>
            </w:r>
          </w:p>
          <w:p w14:paraId="1BBBA18E" w14:textId="600B2BB2" w:rsidR="001D087D" w:rsidRPr="00BE24BB" w:rsidRDefault="002E0EE9" w:rsidP="00206789">
            <w:pPr>
              <w:pStyle w:val="ListParagraph"/>
              <w:tabs>
                <w:tab w:val="left" w:pos="23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daļa "Kredītiestādes individuāli definētie rādītāji (M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13.00)" (turpmāk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– Pārskata 2.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daļa);</w:t>
            </w:r>
          </w:p>
          <w:p w14:paraId="50CCADE9" w14:textId="11F358AE" w:rsidR="001D087D" w:rsidRPr="00BE24BB" w:rsidRDefault="002E0EE9" w:rsidP="00206789">
            <w:pPr>
              <w:pStyle w:val="ListParagraph"/>
              <w:tabs>
                <w:tab w:val="left" w:pos="23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- 3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daļa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"Korespondentbanku un </w:t>
            </w:r>
            <w:proofErr w:type="spellStart"/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starpniekbanku</w:t>
            </w:r>
            <w:proofErr w:type="spellEnd"/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pieprasījumi </w:t>
            </w:r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noziedzīgi iegūtu līdzekļu legalizācijas un terorisma un </w:t>
            </w:r>
            <w:proofErr w:type="spellStart"/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proliferācijas</w:t>
            </w:r>
            <w:proofErr w:type="spellEnd"/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finansēšanas 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novēršanas un sankciju jomā (M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14.00)" (turpmāk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– Pārskata 3.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daļa);</w:t>
            </w:r>
          </w:p>
          <w:p w14:paraId="7EE36C8B" w14:textId="4246E9C2" w:rsidR="001D087D" w:rsidRPr="00BE24BB" w:rsidRDefault="002E0EE9" w:rsidP="00206789">
            <w:pPr>
              <w:pStyle w:val="ListParagraph"/>
              <w:tabs>
                <w:tab w:val="left" w:pos="23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daļa "Klientu un to darījumu raksturojums valstu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BE24BB">
              <w:rPr>
                <w:rFonts w:ascii="Times New Roman" w:hAnsi="Times New Roman" w:cs="Times New Roman"/>
                <w:sz w:val="24"/>
                <w:szCs w:val="24"/>
              </w:rPr>
              <w:t>alījumā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16.00)" (turpmāk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– Pārskata 4.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daļa).</w:t>
            </w:r>
          </w:p>
          <w:p w14:paraId="54FD7A7A" w14:textId="77777777" w:rsidR="001D087D" w:rsidRPr="00BE24BB" w:rsidRDefault="001D087D" w:rsidP="00206789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80CDC" w14:textId="4D7D28AF" w:rsidR="003D1BBE" w:rsidRPr="00BE24BB" w:rsidRDefault="00BC2D35" w:rsidP="0020678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Pārskata 1.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daļā</w:t>
            </w:r>
            <w:r w:rsidR="003D1BB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veiktas šād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3D1BB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izmaiņas:</w:t>
            </w:r>
          </w:p>
          <w:p w14:paraId="7EE92976" w14:textId="11D91316" w:rsidR="00176D4E" w:rsidRPr="00BE24BB" w:rsidRDefault="003D1BBE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atsevišķi izdalīta prasība 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aizpildīt pozīciju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"Klient</w:t>
            </w:r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kredīta apgrozījum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proofErr w:type="spellStart"/>
            <w:r w:rsidRPr="00BE24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euro</w:t>
            </w:r>
            <w:proofErr w:type="spellEnd"/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" 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bezskaidras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skaidras naudas norēķin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(attiecīgi 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ailes 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081 un 082)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norēķin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iem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veidojušies inkasāciju rezultātā (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 </w:t>
            </w:r>
            <w:r w:rsidR="00C10A9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083)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Iepriekš Noteikumos Nr.</w:t>
            </w:r>
            <w:r w:rsidR="00B716DB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235 ti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 prasīts 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norādīt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kopēj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70F0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kredīta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apgrozījum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 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080)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neizdalot skaidras un bezskaidras naudas norēķin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D6243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inkasācijas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Norādot datus par kredīta apgrozījumu skaidras naudas norēķinos,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norāda skaidras naudas iemaksas, kas veiktas gan kredītiestādē klātienē, gan izmantojot skaidras naudas iemaks</w:t>
            </w:r>
            <w:r w:rsidR="0020678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bankomātus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savukārt, ņemot vērā inkasāciju izpildes iespējamās tehniskās atšķirības starp </w:t>
            </w:r>
            <w:r w:rsidR="00C770A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iestādēm, norēķini, kas veidojušies inkasāciju rezultātā, norādāmi atsevišķi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2B41DAF" w14:textId="4FBDE545" w:rsidR="003D1BBE" w:rsidRPr="00BE24BB" w:rsidRDefault="003D1BBE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turpmāk n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ebūs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jāsniedz informācija</w:t>
            </w:r>
            <w:r w:rsidR="00A70F0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pēc kopējā kredīta apgrozījuma lielākajām ar augsta riska klientu saistītām grupām.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Noteikumos Nr.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235 paredzētā p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ozīcija "20 pēc kopējā kredīta apgrozījuma lielāk</w:t>
            </w:r>
            <w:r w:rsidR="0020678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augsta riska klientu saistītas grupas"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(rindas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050, 051)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svītrota no Pārskata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000189B3" w14:textId="337ADEE7" w:rsidR="003D1BBE" w:rsidRPr="00BE24BB" w:rsidRDefault="003D1BBE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turpmāk n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ebūs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jāsniedz informācija par alternatīvo ieguldījumu fondu pārvaldniekiem.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Noteikumos Nr.</w:t>
            </w:r>
            <w:r w:rsidR="00641B0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235 paredzētā p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ozīcija "t.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sk. AIFP (kopā)"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(rindas 140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143)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svītrota no Pārskata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66BB424F" w14:textId="0C367AD8" w:rsidR="003B691E" w:rsidRPr="00BE24BB" w:rsidRDefault="003D1BBE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Pārskat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1.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daļa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papildināt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prasību sniegt informācij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</w:t>
            </w:r>
            <w:proofErr w:type="spellStart"/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kriptoaktīvu</w:t>
            </w:r>
            <w:proofErr w:type="spellEnd"/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pakalpojumu sniedzējiem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Pārskats papildināts ar pozīciju "t.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sk. </w:t>
            </w:r>
            <w:proofErr w:type="spellStart"/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kriptoaktīvu</w:t>
            </w:r>
            <w:proofErr w:type="spellEnd"/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pakalpojumi sniedzēji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(rindas 150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153)</w:t>
            </w:r>
            <w:r w:rsidR="003B691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EC6F920" w14:textId="77777777" w:rsidR="003B691E" w:rsidRPr="00BE24BB" w:rsidRDefault="003B691E" w:rsidP="00206789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3801D35" w14:textId="73C7D326" w:rsidR="003D1BBE" w:rsidRPr="00BE24BB" w:rsidRDefault="003B691E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Pārskatā par turējumā esošajiem klientu vērtspapīriem iestādei dati jānorāda atbilstoši Latvijas Bankas 2022.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13.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jūnija noteikumu Nr.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211 "</w:t>
            </w:r>
            <w:hyperlink r:id="rId13" w:history="1">
              <w:r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Statistisko datu par vērtspapīriem sagatavošanas un iesniegšanas noteikumi</w:t>
              </w:r>
            </w:hyperlink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hyperlink r:id="rId14" w:anchor="piel1" w:history="1">
              <w:r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1.</w:t>
              </w:r>
              <w:r w:rsidR="00F3164D"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pielikuma</w:t>
              </w:r>
            </w:hyperlink>
            <w:r w:rsidR="00F3164D" w:rsidRPr="00BE24BB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472AA5" w:rsidRP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Vērtspapīru ar ISIN kodu mēneša pārskats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"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ailei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"Kopējais vērtspapīru apjoms (</w:t>
            </w:r>
            <w:proofErr w:type="spellStart"/>
            <w:r w:rsidRPr="00BE24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euro</w:t>
            </w:r>
            <w:proofErr w:type="spellEnd"/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)" un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hyperlink r:id="rId15" w:anchor="piel2" w:history="1">
              <w:r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2.</w:t>
              </w:r>
              <w:r w:rsidR="00F3164D"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Pr="00BE24BB">
                <w:rPr>
                  <w:rFonts w:ascii="Times New Roman" w:hAnsi="Times New Roman" w:cs="Times New Roman"/>
                  <w:sz w:val="24"/>
                  <w:szCs w:val="24"/>
                  <w:lang w:eastAsia="lv-LV"/>
                </w:rPr>
                <w:t>pielikuma</w:t>
              </w:r>
            </w:hyperlink>
            <w:r w:rsidR="00F3164D" w:rsidRPr="00BE24BB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472AA5" w:rsidRP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Vērtspapīru 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bez</w:t>
            </w:r>
            <w:r w:rsidR="00472AA5" w:rsidRP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ISIN kod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472AA5" w:rsidRP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mēneša pārskats</w:t>
            </w:r>
            <w:r w:rsidR="00472AA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"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ailei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"Kopējais vērtspapīru apjoms (</w:t>
            </w:r>
            <w:proofErr w:type="spellStart"/>
            <w:r w:rsidRPr="00BE24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euro</w:t>
            </w:r>
            <w:proofErr w:type="spellEnd"/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)"</w:t>
            </w:r>
            <w:r w:rsidR="001D087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  <w:p w14:paraId="381879CD" w14:textId="77777777" w:rsidR="00506D4B" w:rsidRPr="00BE24BB" w:rsidRDefault="00506D4B" w:rsidP="00206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457C609" w14:textId="1EDD884D" w:rsidR="001D087D" w:rsidRPr="00BE24BB" w:rsidRDefault="00BC2D35" w:rsidP="0020678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Pārskata 4.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daļā veiktas šādas izmaiņas:</w:t>
            </w:r>
          </w:p>
          <w:p w14:paraId="6260E526" w14:textId="53385B3D" w:rsidR="00860410" w:rsidRPr="00BE24BB" w:rsidRDefault="002E0EE9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oteikta prasība sniegt informāciju par klienta tipu, norādot, vai klients ir fizisk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juridisk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persona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1D7C8991" w14:textId="24F05970" w:rsidR="00860410" w:rsidRPr="00BE24BB" w:rsidRDefault="002E0EE9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oteikta prasība atsevišķi izdalīt klientu, kas ir politiski nozīmīga persona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klientu, kas ir ar politiski nozīmīgu personu cieši saistīta persona, politiski nozīmīgas personas ģimenes loceklis</w:t>
            </w:r>
            <w:r w:rsidR="004A5281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vai klientu, kura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patiesais labuma guvējs </w:t>
            </w:r>
            <w:r w:rsidR="004A5281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ar politiski nozīmīgu personu cieši saistīta persona vai politiski nozīmīgas personas ģimenes loceklis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F87E22C" w14:textId="1FD390D3" w:rsidR="007A697F" w:rsidRPr="00BE24BB" w:rsidRDefault="007A697F" w:rsidP="002067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izdalīta prasība norādīt konkrētās rezidences (reģistrācijas) valsts kod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atbilstošajai klientu kategorijai un klientu tipam </w:t>
            </w:r>
            <w:r w:rsidR="00217FB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kredīta apgrozījumu bezskaidras</w:t>
            </w:r>
            <w:r w:rsidR="00217FB4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skaidras naudas norēķinos (attiecīgi 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ailes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un 0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2)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norēķinos, kas veidojušies inkasāciju rezultātā (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 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3)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Iepriekš Noteikumos Nr.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235 tika prasīts 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norādīt 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kopēj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kredīta apgrozījum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aile 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0), neizdalot skaidras un bezskaidras naudas norēķin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7F5CEE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kā arī inkasācijas</w:t>
            </w:r>
            <w:r w:rsidR="00A7791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Norādot datus par kredīta apgrozījumu skaidras naudas norēķinos,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norāda skaidras naudas iemaksas, kas veiktas gan kredītiestādē klātienē, gan izmantojot skaidras naudas iemaks</w:t>
            </w:r>
            <w:r w:rsidR="00206789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="00BC2D35" w:rsidRPr="00BE2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bankomātus.</w:t>
            </w:r>
          </w:p>
          <w:p w14:paraId="05363B22" w14:textId="77777777" w:rsidR="00860410" w:rsidRPr="00BE24BB" w:rsidRDefault="00860410" w:rsidP="00786743">
            <w:pPr>
              <w:pStyle w:val="ListParagraph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08041474" w14:textId="1267AA39" w:rsidR="00E428E2" w:rsidRPr="00BE24BB" w:rsidRDefault="00BC2D35" w:rsidP="0020678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Tiek paredzēts, ka Pārskatu kredītiestādes Latvijas Bankai sniegs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elektroniskā veidā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izmantojot </w:t>
            </w:r>
            <w:r w:rsidR="001B353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Latvijas Bankas 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paaugstināt</w:t>
            </w:r>
            <w:r w:rsidR="002E0EE9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s drošības sistēmu, nevis kā iepriekš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E428E2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atu ziņošanas sistēmu. 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Savukārt NILLTPF riska </w:t>
            </w:r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pārvaldīšanas 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stratēģiju kredītiestāde iesnie</w:t>
            </w:r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gs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nosūtot to uz Latvijas </w:t>
            </w:r>
            <w:r w:rsidR="001E4FC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D3489E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ankas elektronisko adresi. </w:t>
            </w:r>
          </w:p>
          <w:p w14:paraId="290A92D6" w14:textId="77777777" w:rsidR="00E428E2" w:rsidRPr="00BE24BB" w:rsidRDefault="00E428E2" w:rsidP="0020678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874073" w14:textId="4C54DFCF" w:rsidR="00860410" w:rsidRPr="00BE24BB" w:rsidRDefault="00BC2D35" w:rsidP="0020678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3164D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veikti strukturāli un redakcionāli precizējumi </w:t>
            </w:r>
            <w:r w:rsidR="007C61CF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projekta </w:t>
            </w:r>
            <w:r w:rsidR="00860410" w:rsidRPr="00BE24BB">
              <w:rPr>
                <w:rFonts w:ascii="Times New Roman" w:eastAsia="Times New Roman" w:hAnsi="Times New Roman" w:cs="Times New Roman"/>
                <w:sz w:val="24"/>
                <w:szCs w:val="24"/>
              </w:rPr>
              <w:t>normu vieglākai uztveramībai.</w:t>
            </w:r>
          </w:p>
          <w:p w14:paraId="3E8445B4" w14:textId="7AC8FC75" w:rsidR="00176D4E" w:rsidRPr="00BE24BB" w:rsidRDefault="00176D4E" w:rsidP="0020678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D60E5" w:rsidRPr="000B4E0A" w14:paraId="5FE4D0F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64C23E8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020A3727" w14:textId="77777777" w:rsidR="009D60E5" w:rsidRPr="00E253DA" w:rsidRDefault="009D60E5" w:rsidP="009D6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5B484EA" w14:textId="77777777" w:rsidR="00523534" w:rsidRDefault="00523534" w:rsidP="00902EA0">
            <w:pPr>
              <w:pStyle w:val="ListParagraph"/>
              <w:shd w:val="clear" w:color="auto" w:fill="FFFFFF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344">
              <w:rPr>
                <w:rFonts w:ascii="Times New Roman" w:eastAsia="Times New Roman" w:hAnsi="Times New Roman" w:cs="Times New Roman"/>
                <w:sz w:val="24"/>
                <w:szCs w:val="24"/>
              </w:rPr>
              <w:t>Noteikumu projekta leģitīmais mērķis ir citu personu tiesību aizsardzība un sabiedrības labklājības nodrošināšana.</w:t>
            </w:r>
          </w:p>
          <w:p w14:paraId="65B335CB" w14:textId="77777777" w:rsidR="00902EA0" w:rsidRPr="00721344" w:rsidRDefault="00902EA0" w:rsidP="00902EA0">
            <w:pPr>
              <w:pStyle w:val="ListParagraph"/>
              <w:shd w:val="clear" w:color="auto" w:fill="FFFFFF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C24B3" w14:textId="4BACB94A" w:rsidR="009D60E5" w:rsidRDefault="00523534" w:rsidP="00902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3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Noteikumu projekts nepieciešams, lai Latvijas Banka atbilstoši Latvijas Bankas likuma 48. panta pirmajai daļai īstenotu finanšu tirgus dalībnieku uzraudzību </w:t>
            </w:r>
            <w:r w:rsidR="002E0EE9">
              <w:rPr>
                <w:rFonts w:ascii="Times New Roman" w:eastAsia="Times New Roman" w:hAnsi="Times New Roman" w:cs="Times New Roman"/>
                <w:sz w:val="24"/>
                <w:szCs w:val="24"/>
              </w:rPr>
              <w:t>NILLTPF</w:t>
            </w:r>
            <w:r w:rsidRPr="00721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novēršanas jomā. Nosakot finanšu tirgus dalībniekiem prasības un veicot pārbaudes</w:t>
            </w:r>
            <w:r w:rsidR="002E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 to</w:t>
            </w:r>
            <w:r w:rsidRPr="00721344">
              <w:rPr>
                <w:rFonts w:ascii="Times New Roman" w:eastAsia="Times New Roman" w:hAnsi="Times New Roman" w:cs="Times New Roman"/>
                <w:sz w:val="24"/>
                <w:szCs w:val="24"/>
              </w:rPr>
              <w:t>, vai un kā prasības tiek ievērotas, Latvijas Banka nodrošina tai Latvijas Bankas likumā noteikto pienākumu – veicināt ieguldītāju un noguldītāju interešu aizsardzību un finanšu tirgus ilgtspējīgu attīstību un stabilitāti – izpildi.</w:t>
            </w:r>
          </w:p>
          <w:p w14:paraId="5CF28BAA" w14:textId="095BE080" w:rsidR="00902EA0" w:rsidRPr="009D60E5" w:rsidRDefault="00902EA0" w:rsidP="00902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  <w:tr w:rsidR="00721344" w:rsidRPr="000B4E0A" w14:paraId="553178B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830E31A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Samērīgums</w:t>
            </w:r>
          </w:p>
          <w:p w14:paraId="36853AB5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AD46D9C" w14:textId="6CC3EAD8" w:rsidR="00721344" w:rsidRDefault="00721344" w:rsidP="00902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Atbilstošākais veids, kā noteikt vienotas prasības, </w:t>
            </w: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kas ietveramas NILLTPF novēršanas iekšējās kontroles sistēmā papildus Likuma </w:t>
            </w:r>
            <w:hyperlink r:id="rId16" w:anchor="p7" w:history="1">
              <w:r w:rsidRPr="00902EA0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7. panta</w:t>
              </w:r>
            </w:hyperlink>
            <w:r w:rsidR="00F3164D"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pirmajā daļā noteiktajam (prasības attiecībā uz</w:t>
            </w:r>
            <w:r w:rsidR="003B691E"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NILLTPF riska pārvaldīšanu un iestādes amatpersonu un darbinieku atbildību)</w:t>
            </w:r>
            <w:r w:rsidR="00806A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>ir izdot visiem Latvijas Bankas uzraugāmajiem finanšu tirgus dalībniekiem saistošus noteikumus.</w:t>
            </w:r>
          </w:p>
          <w:p w14:paraId="3DAFC5F7" w14:textId="77777777" w:rsidR="00902EA0" w:rsidRPr="00902EA0" w:rsidRDefault="00902EA0" w:rsidP="00902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A64C3" w14:textId="43AFF671" w:rsidR="00721344" w:rsidRDefault="00721344" w:rsidP="00902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>Savukārt</w:t>
            </w:r>
            <w:r w:rsidR="001B3856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64397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lai nodrošinātu regulāru un efektīvu, </w:t>
            </w:r>
            <w:r w:rsidR="00806A57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>salīdzinām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dat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balstītu NILLTPF risk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uzraudzību</w:t>
            </w:r>
            <w:r w:rsidR="00206789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attiecībā uz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97" w:rsidRPr="00786743">
              <w:rPr>
                <w:rFonts w:ascii="Times New Roman" w:hAnsi="Times New Roman" w:cs="Times New Roman"/>
                <w:sz w:val="24"/>
                <w:szCs w:val="24"/>
              </w:rPr>
              <w:t>kredītiestādēm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>, kur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ām ir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nozīmīg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loma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finanšu tirgū pēc to klientu finanšu aktīv</w:t>
            </w:r>
            <w:r w:rsidR="00806A57" w:rsidRPr="00206789">
              <w:rPr>
                <w:rFonts w:ascii="Times New Roman" w:hAnsi="Times New Roman" w:cs="Times New Roman"/>
                <w:sz w:val="24"/>
                <w:szCs w:val="24"/>
              </w:rPr>
              <w:t>u apmēra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(73.7</w:t>
            </w:r>
            <w:r w:rsidR="00F3164D" w:rsidRPr="002067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>% no visu finanšu iestāžu klientu finanšu aktīviem</w:t>
            </w:r>
            <w:r w:rsidR="007C61CF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Latvijā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>), tādējādi būtiski ietekmējot arī situāciju finanšu tirgū,</w:t>
            </w:r>
            <w:r w:rsidR="003B691E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97" w:rsidRPr="00206789">
              <w:rPr>
                <w:rFonts w:ascii="Times New Roman" w:hAnsi="Times New Roman" w:cs="Times New Roman"/>
                <w:sz w:val="24"/>
                <w:szCs w:val="24"/>
              </w:rPr>
              <w:t xml:space="preserve">ir samērīgi un pamatoti noteikt vienotas prasības visām Latvijā </w:t>
            </w:r>
            <w:r w:rsidR="00E64397" w:rsidRPr="00786743">
              <w:rPr>
                <w:rFonts w:ascii="Times New Roman" w:hAnsi="Times New Roman" w:cs="Times New Roman"/>
                <w:sz w:val="24"/>
                <w:szCs w:val="24"/>
              </w:rPr>
              <w:t>reģistrētajām kredītiestādēm</w:t>
            </w:r>
            <w:r w:rsidR="00E64397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97" w:rsidRPr="0023185E">
              <w:rPr>
                <w:rFonts w:ascii="Times New Roman" w:hAnsi="Times New Roman" w:cs="Times New Roman"/>
                <w:sz w:val="24"/>
                <w:szCs w:val="24"/>
              </w:rPr>
              <w:t xml:space="preserve">NILLTPF </w:t>
            </w:r>
            <w:r w:rsidR="0023185E" w:rsidRPr="0023185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3185E" w:rsidRPr="00FE0C01">
              <w:rPr>
                <w:rFonts w:ascii="Times New Roman" w:hAnsi="Times New Roman" w:cs="Times New Roman"/>
                <w:sz w:val="24"/>
                <w:szCs w:val="24"/>
              </w:rPr>
              <w:t xml:space="preserve">iska pārvaldīšanas </w:t>
            </w:r>
            <w:r w:rsidR="00E64397" w:rsidRPr="0023185E">
              <w:rPr>
                <w:rFonts w:ascii="Times New Roman" w:hAnsi="Times New Roman" w:cs="Times New Roman"/>
                <w:sz w:val="24"/>
                <w:szCs w:val="24"/>
              </w:rPr>
              <w:t>stratēģijas izstrādei.</w:t>
            </w:r>
            <w:r w:rsidR="00F3164D" w:rsidRPr="00231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CEE" w:rsidRPr="0023185E">
              <w:rPr>
                <w:rFonts w:ascii="Times New Roman" w:hAnsi="Times New Roman" w:cs="Times New Roman"/>
                <w:sz w:val="24"/>
                <w:szCs w:val="24"/>
              </w:rPr>
              <w:t>Pārska</w:t>
            </w:r>
            <w:r w:rsidR="007F5CEE" w:rsidRPr="00902EA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r w:rsidR="007F5CEE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iesniegtie dati tik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izmantoti</w:t>
            </w:r>
            <w:r w:rsidR="007F5CEE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kredītiestāžu uzraudzībai</w:t>
            </w:r>
            <w:r w:rsidR="003B691E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gan individuālā līm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, gan uzraugot kredītiestāžu sektoru kopumā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, kā arī tajos ietvertie dati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ik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s izmantoti, lai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analizēt</w:t>
            </w:r>
            <w:r w:rsidR="00806A5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dinamik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, anomālijas, novirzes u</w:t>
            </w:r>
            <w:r w:rsidR="00F3164D" w:rsidRPr="00902EA0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tml., kas var liecināt par NILLTPF</w:t>
            </w:r>
            <w:r w:rsidR="003B691E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>risk</w:t>
            </w:r>
            <w:r w:rsidR="001B3532" w:rsidRPr="00902EA0">
              <w:rPr>
                <w:rFonts w:ascii="Times New Roman" w:hAnsi="Times New Roman" w:cs="Times New Roman"/>
                <w:sz w:val="24"/>
                <w:szCs w:val="24"/>
              </w:rPr>
              <w:t>a līmeņa izmaiņām</w:t>
            </w:r>
            <w:r w:rsidR="006D41E9"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E9B0A15" w14:textId="77777777" w:rsidR="00902EA0" w:rsidRPr="00902EA0" w:rsidRDefault="00902EA0" w:rsidP="00902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84782" w14:textId="77777777" w:rsidR="00721344" w:rsidRPr="00902EA0" w:rsidRDefault="00721344" w:rsidP="00902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kopumā un tajā ietvertās tiesību normas atbilst </w:t>
            </w: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>samērīguma principam, jo:</w:t>
            </w:r>
          </w:p>
          <w:p w14:paraId="73EC28AE" w14:textId="2EC322F0" w:rsidR="00721344" w:rsidRPr="00902EA0" w:rsidRDefault="00721344" w:rsidP="00902EA0">
            <w:pPr>
              <w:pStyle w:val="NApunkts2"/>
              <w:numPr>
                <w:ilvl w:val="0"/>
                <w:numId w:val="9"/>
              </w:numPr>
              <w:tabs>
                <w:tab w:val="left" w:pos="269"/>
              </w:tabs>
              <w:ind w:left="0" w:firstLine="0"/>
            </w:pPr>
            <w:r w:rsidRPr="00902EA0">
              <w:t xml:space="preserve">pirmkārt, ar </w:t>
            </w:r>
            <w:r w:rsidR="00D65528" w:rsidRPr="00902EA0">
              <w:t>N</w:t>
            </w:r>
            <w:r w:rsidRPr="00902EA0">
              <w:t>oteikumu projektu un tajā ietvertajām prasībām tiek sasniegts leģitīmais mērķis (citu personu tiesību un sabiedrības labklājības aizsardzība);</w:t>
            </w:r>
          </w:p>
          <w:p w14:paraId="45E18EFA" w14:textId="3208FD9A" w:rsidR="00721344" w:rsidRPr="00902EA0" w:rsidRDefault="00721344" w:rsidP="00902EA0">
            <w:pPr>
              <w:pStyle w:val="NApunkts2"/>
              <w:numPr>
                <w:ilvl w:val="0"/>
                <w:numId w:val="9"/>
              </w:numPr>
              <w:tabs>
                <w:tab w:val="left" w:pos="269"/>
              </w:tabs>
              <w:ind w:left="0" w:firstLine="0"/>
            </w:pPr>
            <w:r w:rsidRPr="00902EA0">
              <w:t xml:space="preserve">otrkārt, nav tādu alternatīvu līdzekļu, </w:t>
            </w:r>
            <w:r w:rsidR="00806A57">
              <w:t>kas</w:t>
            </w:r>
            <w:r w:rsidRPr="00902EA0">
              <w:t xml:space="preserve"> sasniegtu leģitīmo mērķi tādā pašā kvalitātē;</w:t>
            </w:r>
          </w:p>
          <w:p w14:paraId="7936D8B8" w14:textId="10A172B2" w:rsidR="00721344" w:rsidRPr="00902EA0" w:rsidRDefault="00721344" w:rsidP="00902EA0">
            <w:pPr>
              <w:pStyle w:val="ListParagraph"/>
              <w:numPr>
                <w:ilvl w:val="0"/>
                <w:numId w:val="9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treškārt, labums, ko iegūs sabiedrība, būs lielāks par </w:t>
            </w:r>
            <w:r w:rsidR="007867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>projektā</w:t>
            </w:r>
            <w:r w:rsidRPr="0090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ietverto prasību radītajām</w:t>
            </w:r>
            <w:r w:rsidRPr="00902EA0">
              <w:rPr>
                <w:rFonts w:ascii="Times New Roman" w:hAnsi="Times New Roman" w:cs="Times New Roman"/>
                <w:sz w:val="24"/>
                <w:szCs w:val="24"/>
              </w:rPr>
              <w:t xml:space="preserve"> negatīvajām sekām.</w:t>
            </w:r>
          </w:p>
          <w:p w14:paraId="3029F890" w14:textId="275C9CBB" w:rsidR="00721344" w:rsidRPr="00902EA0" w:rsidRDefault="00721344" w:rsidP="0090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21344" w:rsidRPr="000B4E0A" w14:paraId="78A5EE7C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5F1CEFD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Spēkā stāšanās</w:t>
            </w:r>
          </w:p>
          <w:p w14:paraId="089EA212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A7EFF4C" w14:textId="4F7B666D" w:rsidR="00F3164D" w:rsidRDefault="00E428E2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stāsies spēkā 2025.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janvārī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lai finanšu tirgus dalībniekiem būtu laiks veikt izmaiņas iekšējās procedūrās attiecībā uz amatpersonu un darbinieku atbildīb</w:t>
            </w:r>
            <w:r w:rsidR="00806A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sadalījumu.</w:t>
            </w:r>
          </w:p>
          <w:p w14:paraId="23689364" w14:textId="39B4070B" w:rsidR="008B44C9" w:rsidRDefault="008B44C9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5BFFEBE5" w14:textId="4B77ADB9" w:rsidR="00721344" w:rsidRDefault="001227DE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 Noteikumu projekt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paredzēts pārejas regulējums attiecībā uz Pārskata iesniegšanu, nosakot, ka 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projektā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noteiktajā kārtībā 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</w:t>
            </w:r>
            <w:r w:rsidR="007867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div</w:t>
            </w:r>
            <w:r w:rsidR="007867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ārskat</w:t>
            </w:r>
            <w:r w:rsidR="007867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(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2025.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2. 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ceturksni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iesniedz </w:t>
            </w:r>
            <w:r w:rsidR="007C6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Bankai 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2025.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31.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1227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jūlijam.</w:t>
            </w:r>
            <w:r w:rsidR="003B691E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Pārejas regulējums nepieci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šams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lai kredītiestādes un </w:t>
            </w:r>
            <w:r w:rsidR="00EB5D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citu </w:t>
            </w:r>
            <w:r w:rsidR="008B44C9" w:rsidRP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dalībvalstu vai trešo valstu kredītiestāžu filiāles Latvijas Republikā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varētu </w:t>
            </w:r>
            <w:r w:rsidR="008B44C9" w:rsidRPr="00E428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pielāgoties jaunajām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B44C9" w:rsidRPr="00E428E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prasībām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06A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saistībā ar 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Pārskatā norādāmo datu apkopošan</w:t>
            </w:r>
            <w:r w:rsidR="00806A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BC2D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iesniegšan</w:t>
            </w:r>
            <w:r w:rsidR="00806A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B44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E815A04" w14:textId="77777777" w:rsidR="0018204B" w:rsidRDefault="0018204B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15384AF" w14:textId="02B30965" w:rsidR="0018204B" w:rsidRDefault="0018204B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Attiecībā uz </w:t>
            </w:r>
            <w:r w:rsidR="002E2DBD" w:rsidRPr="00D624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NILLTPF riska ekspozīcijas raksturojuma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pārskata 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2024. gada </w:t>
            </w:r>
            <w:r w:rsidR="003371B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4. 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ceturksni iesniegšanu Latvijas Bankai Noteikumu projektā noteikts, ka tas sagatavojams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Noteikumu Nr.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235 prasībām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iesniedzams Latvijas Bankai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līdz </w:t>
            </w:r>
            <w:r w:rsidRPr="00B66A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2025.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66A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31.</w:t>
            </w:r>
            <w:r w:rsidR="00F316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66A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janvārim</w:t>
            </w:r>
            <w:r w:rsidR="002E2DB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2E2DBD" w:rsidRPr="001C7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izmantojot datu ziņošanas sistēmu</w:t>
            </w:r>
            <w:r w:rsidR="002E2DBD" w:rsidRPr="00B66A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8BC3E11" w14:textId="35F20AD3" w:rsidR="00806A57" w:rsidRPr="00E428E2" w:rsidRDefault="00806A57" w:rsidP="008B4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21344" w:rsidRPr="000B4E0A" w14:paraId="0D41C72F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0BB02DC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Ietekme uz Latvijas Bankas budžetu</w:t>
            </w:r>
          </w:p>
          <w:p w14:paraId="7169767B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BB2CE29" w14:textId="77777777" w:rsidR="00721344" w:rsidRDefault="00E428E2" w:rsidP="00D6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90B">
              <w:rPr>
                <w:rFonts w:ascii="Times New Roman" w:eastAsia="Times New Roman" w:hAnsi="Times New Roman" w:cs="Times New Roman"/>
                <w:sz w:val="24"/>
                <w:szCs w:val="24"/>
              </w:rPr>
              <w:t>Noteikumu projekts neietekmē Latvijas Bankas budžeta ieņēmumus un izdevumus.</w:t>
            </w:r>
          </w:p>
          <w:p w14:paraId="75F32E3D" w14:textId="416E1B5F" w:rsidR="00806A57" w:rsidRPr="009D60E5" w:rsidRDefault="00806A57" w:rsidP="00D6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  <w:tr w:rsidR="00721344" w:rsidRPr="000B4E0A" w14:paraId="0687F15E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F8314A4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sloga un izmaksu novērtējums (tirgus dalībniekiem)</w:t>
            </w:r>
          </w:p>
          <w:p w14:paraId="52BBA4C1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AF16002" w14:textId="77777777" w:rsidR="00CE7001" w:rsidRDefault="00E428E2" w:rsidP="00E428E2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 w:rsidRPr="00530F50">
              <w:rPr>
                <w:rFonts w:eastAsia="Times New Roman"/>
                <w:color w:val="000000" w:themeColor="text1"/>
                <w:lang w:eastAsia="lv-LV"/>
              </w:rPr>
              <w:t>Noteikumu projektā paredzētās prasības nerada būtisku papildu administratīvo slogu</w:t>
            </w:r>
            <w:r w:rsidR="00CE7001">
              <w:rPr>
                <w:rFonts w:eastAsia="Times New Roman"/>
                <w:color w:val="000000" w:themeColor="text1"/>
                <w:lang w:eastAsia="lv-LV"/>
              </w:rPr>
              <w:t xml:space="preserve">. </w:t>
            </w:r>
          </w:p>
          <w:p w14:paraId="44AD446C" w14:textId="77777777" w:rsidR="00EB5D49" w:rsidRDefault="00EB5D49" w:rsidP="00E428E2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</w:p>
          <w:p w14:paraId="1FE8AE44" w14:textId="6D38E1F9" w:rsidR="00E428E2" w:rsidRPr="00530F50" w:rsidRDefault="00CE7001" w:rsidP="00E428E2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>Noteikumu projekts paredz k</w:t>
            </w:r>
            <w:r w:rsidR="00E428E2" w:rsidRPr="00CE7001">
              <w:rPr>
                <w:rFonts w:eastAsia="Times New Roman"/>
                <w:color w:val="000000" w:themeColor="text1"/>
                <w:lang w:eastAsia="lv-LV"/>
              </w:rPr>
              <w:t>redītiestādēm</w:t>
            </w:r>
            <w:r>
              <w:rPr>
                <w:rFonts w:eastAsia="Times New Roman"/>
                <w:color w:val="000000" w:themeColor="text1"/>
                <w:lang w:eastAsia="lv-LV"/>
              </w:rPr>
              <w:t xml:space="preserve"> un citu dalībvalstu </w:t>
            </w:r>
            <w:r w:rsidRPr="00CD0B0B">
              <w:rPr>
                <w:lang w:eastAsia="en-GB"/>
              </w:rPr>
              <w:t>un trešo valstu kredītiestāžu filiālēm Latvijas Republikā</w:t>
            </w:r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 xml:space="preserve"> iesniegt informāciju par </w:t>
            </w:r>
            <w:proofErr w:type="spellStart"/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>kriptoaktīvu</w:t>
            </w:r>
            <w:proofErr w:type="spellEnd"/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 xml:space="preserve"> pakalpojumu sniedzējiem, </w:t>
            </w:r>
            <w:r>
              <w:rPr>
                <w:rFonts w:eastAsia="Times New Roman"/>
                <w:color w:val="000000" w:themeColor="text1"/>
                <w:lang w:eastAsia="lv-LV"/>
              </w:rPr>
              <w:t xml:space="preserve">vienlaikus ir </w:t>
            </w:r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 xml:space="preserve">svītrotas </w:t>
            </w:r>
            <w:r w:rsidR="007C61CF">
              <w:rPr>
                <w:rFonts w:eastAsia="Times New Roman"/>
                <w:color w:val="000000" w:themeColor="text1"/>
                <w:lang w:eastAsia="lv-LV"/>
              </w:rPr>
              <w:t xml:space="preserve">šobrīd </w:t>
            </w:r>
            <w:r w:rsidR="007C61CF" w:rsidRPr="00BC2D35">
              <w:rPr>
                <w:rFonts w:eastAsia="Times New Roman"/>
                <w:lang w:eastAsia="lv-LV"/>
              </w:rPr>
              <w:t>Noteikumos Nr.</w:t>
            </w:r>
            <w:r w:rsidR="00F3164D">
              <w:rPr>
                <w:rFonts w:eastAsia="Times New Roman"/>
                <w:lang w:eastAsia="lv-LV"/>
              </w:rPr>
              <w:t> </w:t>
            </w:r>
            <w:r w:rsidR="007C61CF" w:rsidRPr="00BC2D35">
              <w:rPr>
                <w:rFonts w:eastAsia="Times New Roman"/>
                <w:lang w:eastAsia="lv-LV"/>
              </w:rPr>
              <w:t xml:space="preserve">235 </w:t>
            </w:r>
            <w:r w:rsidR="007C61CF">
              <w:rPr>
                <w:rFonts w:eastAsia="Times New Roman"/>
                <w:lang w:eastAsia="lv-LV"/>
              </w:rPr>
              <w:t xml:space="preserve">paredzētās </w:t>
            </w:r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 xml:space="preserve">prasības sniegt informāciju par saistītām grupām un alternatīvo ieguldījumu fondu pārvaldniekiem, tādējādi līdzsvarojot </w:t>
            </w:r>
            <w:r w:rsidR="00D65528">
              <w:rPr>
                <w:rFonts w:eastAsia="Times New Roman"/>
                <w:color w:val="000000" w:themeColor="text1"/>
                <w:lang w:eastAsia="lv-LV"/>
              </w:rPr>
              <w:t xml:space="preserve">Latvijas Bankai </w:t>
            </w:r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>iesniedzamās informācijas ap</w:t>
            </w:r>
            <w:r w:rsidR="00806A57">
              <w:rPr>
                <w:rFonts w:eastAsia="Times New Roman"/>
                <w:color w:val="000000" w:themeColor="text1"/>
                <w:lang w:eastAsia="lv-LV"/>
              </w:rPr>
              <w:t>jom</w:t>
            </w:r>
            <w:r w:rsidR="00E428E2" w:rsidRPr="00530F50">
              <w:rPr>
                <w:rFonts w:eastAsia="Times New Roman"/>
                <w:color w:val="000000" w:themeColor="text1"/>
                <w:lang w:eastAsia="lv-LV"/>
              </w:rPr>
              <w:t>u.</w:t>
            </w:r>
          </w:p>
          <w:p w14:paraId="3C721F33" w14:textId="77777777" w:rsidR="00E428E2" w:rsidRPr="00530F50" w:rsidRDefault="00E428E2" w:rsidP="00E428E2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</w:p>
          <w:p w14:paraId="4D7632CC" w14:textId="3F13114A" w:rsidR="00721344" w:rsidRDefault="00E428E2" w:rsidP="00F3164D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 xml:space="preserve">Vienlaikus, ņemot vērā, ka Noteikumu projektā paredzēta informācijas sniegšana </w:t>
            </w:r>
            <w:r w:rsidRPr="00FD3B3A">
              <w:rPr>
                <w:rFonts w:eastAsia="Times New Roman"/>
                <w:color w:val="000000" w:themeColor="text1"/>
                <w:lang w:eastAsia="lv-LV"/>
              </w:rPr>
              <w:t>paaugstinātās drošības sistēmā</w:t>
            </w:r>
            <w:r w:rsidR="00F9419E">
              <w:rPr>
                <w:rFonts w:eastAsia="Times New Roman"/>
                <w:color w:val="000000" w:themeColor="text1"/>
                <w:lang w:eastAsia="lv-LV"/>
              </w:rPr>
              <w:t xml:space="preserve">, kā arī </w:t>
            </w:r>
            <w:r>
              <w:rPr>
                <w:rFonts w:eastAsia="Times New Roman"/>
                <w:color w:val="000000" w:themeColor="text1"/>
                <w:lang w:eastAsia="lv-LV"/>
              </w:rPr>
              <w:t xml:space="preserve">ir noteikta prasība iepriekš sniedzamo informāciju </w:t>
            </w:r>
            <w:r w:rsidR="00F9419E">
              <w:rPr>
                <w:rFonts w:eastAsia="Times New Roman"/>
                <w:color w:val="000000" w:themeColor="text1"/>
                <w:lang w:eastAsia="lv-LV"/>
              </w:rPr>
              <w:t>sagatavot sīkākā detalizācijā</w:t>
            </w:r>
            <w:r w:rsidR="00530F50">
              <w:rPr>
                <w:rFonts w:eastAsia="Times New Roman"/>
                <w:color w:val="000000" w:themeColor="text1"/>
                <w:lang w:eastAsia="lv-LV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eastAsia="lv-LV"/>
              </w:rPr>
              <w:t>paredzēts</w:t>
            </w:r>
            <w:r w:rsidR="00F9419E">
              <w:rPr>
                <w:rFonts w:eastAsia="Times New Roman"/>
                <w:color w:val="000000" w:themeColor="text1"/>
                <w:lang w:eastAsia="lv-LV"/>
              </w:rPr>
              <w:t xml:space="preserve"> pārejas regulējums</w:t>
            </w:r>
            <w:r w:rsidR="00BC2D35">
              <w:rPr>
                <w:rFonts w:eastAsia="Times New Roman"/>
                <w:color w:val="000000" w:themeColor="text1"/>
                <w:lang w:eastAsia="lv-LV"/>
              </w:rPr>
              <w:t xml:space="preserve"> </w:t>
            </w:r>
            <w:r w:rsidR="002E2DBD">
              <w:rPr>
                <w:rFonts w:eastAsia="Times New Roman"/>
                <w:color w:val="000000" w:themeColor="text1"/>
                <w:lang w:eastAsia="lv-LV"/>
              </w:rPr>
              <w:t xml:space="preserve">pirmo divu </w:t>
            </w:r>
            <w:r w:rsidR="00BC2D35">
              <w:rPr>
                <w:rFonts w:eastAsia="Times New Roman"/>
                <w:color w:val="000000" w:themeColor="text1"/>
                <w:lang w:eastAsia="lv-LV"/>
              </w:rPr>
              <w:t>Pārskat</w:t>
            </w:r>
            <w:r w:rsidR="002E2DBD">
              <w:rPr>
                <w:rFonts w:eastAsia="Times New Roman"/>
                <w:color w:val="000000" w:themeColor="text1"/>
                <w:lang w:eastAsia="lv-LV"/>
              </w:rPr>
              <w:t>u</w:t>
            </w:r>
            <w:r w:rsidR="00BC2D35">
              <w:rPr>
                <w:rFonts w:eastAsia="Times New Roman"/>
                <w:color w:val="000000" w:themeColor="text1"/>
                <w:lang w:eastAsia="lv-LV"/>
              </w:rPr>
              <w:t xml:space="preserve"> iesniegšan</w:t>
            </w:r>
            <w:r w:rsidR="00F9419E">
              <w:rPr>
                <w:rFonts w:eastAsia="Times New Roman"/>
                <w:color w:val="000000" w:themeColor="text1"/>
                <w:lang w:eastAsia="lv-LV"/>
              </w:rPr>
              <w:t>ai</w:t>
            </w:r>
            <w:r w:rsidR="00BC2D35">
              <w:rPr>
                <w:rFonts w:eastAsia="Times New Roman"/>
                <w:color w:val="000000" w:themeColor="text1"/>
                <w:lang w:eastAsia="lv-LV"/>
              </w:rPr>
              <w:t>.</w:t>
            </w:r>
          </w:p>
          <w:p w14:paraId="03AC5D67" w14:textId="2FB7BCB6" w:rsidR="00F3164D" w:rsidRPr="00530F50" w:rsidRDefault="00F3164D" w:rsidP="00F3164D">
            <w:pPr>
              <w:pStyle w:val="Default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</w:p>
        </w:tc>
      </w:tr>
      <w:tr w:rsidR="00721344" w:rsidRPr="000B4E0A" w14:paraId="7032719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843586D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3AA406B2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F6FA87E" w14:textId="2FE2D0EC" w:rsidR="00721344" w:rsidRPr="00472AA5" w:rsidRDefault="00F3164D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72AA5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hyperlink r:id="rId17" w:history="1">
              <w:r w:rsidR="007B0FBF" w:rsidRPr="00472AA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L</w:t>
              </w:r>
              <w:r w:rsidR="00530F50" w:rsidRPr="00472AA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ikums</w:t>
              </w:r>
            </w:hyperlink>
            <w:r w:rsidR="00806A57" w:rsidRPr="00472A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B7E1DEF" w14:textId="738731DD" w:rsidR="00530F50" w:rsidRPr="00472AA5" w:rsidRDefault="00F3164D" w:rsidP="00530F50">
            <w:pPr>
              <w:spacing w:after="0" w:line="240" w:lineRule="auto"/>
              <w:jc w:val="both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472AA5">
              <w:rPr>
                <w:rStyle w:val="Hyperlink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lv-LV"/>
              </w:rPr>
              <w:t>2</w:t>
            </w:r>
            <w:r w:rsidRPr="00472AA5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 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fldChar w:fldCharType="begin"/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instrText>HYPERLINK "https://www.eba.europa.eu/sites/default/files/document_library/Publications/Guidelines/2022/EBA-GL-2022-05%20GLs%20on%20AML%20compliance%20officers/Translations/1039073/GL%20on%20AMLCFT%20compliance%20officers%20%28EBA%20GL%202022%2005%29_LV_COR.pdf"</w:instrTex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fldChar w:fldCharType="separate"/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Banku iestādes 2022. gada 14. jūnija </w:t>
            </w:r>
            <w:r w:rsidR="003371B4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pamatnostādnes</w:t>
            </w:r>
            <w:r w:rsidR="0055777E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371B4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EBA/GL/2022/05 </w:t>
            </w:r>
            <w:r w:rsidR="00902EA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Pamatnostādn</w:t>
            </w:r>
            <w:r w:rsidR="00902EA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par politiku un procedūrām saistībā ar atbilstības pārvaldību un NILL/TFN atbilstības uzraudzības amatpersonas lomu un uzdevumiem saskaņā ar Direktīvas (ES)</w:t>
            </w:r>
            <w:r w:rsidR="00902EA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2015/849 8.</w:t>
            </w:r>
            <w:r w:rsidR="00786743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pantu un VI</w:t>
            </w:r>
            <w:r w:rsidR="00786743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30F5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nodaļu</w:t>
            </w:r>
            <w:r w:rsidR="00902EA0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806A57" w:rsidRPr="00472AA5">
              <w:rPr>
                <w:rStyle w:val="Hyperlink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lv-LV"/>
              </w:rPr>
              <w:t>.</w:t>
            </w:r>
          </w:p>
          <w:p w14:paraId="5EEE3582" w14:textId="538D4519" w:rsidR="00530F50" w:rsidRPr="00472AA5" w:rsidRDefault="00530F50" w:rsidP="00530F50">
            <w:pPr>
              <w:spacing w:after="0" w:line="240" w:lineRule="auto"/>
              <w:jc w:val="both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fldChar w:fldCharType="end"/>
            </w:r>
            <w:r w:rsidR="00472AA5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72AA5"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. Noteikumi Nr. 235</w:t>
            </w:r>
            <w:r w:rsid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1A75D3" w14:textId="77777777" w:rsidR="00472AA5" w:rsidRDefault="00472AA5" w:rsidP="00530F50">
            <w:pPr>
              <w:spacing w:after="0" w:line="240" w:lineRule="auto"/>
              <w:jc w:val="both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4. Latvijas Bankas 2022. gada 13. jūnija noteikum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 Nr. 211 "Statistisko datu par vērtspapīriem sagatavošanas un iesniegšanas noteikumi"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A19DE0" w14:textId="14C17255" w:rsidR="00472AA5" w:rsidRPr="00472AA5" w:rsidRDefault="00472AA5" w:rsidP="0053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. Latvijas Bankas 2022. gada 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oktobra 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noteikum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 Nr.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472AA5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 xml:space="preserve"> "Noteikumi par elektronisko informācijas apmaiņu ar Latvijas Banku"</w:t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1344" w:rsidRPr="000B4E0A" w14:paraId="56F0489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A3C982D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61A6ECF5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96F258A" w14:textId="77777777" w:rsidR="00530F50" w:rsidRPr="00EC7FB8" w:rsidRDefault="00530F50" w:rsidP="00530F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Noteikumu projekts nav jāsaskaņo ar Eiropas Centrālo banku.</w:t>
            </w:r>
          </w:p>
          <w:p w14:paraId="5BDD6172" w14:textId="77777777" w:rsidR="00721344" w:rsidRPr="00530F50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21344" w:rsidRPr="000B4E0A" w14:paraId="4654983F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B1D1A66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 ar citām publiskām un privātām personām</w:t>
            </w:r>
          </w:p>
          <w:p w14:paraId="068AA395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7B5E79F" w14:textId="01FA26CA" w:rsidR="0056025F" w:rsidRDefault="0056025F" w:rsidP="005602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Noteikumu projekts 2024. gada 23. oktobrī tika publicēts Latvijas Bankas tīmekļvietnes </w:t>
            </w:r>
            <w:hyperlink r:id="rId18" w:history="1">
              <w:r w:rsidRPr="0056025F">
                <w:rPr>
                  <w:rFonts w:ascii="Times New Roman" w:hAnsi="Times New Roman"/>
                  <w:color w:val="000000" w:themeColor="text1"/>
                  <w:sz w:val="24"/>
                </w:rPr>
                <w:t>www.bank.lv</w:t>
              </w:r>
            </w:hyperlink>
            <w:r w:rsidRPr="00560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sadaļā "Sabiedrības līdzdalība", aicinot priekšlikumus iesniegt līdz 2024. gada 6. novembrim. </w:t>
            </w:r>
          </w:p>
          <w:p w14:paraId="7EDB602C" w14:textId="77777777" w:rsidR="0056025F" w:rsidRPr="0056025F" w:rsidRDefault="0056025F" w:rsidP="005602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12D8E8" w14:textId="3C2B19FE" w:rsidR="00806A57" w:rsidRPr="00530F50" w:rsidRDefault="00530F50" w:rsidP="00806A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Vienlaikus par </w:t>
            </w:r>
            <w:r w:rsidR="00786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oteikumu projektu un notiekošo sabiedrības līdzdalību tik</w:t>
            </w:r>
            <w:r w:rsidR="00560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informēti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inanšu tirgus dalībnieki, ka</w:t>
            </w:r>
            <w:r w:rsidR="00BC2D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6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oteikumu projekts ir saistošs</w:t>
            </w:r>
            <w:r w:rsidR="00806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 tos pārstāvo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Pr="00530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ās profesionālās asociācijas. </w:t>
            </w:r>
          </w:p>
          <w:p w14:paraId="0FB24D85" w14:textId="44CC811C" w:rsidR="00806A57" w:rsidRPr="009B27BE" w:rsidRDefault="00806A57" w:rsidP="0056025F">
            <w:pPr>
              <w:pStyle w:val="ListParagraph"/>
              <w:tabs>
                <w:tab w:val="left" w:pos="31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  <w:tr w:rsidR="00721344" w:rsidRPr="000B4E0A" w14:paraId="7B31C0E1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366173D1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53A4E4FA" w14:textId="77777777" w:rsidR="00721344" w:rsidRPr="00E253DA" w:rsidRDefault="00721344" w:rsidP="00721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7F132AB" w14:textId="022587E6" w:rsidR="00806A57" w:rsidRPr="00530F50" w:rsidRDefault="0056025F" w:rsidP="00806A57">
            <w:pPr>
              <w:pStyle w:val="ListParagraph"/>
              <w:tabs>
                <w:tab w:val="left" w:pos="390"/>
              </w:tabs>
              <w:spacing w:after="0" w:line="240" w:lineRule="auto"/>
              <w:ind w:left="34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60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Sabiedrības līdzdalības rezultātā par noteikumu projektu netika saņemti iebildumi vai priekšlikumi.</w:t>
            </w:r>
          </w:p>
        </w:tc>
      </w:tr>
    </w:tbl>
    <w:p w14:paraId="3EC17432" w14:textId="77777777" w:rsidR="009B27BE" w:rsidRDefault="009B27BE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370C4" w14:textId="77777777" w:rsidR="00E53DE9" w:rsidRPr="000B4E0A" w:rsidRDefault="00E53DE9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7E313B">
      <w:headerReference w:type="default" r:id="rId19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09F87" w14:textId="77777777" w:rsidR="004D747F" w:rsidRDefault="004D747F" w:rsidP="009B27BE">
      <w:pPr>
        <w:spacing w:after="0" w:line="240" w:lineRule="auto"/>
      </w:pPr>
      <w:r>
        <w:separator/>
      </w:r>
    </w:p>
  </w:endnote>
  <w:endnote w:type="continuationSeparator" w:id="0">
    <w:p w14:paraId="4468462D" w14:textId="77777777" w:rsidR="004D747F" w:rsidRDefault="004D747F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4F001" w14:textId="77777777" w:rsidR="004D747F" w:rsidRDefault="004D747F" w:rsidP="009B27BE">
      <w:pPr>
        <w:spacing w:after="0" w:line="240" w:lineRule="auto"/>
      </w:pPr>
      <w:r>
        <w:separator/>
      </w:r>
    </w:p>
  </w:footnote>
  <w:footnote w:type="continuationSeparator" w:id="0">
    <w:p w14:paraId="1480CD3B" w14:textId="77777777" w:rsidR="004D747F" w:rsidRDefault="004D747F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DC3F5FA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1C030D8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413"/>
    <w:multiLevelType w:val="hybridMultilevel"/>
    <w:tmpl w:val="27D8F75E"/>
    <w:lvl w:ilvl="0" w:tplc="0426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9F07936"/>
    <w:multiLevelType w:val="hybridMultilevel"/>
    <w:tmpl w:val="91E2EE66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E081C"/>
    <w:multiLevelType w:val="hybridMultilevel"/>
    <w:tmpl w:val="A4D60E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805"/>
    <w:multiLevelType w:val="hybridMultilevel"/>
    <w:tmpl w:val="31389822"/>
    <w:lvl w:ilvl="0" w:tplc="B2C83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1F49CF"/>
    <w:multiLevelType w:val="hybridMultilevel"/>
    <w:tmpl w:val="4C5CDA76"/>
    <w:lvl w:ilvl="0" w:tplc="0370564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A770C"/>
    <w:multiLevelType w:val="hybridMultilevel"/>
    <w:tmpl w:val="6AF0EA6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85F3F"/>
    <w:multiLevelType w:val="hybridMultilevel"/>
    <w:tmpl w:val="DB4EEC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E7F8F"/>
    <w:multiLevelType w:val="hybridMultilevel"/>
    <w:tmpl w:val="214CAAB4"/>
    <w:lvl w:ilvl="0" w:tplc="D50231D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2543AD"/>
    <w:multiLevelType w:val="hybridMultilevel"/>
    <w:tmpl w:val="98F67E4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4790A"/>
    <w:multiLevelType w:val="hybridMultilevel"/>
    <w:tmpl w:val="2098B95E"/>
    <w:lvl w:ilvl="0" w:tplc="0426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B7D32"/>
    <w:multiLevelType w:val="multilevel"/>
    <w:tmpl w:val="8AEE7442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pStyle w:val="NApunkts2"/>
      <w:suff w:val="space"/>
      <w:lvlText w:val="%2."/>
      <w:lvlJc w:val="left"/>
      <w:pPr>
        <w:ind w:left="2976" w:firstLine="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C474063"/>
    <w:multiLevelType w:val="hybridMultilevel"/>
    <w:tmpl w:val="1FE022A4"/>
    <w:lvl w:ilvl="0" w:tplc="0426000F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77474D"/>
    <w:multiLevelType w:val="hybridMultilevel"/>
    <w:tmpl w:val="2A4E3614"/>
    <w:lvl w:ilvl="0" w:tplc="B1FECD4A">
      <w:start w:val="1"/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3" w15:restartNumberingAfterBreak="0">
    <w:nsid w:val="70CB634A"/>
    <w:multiLevelType w:val="hybridMultilevel"/>
    <w:tmpl w:val="FB5CAD50"/>
    <w:lvl w:ilvl="0" w:tplc="5AEC9622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3E0BBA"/>
    <w:multiLevelType w:val="hybridMultilevel"/>
    <w:tmpl w:val="D198393A"/>
    <w:lvl w:ilvl="0" w:tplc="A3C2D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60715E"/>
    <w:multiLevelType w:val="hybridMultilevel"/>
    <w:tmpl w:val="5BF415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918464">
    <w:abstractNumId w:val="6"/>
  </w:num>
  <w:num w:numId="2" w16cid:durableId="1507790209">
    <w:abstractNumId w:val="5"/>
  </w:num>
  <w:num w:numId="3" w16cid:durableId="933049515">
    <w:abstractNumId w:val="14"/>
  </w:num>
  <w:num w:numId="4" w16cid:durableId="329716932">
    <w:abstractNumId w:val="3"/>
  </w:num>
  <w:num w:numId="5" w16cid:durableId="1226449400">
    <w:abstractNumId w:val="7"/>
  </w:num>
  <w:num w:numId="6" w16cid:durableId="1638796072">
    <w:abstractNumId w:val="13"/>
  </w:num>
  <w:num w:numId="7" w16cid:durableId="874081452">
    <w:abstractNumId w:val="8"/>
  </w:num>
  <w:num w:numId="8" w16cid:durableId="340552041">
    <w:abstractNumId w:val="10"/>
  </w:num>
  <w:num w:numId="9" w16cid:durableId="2038892696">
    <w:abstractNumId w:val="12"/>
  </w:num>
  <w:num w:numId="10" w16cid:durableId="14876262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851647">
    <w:abstractNumId w:val="4"/>
  </w:num>
  <w:num w:numId="12" w16cid:durableId="535891740">
    <w:abstractNumId w:val="11"/>
  </w:num>
  <w:num w:numId="13" w16cid:durableId="569654716">
    <w:abstractNumId w:val="2"/>
  </w:num>
  <w:num w:numId="14" w16cid:durableId="554197719">
    <w:abstractNumId w:val="15"/>
  </w:num>
  <w:num w:numId="15" w16cid:durableId="1391613294">
    <w:abstractNumId w:val="0"/>
  </w:num>
  <w:num w:numId="16" w16cid:durableId="1585606074">
    <w:abstractNumId w:val="1"/>
  </w:num>
  <w:num w:numId="17" w16cid:durableId="18598511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EF"/>
    <w:rsid w:val="000263F5"/>
    <w:rsid w:val="00056B54"/>
    <w:rsid w:val="0008510E"/>
    <w:rsid w:val="00087CAB"/>
    <w:rsid w:val="0009616F"/>
    <w:rsid w:val="000B4E0A"/>
    <w:rsid w:val="000C28D7"/>
    <w:rsid w:val="000C6175"/>
    <w:rsid w:val="000D350A"/>
    <w:rsid w:val="000F2F0D"/>
    <w:rsid w:val="001001EE"/>
    <w:rsid w:val="00115491"/>
    <w:rsid w:val="001227DE"/>
    <w:rsid w:val="00123FEF"/>
    <w:rsid w:val="00132070"/>
    <w:rsid w:val="00133F6A"/>
    <w:rsid w:val="0013768E"/>
    <w:rsid w:val="00143A48"/>
    <w:rsid w:val="001476CA"/>
    <w:rsid w:val="00176D4E"/>
    <w:rsid w:val="0018204B"/>
    <w:rsid w:val="001A5171"/>
    <w:rsid w:val="001B3532"/>
    <w:rsid w:val="001B3856"/>
    <w:rsid w:val="001D087D"/>
    <w:rsid w:val="001E4FCD"/>
    <w:rsid w:val="001F1469"/>
    <w:rsid w:val="001F2FAD"/>
    <w:rsid w:val="001F69EE"/>
    <w:rsid w:val="00206789"/>
    <w:rsid w:val="00217FB4"/>
    <w:rsid w:val="0023185E"/>
    <w:rsid w:val="002C27B6"/>
    <w:rsid w:val="002C576C"/>
    <w:rsid w:val="002D1A97"/>
    <w:rsid w:val="002E0EE9"/>
    <w:rsid w:val="002E2DBD"/>
    <w:rsid w:val="0030710D"/>
    <w:rsid w:val="003344C2"/>
    <w:rsid w:val="003371B4"/>
    <w:rsid w:val="00372181"/>
    <w:rsid w:val="0037254D"/>
    <w:rsid w:val="0038500C"/>
    <w:rsid w:val="00386A79"/>
    <w:rsid w:val="003B481B"/>
    <w:rsid w:val="003B691E"/>
    <w:rsid w:val="003D1BBE"/>
    <w:rsid w:val="003D5939"/>
    <w:rsid w:val="003E1A87"/>
    <w:rsid w:val="003E3F14"/>
    <w:rsid w:val="004058CD"/>
    <w:rsid w:val="004301B0"/>
    <w:rsid w:val="00472AA5"/>
    <w:rsid w:val="00483BAB"/>
    <w:rsid w:val="0049248A"/>
    <w:rsid w:val="004A5281"/>
    <w:rsid w:val="004C5C70"/>
    <w:rsid w:val="004D747F"/>
    <w:rsid w:val="004F5AC3"/>
    <w:rsid w:val="00505A16"/>
    <w:rsid w:val="00506D4B"/>
    <w:rsid w:val="00516383"/>
    <w:rsid w:val="0052091D"/>
    <w:rsid w:val="00523534"/>
    <w:rsid w:val="00530F50"/>
    <w:rsid w:val="0055777E"/>
    <w:rsid w:val="0056025F"/>
    <w:rsid w:val="00564A74"/>
    <w:rsid w:val="00567928"/>
    <w:rsid w:val="005952DA"/>
    <w:rsid w:val="00596FE3"/>
    <w:rsid w:val="005A30A4"/>
    <w:rsid w:val="005B3E28"/>
    <w:rsid w:val="005C2CBD"/>
    <w:rsid w:val="005C6F8D"/>
    <w:rsid w:val="0060016E"/>
    <w:rsid w:val="006167A1"/>
    <w:rsid w:val="00641B02"/>
    <w:rsid w:val="00642172"/>
    <w:rsid w:val="0064261B"/>
    <w:rsid w:val="00687B76"/>
    <w:rsid w:val="006A3B95"/>
    <w:rsid w:val="006B08FC"/>
    <w:rsid w:val="006D41E9"/>
    <w:rsid w:val="006F50DE"/>
    <w:rsid w:val="006F688B"/>
    <w:rsid w:val="00712BA8"/>
    <w:rsid w:val="00721344"/>
    <w:rsid w:val="00756820"/>
    <w:rsid w:val="00762371"/>
    <w:rsid w:val="00786743"/>
    <w:rsid w:val="00790CDB"/>
    <w:rsid w:val="007A697F"/>
    <w:rsid w:val="007B0FBF"/>
    <w:rsid w:val="007C61CF"/>
    <w:rsid w:val="007E2E6F"/>
    <w:rsid w:val="007E313B"/>
    <w:rsid w:val="007F5CEE"/>
    <w:rsid w:val="00806A57"/>
    <w:rsid w:val="00855EA6"/>
    <w:rsid w:val="00860410"/>
    <w:rsid w:val="00864328"/>
    <w:rsid w:val="008A5EEF"/>
    <w:rsid w:val="008B44C9"/>
    <w:rsid w:val="008B645D"/>
    <w:rsid w:val="00901866"/>
    <w:rsid w:val="00902EA0"/>
    <w:rsid w:val="00920831"/>
    <w:rsid w:val="009318F0"/>
    <w:rsid w:val="009358A7"/>
    <w:rsid w:val="00963393"/>
    <w:rsid w:val="00985125"/>
    <w:rsid w:val="009B27BE"/>
    <w:rsid w:val="009D60E5"/>
    <w:rsid w:val="009D69BC"/>
    <w:rsid w:val="00A0418B"/>
    <w:rsid w:val="00A104A5"/>
    <w:rsid w:val="00A10D0E"/>
    <w:rsid w:val="00A42788"/>
    <w:rsid w:val="00A4598A"/>
    <w:rsid w:val="00A66D05"/>
    <w:rsid w:val="00A70F02"/>
    <w:rsid w:val="00A7791F"/>
    <w:rsid w:val="00AC62E6"/>
    <w:rsid w:val="00AE2081"/>
    <w:rsid w:val="00B239A5"/>
    <w:rsid w:val="00B62244"/>
    <w:rsid w:val="00B62E46"/>
    <w:rsid w:val="00B716DB"/>
    <w:rsid w:val="00B95DAB"/>
    <w:rsid w:val="00BC2D35"/>
    <w:rsid w:val="00BE24BB"/>
    <w:rsid w:val="00C10A9D"/>
    <w:rsid w:val="00C26C21"/>
    <w:rsid w:val="00C314E5"/>
    <w:rsid w:val="00C529A1"/>
    <w:rsid w:val="00C63D55"/>
    <w:rsid w:val="00C770A5"/>
    <w:rsid w:val="00C85C34"/>
    <w:rsid w:val="00CA1F56"/>
    <w:rsid w:val="00CA28AB"/>
    <w:rsid w:val="00CA7CA8"/>
    <w:rsid w:val="00CC3E6C"/>
    <w:rsid w:val="00CD2074"/>
    <w:rsid w:val="00CE3CB6"/>
    <w:rsid w:val="00CE3FD6"/>
    <w:rsid w:val="00CE7001"/>
    <w:rsid w:val="00CF1D3E"/>
    <w:rsid w:val="00D1570D"/>
    <w:rsid w:val="00D16249"/>
    <w:rsid w:val="00D17D5D"/>
    <w:rsid w:val="00D225AE"/>
    <w:rsid w:val="00D3489E"/>
    <w:rsid w:val="00D508D3"/>
    <w:rsid w:val="00D619C5"/>
    <w:rsid w:val="00D6243F"/>
    <w:rsid w:val="00D65528"/>
    <w:rsid w:val="00D81F30"/>
    <w:rsid w:val="00DF7EEC"/>
    <w:rsid w:val="00E042CA"/>
    <w:rsid w:val="00E04474"/>
    <w:rsid w:val="00E253DA"/>
    <w:rsid w:val="00E428E2"/>
    <w:rsid w:val="00E53DE9"/>
    <w:rsid w:val="00E60064"/>
    <w:rsid w:val="00E64397"/>
    <w:rsid w:val="00E9031C"/>
    <w:rsid w:val="00EA40C4"/>
    <w:rsid w:val="00EB261C"/>
    <w:rsid w:val="00EB5D49"/>
    <w:rsid w:val="00EC779D"/>
    <w:rsid w:val="00EF1E50"/>
    <w:rsid w:val="00EF330D"/>
    <w:rsid w:val="00EF4D09"/>
    <w:rsid w:val="00EF66DD"/>
    <w:rsid w:val="00F15FC9"/>
    <w:rsid w:val="00F3164D"/>
    <w:rsid w:val="00F3739E"/>
    <w:rsid w:val="00F57CCF"/>
    <w:rsid w:val="00F9419E"/>
    <w:rsid w:val="00F96DEF"/>
    <w:rsid w:val="00F96F9C"/>
    <w:rsid w:val="00FA4B91"/>
    <w:rsid w:val="00FC70C7"/>
    <w:rsid w:val="00FE0C01"/>
    <w:rsid w:val="00FE37A6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17D34"/>
  <w15:chartTrackingRefBased/>
  <w15:docId w15:val="{5FA55F13-FBA0-4C07-844E-7AE4EE6C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character" w:styleId="Hyperlink">
    <w:name w:val="Hyperlink"/>
    <w:basedOn w:val="DefaultParagraphFont"/>
    <w:uiPriority w:val="99"/>
    <w:unhideWhenUsed/>
    <w:rsid w:val="009D60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0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01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866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866"/>
    <w:rPr>
      <w:rFonts w:ascii="Times New Roman" w:eastAsiaTheme="minorEastAsia" w:hAnsi="Times New Roman"/>
      <w:sz w:val="20"/>
      <w:szCs w:val="20"/>
      <w:lang w:eastAsia="lv-LV"/>
    </w:rPr>
  </w:style>
  <w:style w:type="paragraph" w:styleId="ListParagraph">
    <w:name w:val="List Paragraph"/>
    <w:aliases w:val="Paragraphe EI,Paragraphe de liste1,EC,Dot pt,List Paragraph1,Colorful List - Accent 11,No Spacing1,List Paragraph Char Char Char,Indicator Text,Numbered Para 1,Bullet 1,F5 List Paragraph,Bullet Points,List Paragraph2,List Paragraph12"/>
    <w:basedOn w:val="Normal"/>
    <w:link w:val="ListParagraphChar"/>
    <w:uiPriority w:val="34"/>
    <w:qFormat/>
    <w:rsid w:val="00176D4E"/>
    <w:pPr>
      <w:ind w:left="720"/>
      <w:contextualSpacing/>
    </w:pPr>
  </w:style>
  <w:style w:type="paragraph" w:customStyle="1" w:styleId="NApunkts1">
    <w:name w:val="NA punkts 1"/>
    <w:basedOn w:val="Normal"/>
    <w:qFormat/>
    <w:rsid w:val="00721344"/>
    <w:pPr>
      <w:numPr>
        <w:numId w:val="8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721344"/>
    <w:pPr>
      <w:keepLines/>
      <w:numPr>
        <w:ilvl w:val="1"/>
        <w:numId w:val="8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721344"/>
    <w:pPr>
      <w:keepLines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721344"/>
    <w:pPr>
      <w:keepLines/>
      <w:numPr>
        <w:ilvl w:val="3"/>
        <w:numId w:val="8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E42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efaultParagraphFont"/>
    <w:rsid w:val="00E428E2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Paragraphe EI Char,Paragraphe de liste1 Char,EC Char,Dot pt Char,List Paragraph1 Char,Colorful List - Accent 11 Char,No Spacing1 Char,List Paragraph Char Char Char Char,Indicator Text Char,Numbered Para 1 Char,Bullet 1 Char"/>
    <w:link w:val="ListParagraph"/>
    <w:uiPriority w:val="34"/>
    <w:qFormat/>
    <w:locked/>
    <w:rsid w:val="00530F50"/>
  </w:style>
  <w:style w:type="paragraph" w:styleId="Revision">
    <w:name w:val="Revision"/>
    <w:hidden/>
    <w:uiPriority w:val="99"/>
    <w:semiHidden/>
    <w:rsid w:val="00A70F0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91F"/>
    <w:pPr>
      <w:spacing w:after="160"/>
    </w:pPr>
    <w:rPr>
      <w:rFonts w:asciiTheme="minorHAnsi" w:eastAsiaTheme="minorHAnsi" w:hAnsi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91F"/>
    <w:rPr>
      <w:rFonts w:ascii="Times New Roman" w:eastAsiaTheme="minorEastAsia" w:hAnsi="Times New Roman"/>
      <w:b/>
      <w:bCs/>
      <w:sz w:val="20"/>
      <w:szCs w:val="20"/>
      <w:lang w:eastAsia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472A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kumi.lv/ta/id/333311-statistisko-datu-par-vertspapiriem-sagatavosanas-un-iesniegsanas-noteikumi" TargetMode="External"/><Relationship Id="rId18" Type="http://schemas.openxmlformats.org/officeDocument/2006/relationships/hyperlink" Target="http://www.bank.lv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likumi.lv/ta/id/178987" TargetMode="External"/><Relationship Id="rId17" Type="http://schemas.openxmlformats.org/officeDocument/2006/relationships/hyperlink" Target="https://likumi.lv/ta/id/178987-noziedzigi-iegutu-lidzeklu-legalizacijas-un-terorisma-un-proliferacijas-finansesanas-noversanas-likum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kumi.lv/ta/id/17898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kumi.lv/ta/id/17898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ikumi.lv/ta/id/333311-statistisko-datu-par-vertspapiriem-sagatavosanas-un-iesniegsanas-noteikum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ikumi.lv/ta/id/333311-statistisko-datu-par-vertspapiriem-sagatavosanas-un-iesniegsanas-noteikumi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B863EF0B414455CB62FCA1B59981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4D373-D282-47BE-92DC-35741B05B6F8}"/>
      </w:docPartPr>
      <w:docPartBody>
        <w:p w:rsidR="00435E97" w:rsidRDefault="00435E97" w:rsidP="00435E97">
          <w:pPr>
            <w:pStyle w:val="EB863EF0B414455CB62FCA1B599810C7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87E8EF45EC9E4D5A897E8DC56C77D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CB3B7-1409-4D4D-B3EB-FDB17498CB5C}"/>
      </w:docPartPr>
      <w:docPartBody>
        <w:p w:rsidR="00435E97" w:rsidRDefault="00435E97" w:rsidP="00435E97">
          <w:pPr>
            <w:pStyle w:val="87E8EF45EC9E4D5A897E8DC56C77DAD9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0AA6E7E0A9FF416380CA308582D4A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E7766-2150-4392-882E-C5D0A86D34E7}"/>
      </w:docPartPr>
      <w:docPartBody>
        <w:p w:rsidR="00435E97" w:rsidRDefault="00435E97" w:rsidP="00435E97">
          <w:pPr>
            <w:pStyle w:val="0AA6E7E0A9FF416380CA308582D4AE7F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97"/>
    <w:rsid w:val="000C28D7"/>
    <w:rsid w:val="000C6175"/>
    <w:rsid w:val="000D0994"/>
    <w:rsid w:val="001476CA"/>
    <w:rsid w:val="00372181"/>
    <w:rsid w:val="0037254D"/>
    <w:rsid w:val="0038500C"/>
    <w:rsid w:val="00435E97"/>
    <w:rsid w:val="004F5AC3"/>
    <w:rsid w:val="00516383"/>
    <w:rsid w:val="005952DA"/>
    <w:rsid w:val="005A30A4"/>
    <w:rsid w:val="005C2CBD"/>
    <w:rsid w:val="005C6F8D"/>
    <w:rsid w:val="0064261B"/>
    <w:rsid w:val="006F50DE"/>
    <w:rsid w:val="00855EA6"/>
    <w:rsid w:val="008E3E9F"/>
    <w:rsid w:val="009318F0"/>
    <w:rsid w:val="00985125"/>
    <w:rsid w:val="00A10D0E"/>
    <w:rsid w:val="00B62E46"/>
    <w:rsid w:val="00C314E5"/>
    <w:rsid w:val="00C63D55"/>
    <w:rsid w:val="00CA1F56"/>
    <w:rsid w:val="00CA7CA8"/>
    <w:rsid w:val="00CE3FD6"/>
    <w:rsid w:val="00D16249"/>
    <w:rsid w:val="00E042CA"/>
    <w:rsid w:val="00F02612"/>
    <w:rsid w:val="00F5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5E97"/>
    <w:rPr>
      <w:color w:val="808080"/>
    </w:rPr>
  </w:style>
  <w:style w:type="paragraph" w:customStyle="1" w:styleId="EB863EF0B414455CB62FCA1B599810C7">
    <w:name w:val="EB863EF0B414455CB62FCA1B599810C7"/>
    <w:rsid w:val="00435E97"/>
  </w:style>
  <w:style w:type="paragraph" w:customStyle="1" w:styleId="87E8EF45EC9E4D5A897E8DC56C77DAD9">
    <w:name w:val="87E8EF45EC9E4D5A897E8DC56C77DAD9"/>
    <w:rsid w:val="00435E97"/>
  </w:style>
  <w:style w:type="paragraph" w:customStyle="1" w:styleId="0AA6E7E0A9FF416380CA308582D4AE7F">
    <w:name w:val="0AA6E7E0A9FF416380CA308582D4AE7F"/>
    <w:rsid w:val="00435E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1</TotalTime>
  <Pages>7</Pages>
  <Words>10205</Words>
  <Characters>5818</Characters>
  <Application>Microsoft Office Word</Application>
  <DocSecurity>0</DocSecurity>
  <Lines>48</Lines>
  <Paragraphs>31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 Zarečņeva</dc:creator>
  <cp:keywords/>
  <dc:description/>
  <cp:lastModifiedBy>Ilze Grava</cp:lastModifiedBy>
  <cp:revision>3</cp:revision>
  <cp:lastPrinted>2024-10-21T06:14:00Z</cp:lastPrinted>
  <dcterms:created xsi:type="dcterms:W3CDTF">2024-11-07T09:47:00Z</dcterms:created>
  <dcterms:modified xsi:type="dcterms:W3CDTF">2024-11-11T09:12:00Z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