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D2AEF" w14:textId="77777777" w:rsidR="009C42A8" w:rsidRPr="0079205D" w:rsidRDefault="001170E5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F165937148854CB78E9A4979A413A505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4D4CBB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54349172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61ECFD4F89AA41CFA024256ECAD27BE9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22974056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1F8BE09C" w14:textId="77777777" w:rsidR="003C1EF2" w:rsidRDefault="001170E5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B93859E3119746628CD91D529920C16A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10F9D24BE2645EFA676F5551656734B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CB4650B500604778A4E5622F27D62908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07E3980D042B415597A60B4A0CC2BA65"/>
        </w:placeholder>
        <w:showingPlcHdr/>
      </w:sdtPr>
      <w:sdtEndPr/>
      <w:sdtContent>
        <w:p w14:paraId="7FBC94E8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62007498" w:displacedByCustomXml="next"/>
    <w:sdt>
      <w:sdtPr>
        <w:rPr>
          <w:rFonts w:cs="Times New Roman"/>
          <w:b/>
          <w:color w:val="FF0000"/>
          <w:szCs w:val="24"/>
        </w:rPr>
        <w:alias w:val="Nosaukums"/>
        <w:tag w:val="Nosaukums"/>
        <w:id w:val="25447728"/>
        <w:placeholder>
          <w:docPart w:val="7CB6786DDDCF439083AB927F4471A19E"/>
        </w:placeholder>
      </w:sdtPr>
      <w:sdtEndPr>
        <w:rPr>
          <w:color w:val="auto"/>
        </w:rPr>
      </w:sdtEndPr>
      <w:sdtContent>
        <w:p w14:paraId="00A987F7" w14:textId="6885CB70" w:rsidR="00C2284A" w:rsidRPr="003F07CD" w:rsidRDefault="00CF471C" w:rsidP="009B3B5A">
          <w:pPr>
            <w:spacing w:before="240" w:after="240"/>
            <w:rPr>
              <w:rFonts w:cs="Times New Roman"/>
              <w:b/>
              <w:szCs w:val="24"/>
            </w:rPr>
          </w:pPr>
          <w:r w:rsidRPr="00CF471C">
            <w:rPr>
              <w:rFonts w:cs="Times New Roman"/>
              <w:b/>
              <w:szCs w:val="24"/>
            </w:rPr>
            <w:t>Kredītiestādei specifiskās pretcikliskās kapitāla rezerves normas aprēķināšanas noteikumi</w:t>
          </w:r>
        </w:p>
      </w:sdtContent>
    </w:sdt>
    <w:bookmarkEnd w:id="1" w:displacedByCustomXml="prev"/>
    <w:p w14:paraId="02D1AFA1" w14:textId="77777777" w:rsidR="00C2284A" w:rsidRDefault="001170E5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2B2FA8A6F2E4A8B9AD2D820D9228EB4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418E174662448B09770F29E0A204BA2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49CEC76491743D182650C978FA35F6A"/>
        </w:placeholder>
      </w:sdtPr>
      <w:sdtEndPr/>
      <w:sdtContent>
        <w:p w14:paraId="414B5D00" w14:textId="5C281AAB" w:rsidR="00301089" w:rsidRDefault="009B3B5A" w:rsidP="00DB385B">
          <w:pPr>
            <w:jc w:val="right"/>
            <w:rPr>
              <w:rFonts w:cs="Times New Roman"/>
              <w:szCs w:val="24"/>
            </w:rPr>
          </w:pPr>
          <w:r w:rsidRPr="009B3B5A">
            <w:rPr>
              <w:rFonts w:cs="Times New Roman"/>
              <w:szCs w:val="24"/>
            </w:rPr>
            <w:t>Kredītiestāžu likuma</w:t>
          </w:r>
        </w:p>
      </w:sdtContent>
    </w:sdt>
    <w:p w14:paraId="2179E189" w14:textId="279DE35B" w:rsidR="00840034" w:rsidRDefault="001170E5" w:rsidP="00C315C8">
      <w:pPr>
        <w:jc w:val="right"/>
      </w:pPr>
      <w:sdt>
        <w:sdtPr>
          <w:id w:val="25447827"/>
          <w:placeholder>
            <w:docPart w:val="70DEE2A30CFE42E18DB2A52AB1808CDD"/>
          </w:placeholder>
        </w:sdtPr>
        <w:sdtEndPr/>
        <w:sdtContent>
          <w:r w:rsidR="00C315C8">
            <w:t>35.</w:t>
          </w:r>
          <w:r w:rsidR="00C315C8" w:rsidRPr="00C315C8">
            <w:rPr>
              <w:vertAlign w:val="superscript"/>
            </w:rPr>
            <w:t>8</w:t>
          </w:r>
        </w:sdtContent>
      </w:sdt>
      <w:sdt>
        <w:sdtPr>
          <w:id w:val="25447854"/>
          <w:placeholder>
            <w:docPart w:val="F483D6E3B8B44004846E2845BB851233"/>
          </w:placeholder>
        </w:sdtPr>
        <w:sdtEndPr/>
        <w:sdtContent>
          <w:r w:rsidR="00047EC7" w:rsidRPr="00C315C8">
            <w:rPr>
              <w:rFonts w:cs="Times New Roman"/>
              <w:szCs w:val="24"/>
            </w:rPr>
            <w:t> </w:t>
          </w:r>
          <w:r w:rsidR="003F07CD" w:rsidRPr="00C315C8">
            <w:rPr>
              <w:rFonts w:cs="Times New Roman"/>
              <w:szCs w:val="24"/>
            </w:rPr>
            <w:t>pant</w:t>
          </w:r>
          <w:r w:rsidR="00CF471C" w:rsidRPr="00C315C8">
            <w:rPr>
              <w:rFonts w:cs="Times New Roman"/>
              <w:szCs w:val="24"/>
            </w:rPr>
            <w:t>u</w:t>
          </w:r>
          <w:r w:rsidR="00C315C8">
            <w:rPr>
              <w:rFonts w:cs="Times New Roman"/>
              <w:szCs w:val="24"/>
            </w:rPr>
            <w:t xml:space="preserve"> </w:t>
          </w:r>
          <w:r w:rsidR="00C315C8" w:rsidRPr="00995980">
            <w:rPr>
              <w:rFonts w:cs="Times New Roman"/>
              <w:szCs w:val="24"/>
            </w:rPr>
            <w:t>un 50.panta otro daļu</w:t>
          </w:r>
        </w:sdtContent>
      </w:sdt>
    </w:p>
    <w:p w14:paraId="5311FFD2" w14:textId="6154F440" w:rsidR="002A7411" w:rsidRDefault="00C51E00" w:rsidP="00CE4EC8">
      <w:pPr>
        <w:pStyle w:val="NApunkts1"/>
      </w:pPr>
      <w:r>
        <w:t>N</w:t>
      </w:r>
      <w:r w:rsidR="00CF471C" w:rsidRPr="00836F0B">
        <w:t>oteikumi nosaka kredītiestādei specifisk</w:t>
      </w:r>
      <w:r w:rsidR="006231C5">
        <w:t>ās</w:t>
      </w:r>
      <w:r w:rsidR="00CF471C" w:rsidRPr="00836F0B">
        <w:t xml:space="preserve"> pretcikliskās kapitāla rezerves </w:t>
      </w:r>
      <w:r w:rsidR="00410692">
        <w:t>normas</w:t>
      </w:r>
      <w:r w:rsidR="00410692" w:rsidRPr="00836F0B">
        <w:t xml:space="preserve"> </w:t>
      </w:r>
      <w:r w:rsidR="00CF471C" w:rsidRPr="00836F0B">
        <w:t>(</w:t>
      </w:r>
      <w:r w:rsidR="004B7253">
        <w:t>turpmāk</w:t>
      </w:r>
      <w:r w:rsidR="00BF2741">
        <w:t> </w:t>
      </w:r>
      <w:r w:rsidR="00CF471C" w:rsidRPr="00836F0B">
        <w:t>– KSPKR</w:t>
      </w:r>
      <w:r w:rsidR="00410692">
        <w:t xml:space="preserve"> norma</w:t>
      </w:r>
      <w:r w:rsidR="00CF471C" w:rsidRPr="00836F0B">
        <w:t>)</w:t>
      </w:r>
      <w:r w:rsidR="003F2C3D">
        <w:t xml:space="preserve"> </w:t>
      </w:r>
      <w:r w:rsidR="006231C5">
        <w:t>aprēķināšanas kār</w:t>
      </w:r>
      <w:r w:rsidR="00C315C8">
        <w:t>t</w:t>
      </w:r>
      <w:r w:rsidR="006231C5">
        <w:t>ību</w:t>
      </w:r>
      <w:r w:rsidR="0082382E">
        <w:t xml:space="preserve">, kā arī aprēķinā izmantojamo </w:t>
      </w:r>
      <w:r w:rsidR="0082382E" w:rsidRPr="0082382E">
        <w:t>kredītriskam pakļauto riska darījumu</w:t>
      </w:r>
      <w:r w:rsidR="0082382E">
        <w:t xml:space="preserve">, </w:t>
      </w:r>
      <w:r w:rsidR="0082382E" w:rsidRPr="0082382E">
        <w:t>pretcikliskās kapitāla rezerves norm</w:t>
      </w:r>
      <w:r w:rsidR="0082382E">
        <w:t xml:space="preserve">u </w:t>
      </w:r>
      <w:r w:rsidR="00A8319E" w:rsidRPr="00836F0B">
        <w:t>(</w:t>
      </w:r>
      <w:r w:rsidR="00A8319E">
        <w:t>turpmāk</w:t>
      </w:r>
      <w:r w:rsidR="00BF2741">
        <w:t> </w:t>
      </w:r>
      <w:r w:rsidR="00A8319E" w:rsidRPr="00836F0B">
        <w:t>– PKR</w:t>
      </w:r>
      <w:r w:rsidR="00A8319E">
        <w:t xml:space="preserve"> norma</w:t>
      </w:r>
      <w:r w:rsidR="00A8319E" w:rsidRPr="00836F0B">
        <w:t>)</w:t>
      </w:r>
      <w:r w:rsidR="00A8319E">
        <w:t xml:space="preserve"> </w:t>
      </w:r>
      <w:r w:rsidR="0082382E">
        <w:t>un to piemērošanas datum</w:t>
      </w:r>
      <w:r w:rsidR="00125562">
        <w:t>a</w:t>
      </w:r>
      <w:r w:rsidR="0082382E">
        <w:t xml:space="preserve"> noteikšanas kārtību</w:t>
      </w:r>
      <w:r w:rsidR="00CF471C" w:rsidRPr="00836F0B">
        <w:t>.</w:t>
      </w:r>
      <w:bookmarkStart w:id="2" w:name="_Hlk162422450"/>
      <w:r w:rsidR="00CE4EC8">
        <w:t xml:space="preserve"> </w:t>
      </w:r>
    </w:p>
    <w:p w14:paraId="22E78F8F" w14:textId="15C99BAA" w:rsidR="009B3B5A" w:rsidRDefault="00C51E00" w:rsidP="00CE4EC8">
      <w:pPr>
        <w:pStyle w:val="NApunkts1"/>
      </w:pPr>
      <w:r>
        <w:t>K</w:t>
      </w:r>
      <w:r w:rsidR="00CF471C" w:rsidRPr="00836F0B">
        <w:t>redītiestād</w:t>
      </w:r>
      <w:r w:rsidR="00410692">
        <w:t>e</w:t>
      </w:r>
      <w:r w:rsidR="00CF471C" w:rsidRPr="00836F0B">
        <w:t xml:space="preserve"> </w:t>
      </w:r>
      <w:r w:rsidR="004270E8">
        <w:t>š</w:t>
      </w:r>
      <w:r w:rsidR="00410692">
        <w:t>os</w:t>
      </w:r>
      <w:r w:rsidR="004270E8">
        <w:t xml:space="preserve"> </w:t>
      </w:r>
      <w:r w:rsidR="00CF471C" w:rsidRPr="00836F0B">
        <w:t>noteikum</w:t>
      </w:r>
      <w:r w:rsidR="00410692">
        <w:t>us piemēro</w:t>
      </w:r>
      <w:r w:rsidR="00CF471C" w:rsidRPr="00836F0B">
        <w:t xml:space="preserve"> individuāli un </w:t>
      </w:r>
      <w:r w:rsidR="00FD3DD6">
        <w:t xml:space="preserve">prudenciālās </w:t>
      </w:r>
      <w:r w:rsidR="00CF471C" w:rsidRPr="00836F0B">
        <w:t>konsolidācijas grupas līmenī Eiropas Parlamenta un Padomes 2013.</w:t>
      </w:r>
      <w:r w:rsidR="004B7253">
        <w:t> </w:t>
      </w:r>
      <w:r w:rsidR="00CF471C" w:rsidRPr="00836F0B">
        <w:t>gada 26.</w:t>
      </w:r>
      <w:r w:rsidR="004B7253">
        <w:t> </w:t>
      </w:r>
      <w:r w:rsidR="00CF471C" w:rsidRPr="00836F0B">
        <w:t xml:space="preserve">jūnija </w:t>
      </w:r>
      <w:r w:rsidR="00102D67">
        <w:t>r</w:t>
      </w:r>
      <w:r w:rsidR="00CF471C" w:rsidRPr="00836F0B">
        <w:t>egulas (ES) Nr.</w:t>
      </w:r>
      <w:r w:rsidR="004B7253">
        <w:t> </w:t>
      </w:r>
      <w:r w:rsidR="00CF471C" w:rsidRPr="00836F0B">
        <w:t xml:space="preserve">575/2013 par prudenciālajām prasībām attiecībā uz kredītiestādēm, un ar ko groza </w:t>
      </w:r>
      <w:r w:rsidR="00102D67">
        <w:t>r</w:t>
      </w:r>
      <w:r w:rsidR="00CF471C" w:rsidRPr="00836F0B">
        <w:t>egulu (ES) Nr.</w:t>
      </w:r>
      <w:r w:rsidR="004B7253">
        <w:t> </w:t>
      </w:r>
      <w:r w:rsidR="00CF471C" w:rsidRPr="00836F0B">
        <w:t>648/2012 (</w:t>
      </w:r>
      <w:r w:rsidR="004B7253">
        <w:t>turpmāk</w:t>
      </w:r>
      <w:r w:rsidR="00102D67">
        <w:t> </w:t>
      </w:r>
      <w:r w:rsidR="00CF471C" w:rsidRPr="00836F0B">
        <w:t>– Regula</w:t>
      </w:r>
      <w:r w:rsidR="00102D67">
        <w:t xml:space="preserve"> Nr. </w:t>
      </w:r>
      <w:r w:rsidR="00102D67" w:rsidRPr="00836F0B">
        <w:t>575/2013</w:t>
      </w:r>
      <w:r w:rsidR="00CF471C" w:rsidRPr="00836F0B">
        <w:t xml:space="preserve">) </w:t>
      </w:r>
      <w:r w:rsidR="00FD3DD6">
        <w:t>izpratnē</w:t>
      </w:r>
      <w:r w:rsidR="00CF471C" w:rsidRPr="00836F0B">
        <w:t>. Ja dalībvalstī vai ārvalstī, kurā darbojas kredītiestādes meitas sabiedrība, noteiktā PKR</w:t>
      </w:r>
      <w:r w:rsidR="005F0332">
        <w:t xml:space="preserve"> norma</w:t>
      </w:r>
      <w:r w:rsidR="003F2C3D">
        <w:t xml:space="preserve"> </w:t>
      </w:r>
      <w:r w:rsidR="00CF471C" w:rsidRPr="00836F0B">
        <w:t xml:space="preserve">atšķiras no </w:t>
      </w:r>
      <w:r w:rsidR="00235F12" w:rsidRPr="0041633E">
        <w:t xml:space="preserve">Latvijas Bankas </w:t>
      </w:r>
      <w:r w:rsidR="00CF471C" w:rsidRPr="0041633E">
        <w:t>šai dalībvalstij</w:t>
      </w:r>
      <w:r w:rsidR="0041633E" w:rsidRPr="0041633E">
        <w:t xml:space="preserve"> atzītās</w:t>
      </w:r>
      <w:r w:rsidR="00CF471C" w:rsidRPr="0041633E">
        <w:t xml:space="preserve"> vai ārvalstij </w:t>
      </w:r>
      <w:r w:rsidR="0041633E" w:rsidRPr="0041633E">
        <w:t xml:space="preserve">atzītās vai </w:t>
      </w:r>
      <w:r w:rsidR="00CF471C" w:rsidRPr="0041633E">
        <w:t>noteiktās PKR</w:t>
      </w:r>
      <w:r w:rsidR="003F2C3D" w:rsidRPr="0041633E">
        <w:t xml:space="preserve"> normas</w:t>
      </w:r>
      <w:r w:rsidR="00CF471C" w:rsidRPr="00836F0B">
        <w:t>, attiecīgā meitas sabiedrība individuālā līmenī KSPKR</w:t>
      </w:r>
      <w:r w:rsidR="003F2C3D">
        <w:t xml:space="preserve"> normas</w:t>
      </w:r>
      <w:r w:rsidR="00CF471C" w:rsidRPr="00836F0B">
        <w:t xml:space="preserve"> aprēķinā izmanto attiecīgās dalībvalsts vai ārvalsts </w:t>
      </w:r>
      <w:r w:rsidR="00A95B24">
        <w:t xml:space="preserve">noteikto </w:t>
      </w:r>
      <w:r w:rsidR="00CF471C" w:rsidRPr="00836F0B">
        <w:t>PKR</w:t>
      </w:r>
      <w:r w:rsidR="003F2C3D">
        <w:t xml:space="preserve"> normu</w:t>
      </w:r>
      <w:r w:rsidR="00CF471C" w:rsidRPr="00836F0B">
        <w:t>, bet konsolidācijas grupas līmenī</w:t>
      </w:r>
      <w:r w:rsidR="00102D67">
        <w:t> </w:t>
      </w:r>
      <w:r w:rsidR="00CF471C" w:rsidRPr="00836F0B">
        <w:t xml:space="preserve">– </w:t>
      </w:r>
      <w:r w:rsidR="00235F12">
        <w:t>Latvijas Bankas</w:t>
      </w:r>
      <w:r w:rsidR="00235F12" w:rsidRPr="00836F0B">
        <w:t xml:space="preserve"> </w:t>
      </w:r>
      <w:r w:rsidR="00657A68">
        <w:t xml:space="preserve">atzīto vai </w:t>
      </w:r>
      <w:r w:rsidR="00CF471C" w:rsidRPr="00836F0B">
        <w:t>noteikto PKR</w:t>
      </w:r>
      <w:r w:rsidR="003F2C3D">
        <w:t xml:space="preserve"> normu</w:t>
      </w:r>
      <w:r w:rsidR="00CF471C" w:rsidRPr="00836F0B">
        <w:t>.</w:t>
      </w:r>
      <w:bookmarkEnd w:id="2"/>
    </w:p>
    <w:p w14:paraId="08BE1E7D" w14:textId="77777777" w:rsidR="009B3B5A" w:rsidRDefault="009B3B5A" w:rsidP="009B3B5A">
      <w:pPr>
        <w:pStyle w:val="NApunkts1"/>
        <w:numPr>
          <w:ilvl w:val="0"/>
          <w:numId w:val="0"/>
        </w:numPr>
        <w:spacing w:before="0"/>
      </w:pPr>
    </w:p>
    <w:p w14:paraId="689431CC" w14:textId="43DB5A77" w:rsidR="00840034" w:rsidRDefault="00D863E6" w:rsidP="00D863E6">
      <w:pPr>
        <w:pStyle w:val="NApunkts1"/>
        <w:spacing w:before="0"/>
      </w:pPr>
      <w:r w:rsidRPr="00836F0B">
        <w:t>KSPKR</w:t>
      </w:r>
      <w:r w:rsidR="003F2C3D">
        <w:t xml:space="preserve"> norm</w:t>
      </w:r>
      <w:r w:rsidR="00ED643D">
        <w:t>as</w:t>
      </w:r>
      <w:r w:rsidRPr="00836F0B">
        <w:t xml:space="preserve"> </w:t>
      </w:r>
      <w:r w:rsidR="00E829A9">
        <w:t>aprēķin</w:t>
      </w:r>
      <w:r w:rsidR="00ED643D">
        <w:t>ā iekļauj</w:t>
      </w:r>
      <w:r w:rsidRPr="00836F0B">
        <w:t xml:space="preserve"> </w:t>
      </w:r>
      <w:r w:rsidR="00D40B35" w:rsidRPr="00836F0B">
        <w:t>Regulas</w:t>
      </w:r>
      <w:r w:rsidR="00D40B35" w:rsidRPr="00102D67">
        <w:t xml:space="preserve"> </w:t>
      </w:r>
      <w:r w:rsidR="00D40B35">
        <w:t>Nr. </w:t>
      </w:r>
      <w:r w:rsidR="00D40B35" w:rsidRPr="00836F0B">
        <w:t>575/2013 112.</w:t>
      </w:r>
      <w:r w:rsidR="00D40B35">
        <w:t> </w:t>
      </w:r>
      <w:r w:rsidR="00D40B35" w:rsidRPr="00836F0B">
        <w:t>pant</w:t>
      </w:r>
      <w:r w:rsidR="00D40B35">
        <w:t>a g), h), i), j), k), l), m), n), o), p)</w:t>
      </w:r>
      <w:r w:rsidR="00BF2741">
        <w:t> </w:t>
      </w:r>
      <w:r w:rsidR="00D40B35">
        <w:t>un q) punktā</w:t>
      </w:r>
      <w:r w:rsidR="00D40B35" w:rsidRPr="00836F0B">
        <w:t xml:space="preserve"> </w:t>
      </w:r>
      <w:r w:rsidR="00D40B35">
        <w:t>minēt</w:t>
      </w:r>
      <w:r w:rsidR="00ED643D">
        <w:t>os</w:t>
      </w:r>
      <w:r w:rsidR="00D40B35">
        <w:t xml:space="preserve"> </w:t>
      </w:r>
      <w:r w:rsidRPr="00836F0B">
        <w:t>kredītriskam pakļaut</w:t>
      </w:r>
      <w:r w:rsidR="00ED643D">
        <w:t>os</w:t>
      </w:r>
      <w:r w:rsidR="00DB2616">
        <w:t xml:space="preserve"> riska</w:t>
      </w:r>
      <w:r w:rsidRPr="00836F0B">
        <w:t xml:space="preserve"> darījum</w:t>
      </w:r>
      <w:r w:rsidR="00ED643D">
        <w:t>us</w:t>
      </w:r>
      <w:r w:rsidRPr="00836F0B">
        <w:t>.</w:t>
      </w:r>
    </w:p>
    <w:p w14:paraId="2BD243C1" w14:textId="0D73D5DC" w:rsidR="00D863E6" w:rsidRPr="0043332D" w:rsidRDefault="00D863E6" w:rsidP="00D863E6">
      <w:pPr>
        <w:pStyle w:val="NApunkts1"/>
      </w:pPr>
      <w:r w:rsidRPr="00836F0B">
        <w:t>Attiecīg</w:t>
      </w:r>
      <w:r w:rsidR="001F06A6">
        <w:t>os</w:t>
      </w:r>
      <w:r w:rsidRPr="00836F0B">
        <w:t xml:space="preserve"> kredītriska</w:t>
      </w:r>
      <w:r w:rsidR="00DB2616">
        <w:t>m pakļaut</w:t>
      </w:r>
      <w:r w:rsidR="001F06A6">
        <w:t>os</w:t>
      </w:r>
      <w:r w:rsidR="00DB2616">
        <w:t xml:space="preserve"> riska</w:t>
      </w:r>
      <w:r w:rsidRPr="00836F0B">
        <w:t xml:space="preserve"> darījum</w:t>
      </w:r>
      <w:r w:rsidR="001F06A6">
        <w:t>us un to</w:t>
      </w:r>
      <w:r w:rsidRPr="00836F0B">
        <w:t xml:space="preserve"> ģeogrāfisko atrašanās vietu (</w:t>
      </w:r>
      <w:r w:rsidR="004B7253">
        <w:t>turpmāk</w:t>
      </w:r>
      <w:r w:rsidR="00102D67">
        <w:t> </w:t>
      </w:r>
      <w:r w:rsidRPr="00836F0B">
        <w:t xml:space="preserve">– </w:t>
      </w:r>
      <w:r w:rsidR="00A95B24">
        <w:t>darījuma atrašanās vieta</w:t>
      </w:r>
      <w:r w:rsidRPr="00836F0B">
        <w:t>) nosaka saskaņā ar Komisijas 2014.</w:t>
      </w:r>
      <w:r w:rsidR="00C93DE1">
        <w:t> </w:t>
      </w:r>
      <w:r w:rsidRPr="00836F0B">
        <w:t>gada 4.</w:t>
      </w:r>
      <w:r w:rsidR="00C93DE1">
        <w:t> </w:t>
      </w:r>
      <w:r w:rsidRPr="00836F0B">
        <w:t xml:space="preserve">jūnija </w:t>
      </w:r>
      <w:r w:rsidR="00102D67">
        <w:t>d</w:t>
      </w:r>
      <w:r w:rsidRPr="00836F0B">
        <w:t>eleģēto regulu (ES) Nr.</w:t>
      </w:r>
      <w:r w:rsidR="00C93DE1">
        <w:t> </w:t>
      </w:r>
      <w:r w:rsidRPr="00836F0B">
        <w:t xml:space="preserve">1152/2014, ar ko papildina Eiropas Parlamenta un Padomes </w:t>
      </w:r>
      <w:r w:rsidR="00102D67">
        <w:t>d</w:t>
      </w:r>
      <w:r w:rsidRPr="00836F0B">
        <w:t>irektīvu 2013/36/ES attiecībā uz regulatīvajiem tehniskajiem standartiem par attiecīgo kredītriska</w:t>
      </w:r>
      <w:r w:rsidR="00DB2616">
        <w:t>m pakļauto riska</w:t>
      </w:r>
      <w:r w:rsidRPr="00836F0B">
        <w:t xml:space="preserve"> darījumu ģeogrāfiskās atrašanās vietas noteikšanu iestādes specifisko pretciklisko kapitāla rezervju aprēķināšanai.</w:t>
      </w:r>
    </w:p>
    <w:p w14:paraId="0BE78ACA" w14:textId="10820060" w:rsidR="00D863E6" w:rsidRPr="0043332D" w:rsidRDefault="00D863E6" w:rsidP="00D863E6">
      <w:pPr>
        <w:pStyle w:val="NApunkts1"/>
      </w:pPr>
      <w:r w:rsidRPr="00836F0B">
        <w:t xml:space="preserve">Attiecīgajā </w:t>
      </w:r>
      <w:r w:rsidR="00A95B24">
        <w:t xml:space="preserve">darījuma </w:t>
      </w:r>
      <w:r w:rsidR="00C315C8">
        <w:t>atrašanās</w:t>
      </w:r>
      <w:r w:rsidR="00A95B24">
        <w:t xml:space="preserve"> vietā</w:t>
      </w:r>
      <w:r w:rsidRPr="00836F0B">
        <w:t xml:space="preserve"> veiktajiem kredītriska</w:t>
      </w:r>
      <w:r w:rsidR="00DB2616">
        <w:t>m pakļautajiem riska</w:t>
      </w:r>
      <w:r w:rsidRPr="00836F0B">
        <w:t xml:space="preserve"> darījumiem piemēro šādas PKR</w:t>
      </w:r>
      <w:r w:rsidR="003F2C3D">
        <w:t xml:space="preserve"> normas</w:t>
      </w:r>
      <w:r w:rsidRPr="00836F0B">
        <w:t>:</w:t>
      </w:r>
    </w:p>
    <w:p w14:paraId="4EA643CC" w14:textId="0634D1C3" w:rsidR="00D863E6" w:rsidRPr="00D863E6" w:rsidRDefault="00D863E6" w:rsidP="00D863E6">
      <w:pPr>
        <w:pStyle w:val="NApunkts2"/>
      </w:pPr>
      <w:r w:rsidRPr="00D863E6">
        <w:t>darījumiem ar Latvijas Republikas rezidentiem</w:t>
      </w:r>
      <w:r w:rsidR="00102D67">
        <w:t> </w:t>
      </w:r>
      <w:r w:rsidRPr="00D863E6">
        <w:t xml:space="preserve">– </w:t>
      </w:r>
      <w:r w:rsidR="00235F12">
        <w:t>Latvijas Bankas</w:t>
      </w:r>
      <w:r w:rsidRPr="00D863E6">
        <w:t xml:space="preserve"> noteikto PKR</w:t>
      </w:r>
      <w:r w:rsidR="003F2C3D">
        <w:t xml:space="preserve"> normu</w:t>
      </w:r>
      <w:r w:rsidRPr="00D863E6">
        <w:t>;</w:t>
      </w:r>
    </w:p>
    <w:p w14:paraId="4CC40CB2" w14:textId="04643307" w:rsidR="00D863E6" w:rsidRDefault="00D863E6" w:rsidP="00D863E6">
      <w:pPr>
        <w:pStyle w:val="NApunkts2"/>
      </w:pPr>
      <w:r w:rsidRPr="00836F0B">
        <w:t>darījumiem ar dalībvalstu rezidentiem:</w:t>
      </w:r>
    </w:p>
    <w:p w14:paraId="34178328" w14:textId="1A39A90B" w:rsidR="00D863E6" w:rsidRDefault="00D863E6" w:rsidP="00D863E6">
      <w:pPr>
        <w:pStyle w:val="NApunkts3"/>
      </w:pPr>
      <w:r w:rsidRPr="00836F0B">
        <w:t>dalībvalsts atbildīgās iestādes noteikto PKR</w:t>
      </w:r>
      <w:r w:rsidR="003F2C3D">
        <w:t xml:space="preserve"> normu</w:t>
      </w:r>
      <w:r w:rsidRPr="00836F0B">
        <w:t>, ja tā nav augstāka par 2</w:t>
      </w:r>
      <w:r w:rsidR="0035507A">
        <w:t>.</w:t>
      </w:r>
      <w:r w:rsidRPr="00836F0B">
        <w:t>5 procentiem</w:t>
      </w:r>
      <w:r w:rsidR="00102D67">
        <w:t>;</w:t>
      </w:r>
    </w:p>
    <w:p w14:paraId="634F4BCA" w14:textId="3ED4E7BA" w:rsidR="00D863E6" w:rsidRDefault="00D863E6" w:rsidP="00D863E6">
      <w:pPr>
        <w:pStyle w:val="NApunkts3"/>
      </w:pPr>
      <w:r w:rsidRPr="00836F0B">
        <w:lastRenderedPageBreak/>
        <w:t>PKR</w:t>
      </w:r>
      <w:r w:rsidR="006206BB">
        <w:t xml:space="preserve"> normu</w:t>
      </w:r>
      <w:r w:rsidRPr="00836F0B">
        <w:t xml:space="preserve"> 2</w:t>
      </w:r>
      <w:r w:rsidR="0035507A">
        <w:t>.</w:t>
      </w:r>
      <w:r w:rsidRPr="00836F0B">
        <w:t>5</w:t>
      </w:r>
      <w:r w:rsidR="00102D67">
        <w:t> </w:t>
      </w:r>
      <w:r w:rsidRPr="00836F0B">
        <w:t>procentu apmērā, ja dalībvalsts atbildīgās iestādes noteiktā PKR</w:t>
      </w:r>
      <w:r w:rsidR="003F2C3D">
        <w:t xml:space="preserve"> norma</w:t>
      </w:r>
      <w:r w:rsidRPr="00836F0B">
        <w:t xml:space="preserve"> ir augstāka par 2</w:t>
      </w:r>
      <w:r w:rsidR="0035507A">
        <w:t>.</w:t>
      </w:r>
      <w:r w:rsidRPr="00836F0B">
        <w:t>5</w:t>
      </w:r>
      <w:r w:rsidR="00102D67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nav atzinusi šīs dalībvalsts noteikto PKR</w:t>
      </w:r>
      <w:r w:rsidR="003F2C3D">
        <w:t xml:space="preserve"> normu</w:t>
      </w:r>
      <w:r w:rsidR="00102D67">
        <w:t>;</w:t>
      </w:r>
    </w:p>
    <w:p w14:paraId="2E238B31" w14:textId="4254727F" w:rsidR="00D863E6" w:rsidRDefault="00235F12" w:rsidP="00D863E6">
      <w:pPr>
        <w:pStyle w:val="NApunkts3"/>
      </w:pPr>
      <w:r>
        <w:t>Latvijas Bankas</w:t>
      </w:r>
      <w:r w:rsidR="00D863E6" w:rsidRPr="00836F0B">
        <w:t xml:space="preserve"> atzīto PKR</w:t>
      </w:r>
      <w:r w:rsidR="003F2C3D">
        <w:t xml:space="preserve"> normu</w:t>
      </w:r>
      <w:r w:rsidR="00D863E6" w:rsidRPr="00836F0B">
        <w:t>, ja dalībvalsts atbildīgās iestādes noteiktā PKR</w:t>
      </w:r>
      <w:r w:rsidR="003F2C3D">
        <w:t xml:space="preserve"> norma</w:t>
      </w:r>
      <w:r w:rsidR="00D863E6" w:rsidRPr="00836F0B">
        <w:t xml:space="preserve"> ir augstāka par 2</w:t>
      </w:r>
      <w:r w:rsidR="0035507A">
        <w:t>.</w:t>
      </w:r>
      <w:r w:rsidR="00D863E6" w:rsidRPr="00836F0B">
        <w:t>5</w:t>
      </w:r>
      <w:r w:rsidR="00102D67">
        <w:t> </w:t>
      </w:r>
      <w:r w:rsidR="00D863E6" w:rsidRPr="00836F0B">
        <w:t>procentiem;</w:t>
      </w:r>
    </w:p>
    <w:p w14:paraId="1AB0CF46" w14:textId="407B8194" w:rsidR="00D863E6" w:rsidRPr="00D863E6" w:rsidRDefault="00D863E6" w:rsidP="00D863E6">
      <w:pPr>
        <w:pStyle w:val="NApunkts2"/>
      </w:pPr>
      <w:r w:rsidRPr="00D863E6">
        <w:t>darījumiem ar ārvalstu rezidentiem:</w:t>
      </w:r>
    </w:p>
    <w:p w14:paraId="3F5AA0C0" w14:textId="005D0E92" w:rsidR="00D863E6" w:rsidRDefault="00D863E6" w:rsidP="00D863E6">
      <w:pPr>
        <w:pStyle w:val="NApunkts3"/>
      </w:pPr>
      <w:r w:rsidRPr="00836F0B">
        <w:t>ārvalsts atbildīgās iestādes noteikto PKR</w:t>
      </w:r>
      <w:r w:rsidR="003F2C3D">
        <w:t xml:space="preserve"> normu</w:t>
      </w:r>
      <w:r w:rsidRPr="00836F0B">
        <w:t>, ja tā nav augstāka par 2</w:t>
      </w:r>
      <w:r w:rsidR="0035507A">
        <w:t>.</w:t>
      </w:r>
      <w:r w:rsidRPr="00836F0B">
        <w:t>5</w:t>
      </w:r>
      <w:r w:rsidR="00102D67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nav noteikusi citu PKR</w:t>
      </w:r>
      <w:r w:rsidR="003F2C3D">
        <w:t xml:space="preserve"> normu</w:t>
      </w:r>
      <w:r w:rsidRPr="00836F0B">
        <w:t xml:space="preserve"> darījumiem ar šīs ārvalsts rezidentiem</w:t>
      </w:r>
      <w:r w:rsidR="00102D67">
        <w:t>;</w:t>
      </w:r>
    </w:p>
    <w:p w14:paraId="4D5555C7" w14:textId="4AF146A3" w:rsidR="00582D80" w:rsidRDefault="00582D80" w:rsidP="00D863E6">
      <w:pPr>
        <w:pStyle w:val="NApunkts3"/>
      </w:pPr>
      <w:r w:rsidRPr="00836F0B">
        <w:t>PKR</w:t>
      </w:r>
      <w:r w:rsidR="003F2C3D">
        <w:t xml:space="preserve"> normu</w:t>
      </w:r>
      <w:r w:rsidRPr="00836F0B">
        <w:t xml:space="preserve"> 2</w:t>
      </w:r>
      <w:r w:rsidR="0035507A">
        <w:t>.</w:t>
      </w:r>
      <w:r w:rsidRPr="00836F0B">
        <w:t>5</w:t>
      </w:r>
      <w:r w:rsidR="00102D67">
        <w:t> </w:t>
      </w:r>
      <w:r w:rsidRPr="00836F0B">
        <w:t>procentu apmērā, ja ārvalsts atbildīgās iestādes noteiktā</w:t>
      </w:r>
      <w:r w:rsidR="00102D67">
        <w:t xml:space="preserve"> </w:t>
      </w:r>
      <w:r w:rsidRPr="00836F0B">
        <w:t>PKR</w:t>
      </w:r>
      <w:r w:rsidR="006206BB">
        <w:t xml:space="preserve"> norma</w:t>
      </w:r>
      <w:r w:rsidRPr="00836F0B">
        <w:t xml:space="preserve"> ir augstāka par 2</w:t>
      </w:r>
      <w:r w:rsidR="0035507A">
        <w:t>.</w:t>
      </w:r>
      <w:r w:rsidRPr="00836F0B">
        <w:t>5</w:t>
      </w:r>
      <w:r w:rsidR="00102D67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nav atzinusi šīs ārvalsts noteikto PKR</w:t>
      </w:r>
      <w:r w:rsidR="00916749">
        <w:t xml:space="preserve"> normu</w:t>
      </w:r>
      <w:r w:rsidRPr="00836F0B">
        <w:t xml:space="preserve"> un nav noteikusi citu PKR</w:t>
      </w:r>
      <w:r w:rsidR="00E96274">
        <w:t xml:space="preserve"> normu</w:t>
      </w:r>
      <w:r w:rsidRPr="00836F0B">
        <w:t xml:space="preserve"> darījumiem ar šīs ārvalsts rezidentiem</w:t>
      </w:r>
      <w:r w:rsidR="00102D67">
        <w:t>;</w:t>
      </w:r>
    </w:p>
    <w:p w14:paraId="73AFADF1" w14:textId="54B26F76" w:rsidR="00582D80" w:rsidRDefault="00235F12" w:rsidP="00D863E6">
      <w:pPr>
        <w:pStyle w:val="NApunkts3"/>
      </w:pPr>
      <w:r>
        <w:t>Latvijas Bankas</w:t>
      </w:r>
      <w:r w:rsidR="00582D80" w:rsidRPr="00836F0B">
        <w:t xml:space="preserve"> atzīto vai noteikto PKR</w:t>
      </w:r>
      <w:r w:rsidR="00E96274">
        <w:t xml:space="preserve"> normu</w:t>
      </w:r>
      <w:r w:rsidR="00582D80" w:rsidRPr="00836F0B">
        <w:t>, ja ārvalsts atbildīgās iestādes noteiktā PKR</w:t>
      </w:r>
      <w:r w:rsidR="00E96274">
        <w:t xml:space="preserve"> norma</w:t>
      </w:r>
      <w:r w:rsidR="00582D80" w:rsidRPr="00836F0B">
        <w:t xml:space="preserve"> ir augstāka par 2</w:t>
      </w:r>
      <w:r w:rsidR="0035507A">
        <w:t>.</w:t>
      </w:r>
      <w:r w:rsidR="00582D80" w:rsidRPr="00836F0B">
        <w:t>5</w:t>
      </w:r>
      <w:r w:rsidR="00102D67">
        <w:t> </w:t>
      </w:r>
      <w:r w:rsidR="00582D80" w:rsidRPr="00836F0B">
        <w:t>procentiem</w:t>
      </w:r>
      <w:r w:rsidR="00102D67">
        <w:t>;</w:t>
      </w:r>
    </w:p>
    <w:p w14:paraId="10FFD66D" w14:textId="419EB2D9" w:rsidR="00BB0240" w:rsidRDefault="00235F12" w:rsidP="00D863E6">
      <w:pPr>
        <w:pStyle w:val="NApunkts3"/>
      </w:pPr>
      <w:r>
        <w:t>Latvijas Bankas</w:t>
      </w:r>
      <w:r w:rsidR="00582D80" w:rsidRPr="00836F0B">
        <w:t xml:space="preserve"> noteikto PKR</w:t>
      </w:r>
      <w:r w:rsidR="00E96274">
        <w:t xml:space="preserve"> normu</w:t>
      </w:r>
      <w:r w:rsidR="00582D80" w:rsidRPr="00836F0B">
        <w:t xml:space="preserve"> darījumiem ar ārvalsts rezidentiem, ja </w:t>
      </w:r>
      <w:r w:rsidR="00BB0240">
        <w:t>attiecīgās</w:t>
      </w:r>
      <w:r w:rsidR="00582D80" w:rsidRPr="00836F0B">
        <w:t xml:space="preserve"> ārvalsts atbildīgā iestāde nav noteikusi PKR</w:t>
      </w:r>
      <w:r w:rsidR="00E96274">
        <w:t xml:space="preserve"> normu</w:t>
      </w:r>
      <w:r w:rsidR="001F06A6">
        <w:t>;</w:t>
      </w:r>
    </w:p>
    <w:p w14:paraId="3D5FA038" w14:textId="2FE00EA6" w:rsidR="00582D80" w:rsidRPr="0043332D" w:rsidRDefault="00BB0240" w:rsidP="00D863E6">
      <w:pPr>
        <w:pStyle w:val="NApunkts3"/>
      </w:pPr>
      <w:r w:rsidRPr="00BB0240">
        <w:t xml:space="preserve">PKR normu nulles procentu apmērā, ja PKR normu darījumiem ar ārvalsts rezidentiem nav noteikusi ne </w:t>
      </w:r>
      <w:r>
        <w:t>attiecīgās</w:t>
      </w:r>
      <w:r w:rsidRPr="00BB0240">
        <w:t xml:space="preserve"> ārvalsts atbildīga iestāde, ne Latvijas Banka.</w:t>
      </w:r>
    </w:p>
    <w:p w14:paraId="71A0949B" w14:textId="6DF18EEC" w:rsidR="00D863E6" w:rsidRPr="0043332D" w:rsidRDefault="00114EF5" w:rsidP="00D863E6">
      <w:pPr>
        <w:pStyle w:val="NApunkts1"/>
      </w:pPr>
      <w:r>
        <w:t>Ja</w:t>
      </w:r>
      <w:r w:rsidR="00582D80" w:rsidRPr="00836F0B">
        <w:t xml:space="preserve"> PKR</w:t>
      </w:r>
      <w:r w:rsidR="00E96274">
        <w:t xml:space="preserve"> norm</w:t>
      </w:r>
      <w:r>
        <w:t xml:space="preserve">a </w:t>
      </w:r>
      <w:r w:rsidR="00582D80" w:rsidRPr="00836F0B">
        <w:t xml:space="preserve">tiek palielināta, </w:t>
      </w:r>
      <w:r w:rsidR="00A4296B">
        <w:t xml:space="preserve">KSPKR normas aprēķina nolūkiem </w:t>
      </w:r>
      <w:r>
        <w:t>to piemēro</w:t>
      </w:r>
      <w:r w:rsidR="00582D80" w:rsidRPr="00836F0B">
        <w:t>:</w:t>
      </w:r>
    </w:p>
    <w:p w14:paraId="3871EB1B" w14:textId="57EB3C9E" w:rsidR="00D863E6" w:rsidRDefault="00582D80" w:rsidP="00D863E6">
      <w:pPr>
        <w:pStyle w:val="NApunkts2"/>
      </w:pPr>
      <w:r w:rsidRPr="00836F0B">
        <w:t>darījumiem ar Latvijas Republikas rezidentiem</w:t>
      </w:r>
      <w:r w:rsidR="00102D67">
        <w:t> </w:t>
      </w:r>
      <w:r w:rsidRPr="00836F0B">
        <w:t xml:space="preserve">– </w:t>
      </w:r>
      <w:r w:rsidR="00114EF5">
        <w:t xml:space="preserve">no </w:t>
      </w:r>
      <w:r w:rsidRPr="00836F0B">
        <w:t>diena</w:t>
      </w:r>
      <w:r w:rsidR="00114EF5">
        <w:t>s un apmērā</w:t>
      </w:r>
      <w:r w:rsidRPr="00836F0B">
        <w:t>, kas noteikt</w:t>
      </w:r>
      <w:r w:rsidR="00501E91">
        <w:t>i</w:t>
      </w:r>
      <w:r w:rsidRPr="00836F0B">
        <w:t xml:space="preserve"> </w:t>
      </w:r>
      <w:r w:rsidR="00235F12">
        <w:t>Latvijas Bankas</w:t>
      </w:r>
      <w:r w:rsidRPr="00836F0B">
        <w:t xml:space="preserve"> paziņojumā saskaņā ar Kredītiestāžu likuma 35.</w:t>
      </w:r>
      <w:r w:rsidRPr="00836F0B">
        <w:rPr>
          <w:vertAlign w:val="superscript"/>
        </w:rPr>
        <w:t>5</w:t>
      </w:r>
      <w:r w:rsidR="00C93DE1">
        <w:t> </w:t>
      </w:r>
      <w:r w:rsidRPr="00836F0B">
        <w:t>panta septīto daļu;</w:t>
      </w:r>
    </w:p>
    <w:p w14:paraId="6BFC10FE" w14:textId="46F23E90" w:rsidR="00582D80" w:rsidRPr="00582D80" w:rsidRDefault="00582D80" w:rsidP="00582D80">
      <w:pPr>
        <w:pStyle w:val="NApunkts2"/>
      </w:pPr>
      <w:r w:rsidRPr="00582D80">
        <w:t>darījumiem ar dalībvalstu rezidentiem:</w:t>
      </w:r>
    </w:p>
    <w:p w14:paraId="5391AF7C" w14:textId="2A019EC7" w:rsidR="00582D80" w:rsidRDefault="00114EF5" w:rsidP="00582D80">
      <w:pPr>
        <w:pStyle w:val="NApunkts3"/>
      </w:pPr>
      <w:r>
        <w:t xml:space="preserve">no </w:t>
      </w:r>
      <w:r w:rsidR="00582D80" w:rsidRPr="00836F0B">
        <w:t>diena</w:t>
      </w:r>
      <w:r>
        <w:t>s un apmērā</w:t>
      </w:r>
      <w:r w:rsidR="00582D80" w:rsidRPr="00836F0B">
        <w:t>, kas noteikt</w:t>
      </w:r>
      <w:r w:rsidR="00501E91">
        <w:t>i</w:t>
      </w:r>
      <w:r w:rsidR="00582D80" w:rsidRPr="00836F0B">
        <w:t xml:space="preserve"> attiecīgās dalībvalsts atbildīgās iestādes paziņojumā tās </w:t>
      </w:r>
      <w:r w:rsidR="00874483">
        <w:t>tīmekļvietnē</w:t>
      </w:r>
      <w:r w:rsidR="00582D80" w:rsidRPr="00836F0B">
        <w:t>, ja šīs dalībvalsts atbildīgās iestādes noteiktā PKR</w:t>
      </w:r>
      <w:r w:rsidR="00E96274">
        <w:t xml:space="preserve"> norma</w:t>
      </w:r>
      <w:r w:rsidR="00582D80" w:rsidRPr="00836F0B">
        <w:t xml:space="preserve"> nav augstāka par 2</w:t>
      </w:r>
      <w:r w:rsidR="00501E91">
        <w:t>.</w:t>
      </w:r>
      <w:r w:rsidR="00582D80" w:rsidRPr="00836F0B">
        <w:t>5 procentiem</w:t>
      </w:r>
      <w:r w:rsidR="00874483">
        <w:t>;</w:t>
      </w:r>
    </w:p>
    <w:p w14:paraId="7B34C40E" w14:textId="20EC84FA" w:rsidR="00582D80" w:rsidRDefault="00582D80" w:rsidP="00582D80">
      <w:pPr>
        <w:pStyle w:val="NApunkts3"/>
      </w:pPr>
      <w:r w:rsidRPr="00836F0B">
        <w:t>2</w:t>
      </w:r>
      <w:r w:rsidR="00501E91">
        <w:t>.</w:t>
      </w:r>
      <w:r w:rsidRPr="00836F0B">
        <w:t>5</w:t>
      </w:r>
      <w:r w:rsidR="00556F77">
        <w:t> </w:t>
      </w:r>
      <w:r w:rsidRPr="00836F0B">
        <w:t xml:space="preserve">procentu apmērā no dienas, kas noteikta attiecīgās dalībvalsts atbildīgās iestādes paziņojumā tās </w:t>
      </w:r>
      <w:r w:rsidR="00874483">
        <w:t>tīmekļvietnē</w:t>
      </w:r>
      <w:r w:rsidRPr="00836F0B">
        <w:t>, ja šīs dalībvalsts atbildīgās iestādes noteiktā PKR</w:t>
      </w:r>
      <w:r w:rsidR="00E96274">
        <w:t xml:space="preserve"> norma</w:t>
      </w:r>
      <w:r w:rsidRPr="00836F0B">
        <w:t xml:space="preserve"> ir augstāka par 2</w:t>
      </w:r>
      <w:r w:rsidR="00501E91">
        <w:t>.</w:t>
      </w:r>
      <w:r w:rsidRPr="00836F0B">
        <w:t>5</w:t>
      </w:r>
      <w:r w:rsidR="00874483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nav atzinusi šīs dalībvalsts noteikto PKR</w:t>
      </w:r>
      <w:r w:rsidR="00E96274">
        <w:t xml:space="preserve"> normu</w:t>
      </w:r>
      <w:r w:rsidR="00874483">
        <w:t>;</w:t>
      </w:r>
    </w:p>
    <w:p w14:paraId="65D279C2" w14:textId="76940481" w:rsidR="00582D80" w:rsidRDefault="000A2611" w:rsidP="000A2611">
      <w:pPr>
        <w:pStyle w:val="NApunkts3"/>
      </w:pPr>
      <w:r w:rsidRPr="00836F0B">
        <w:t xml:space="preserve">pilnā apmērā no dienas, kas noteikta </w:t>
      </w:r>
      <w:r w:rsidR="00235F12">
        <w:t>Latvijas Bankas</w:t>
      </w:r>
      <w:r w:rsidRPr="00836F0B">
        <w:t xml:space="preserve"> paziņojumā, ja dalībvalsts atbildīgās iestādes noteiktā PKR</w:t>
      </w:r>
      <w:r w:rsidR="00E96274">
        <w:t xml:space="preserve"> norma</w:t>
      </w:r>
      <w:r w:rsidRPr="00836F0B">
        <w:t xml:space="preserve"> ir augstāka par 2</w:t>
      </w:r>
      <w:r w:rsidR="00501E91">
        <w:t>.</w:t>
      </w:r>
      <w:r w:rsidRPr="00836F0B">
        <w:t>5</w:t>
      </w:r>
      <w:r w:rsidR="00874483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ir atzinusi šīs dalībvalsts noteikto PKR</w:t>
      </w:r>
      <w:r w:rsidR="00E96274">
        <w:t xml:space="preserve"> normu</w:t>
      </w:r>
      <w:r w:rsidRPr="00836F0B">
        <w:t>;</w:t>
      </w:r>
    </w:p>
    <w:p w14:paraId="4D556F6B" w14:textId="7383E68C" w:rsidR="000A2611" w:rsidRPr="000A2611" w:rsidRDefault="000A2611" w:rsidP="000A2611">
      <w:pPr>
        <w:pStyle w:val="NApunkts2"/>
      </w:pPr>
      <w:r w:rsidRPr="000A2611">
        <w:t>darījumiem ar ārvalstu rezidentiem:</w:t>
      </w:r>
    </w:p>
    <w:p w14:paraId="29D0374B" w14:textId="5258D83B" w:rsidR="00582D80" w:rsidRDefault="00114EF5" w:rsidP="000A2611">
      <w:pPr>
        <w:pStyle w:val="NApunkts3"/>
      </w:pPr>
      <w:r>
        <w:t xml:space="preserve">pilnā apmērā no </w:t>
      </w:r>
      <w:r w:rsidR="000A2611" w:rsidRPr="00836F0B">
        <w:t>diena</w:t>
      </w:r>
      <w:r>
        <w:t>s</w:t>
      </w:r>
      <w:r w:rsidR="000A2611" w:rsidRPr="00836F0B">
        <w:t>, kas seko 12</w:t>
      </w:r>
      <w:r w:rsidR="00874483">
        <w:t> </w:t>
      </w:r>
      <w:r w:rsidR="000A2611" w:rsidRPr="00836F0B">
        <w:t xml:space="preserve">mēnešu pēc dienas, </w:t>
      </w:r>
      <w:r w:rsidR="00956959">
        <w:t>kura</w:t>
      </w:r>
      <w:r w:rsidR="00956959" w:rsidRPr="00836F0B">
        <w:t xml:space="preserve"> </w:t>
      </w:r>
      <w:r w:rsidR="000A2611" w:rsidRPr="00836F0B">
        <w:t>noteikta attiecīgās ārvalsts atbildīgās iestādes paziņojumā, ja šīs ārvalsts atbildīgās iestādes noteiktā PKR</w:t>
      </w:r>
      <w:r w:rsidR="00E96274">
        <w:t xml:space="preserve"> norma</w:t>
      </w:r>
      <w:r w:rsidR="000A2611" w:rsidRPr="00836F0B">
        <w:t xml:space="preserve"> nav augstāka par 2</w:t>
      </w:r>
      <w:r w:rsidR="00501E91">
        <w:t>.</w:t>
      </w:r>
      <w:r w:rsidR="000A2611" w:rsidRPr="00836F0B">
        <w:t xml:space="preserve">5 procentiem, ar nosacījumu, ka </w:t>
      </w:r>
      <w:r w:rsidR="00235F12">
        <w:t>Latvijas Banka</w:t>
      </w:r>
      <w:r w:rsidR="000A2611" w:rsidRPr="00836F0B">
        <w:t xml:space="preserve"> nav noteikusi citu PKR</w:t>
      </w:r>
      <w:r w:rsidR="00E96274">
        <w:t xml:space="preserve"> normu</w:t>
      </w:r>
      <w:r w:rsidR="000A2611" w:rsidRPr="00836F0B">
        <w:t xml:space="preserve"> darījumiem ar šīs ārvalsts rezidentiem, </w:t>
      </w:r>
      <w:r w:rsidR="00874483">
        <w:t>tai skaitā</w:t>
      </w:r>
      <w:r w:rsidR="000A2611" w:rsidRPr="00836F0B">
        <w:t xml:space="preserve"> tad, ja ārvalsts atbildīgā iestāde ir noteikusi šajā ārvalstī reģistrētajām kredītiestādēm īsāku PKR</w:t>
      </w:r>
      <w:r w:rsidR="00E96274">
        <w:t xml:space="preserve"> normas</w:t>
      </w:r>
      <w:r w:rsidR="000A2611" w:rsidRPr="00836F0B">
        <w:t xml:space="preserve"> piemērošanas termiņu</w:t>
      </w:r>
      <w:r w:rsidR="00874483">
        <w:t>;</w:t>
      </w:r>
    </w:p>
    <w:p w14:paraId="09BDC24E" w14:textId="3A7F9A67" w:rsidR="00582D80" w:rsidRDefault="000A2611" w:rsidP="000A2611">
      <w:pPr>
        <w:pStyle w:val="NApunkts3"/>
      </w:pPr>
      <w:r w:rsidRPr="00836F0B">
        <w:t>2</w:t>
      </w:r>
      <w:r w:rsidR="00501E91">
        <w:t>.</w:t>
      </w:r>
      <w:r w:rsidRPr="00836F0B">
        <w:t>5 procentu apmērā no dienas, kas seko 12</w:t>
      </w:r>
      <w:r w:rsidR="00874483">
        <w:t> </w:t>
      </w:r>
      <w:r w:rsidRPr="00836F0B">
        <w:t xml:space="preserve">mēnešu pēc dienas, </w:t>
      </w:r>
      <w:r w:rsidR="00956959">
        <w:t>kura</w:t>
      </w:r>
      <w:r w:rsidR="00956959" w:rsidRPr="00836F0B">
        <w:t xml:space="preserve"> </w:t>
      </w:r>
      <w:r w:rsidRPr="00836F0B">
        <w:t>noteikta attiecīgās ārvalsts atbildīgās iestādes paziņojumā, ja šīs ārvalsts atbildīgās iestādes noteiktā PKR</w:t>
      </w:r>
      <w:r w:rsidR="00E96274">
        <w:t xml:space="preserve"> norma</w:t>
      </w:r>
      <w:r w:rsidRPr="00836F0B">
        <w:t xml:space="preserve"> ir augstāka par 2</w:t>
      </w:r>
      <w:r w:rsidR="00501E91">
        <w:t>.</w:t>
      </w:r>
      <w:r w:rsidRPr="00836F0B">
        <w:t>5</w:t>
      </w:r>
      <w:r w:rsidR="00874483">
        <w:t> </w:t>
      </w:r>
      <w:r w:rsidRPr="00836F0B">
        <w:t xml:space="preserve">procentiem, ar nosacījumu, ka </w:t>
      </w:r>
      <w:r w:rsidR="00235F12">
        <w:t>Latvijas Banka</w:t>
      </w:r>
      <w:r w:rsidRPr="00836F0B">
        <w:t xml:space="preserve"> nav atzinusi šīs ārvalsts noteikto PKR</w:t>
      </w:r>
      <w:r w:rsidR="00E96274">
        <w:t xml:space="preserve"> normu</w:t>
      </w:r>
      <w:r w:rsidRPr="00836F0B">
        <w:t xml:space="preserve">, un ar nosacījumu, ka </w:t>
      </w:r>
      <w:r w:rsidR="00235F12">
        <w:t>Latvijas Banka</w:t>
      </w:r>
      <w:r w:rsidRPr="00836F0B">
        <w:t xml:space="preserve"> nav noteikusi citu PKR</w:t>
      </w:r>
      <w:r w:rsidR="00E96274">
        <w:t xml:space="preserve"> normu</w:t>
      </w:r>
      <w:r w:rsidRPr="00836F0B">
        <w:t xml:space="preserve"> darījumiem ar šīs ārvalsts rezidentiem, </w:t>
      </w:r>
      <w:r w:rsidR="00874483">
        <w:t>tai skaitā</w:t>
      </w:r>
      <w:r w:rsidRPr="00836F0B">
        <w:t xml:space="preserve"> tad, ja ārvalsts atbildīgā iestāde ir noteikusi šajā ārvalstī reģistrētajām kredītiestādēm īsāku piemērošanas termiņu</w:t>
      </w:r>
      <w:r w:rsidR="00874483">
        <w:t>;</w:t>
      </w:r>
    </w:p>
    <w:p w14:paraId="3BDCC83D" w14:textId="35C7B164" w:rsidR="00582D80" w:rsidRDefault="000A2611" w:rsidP="000A2611">
      <w:pPr>
        <w:pStyle w:val="NApunkts3"/>
      </w:pPr>
      <w:r w:rsidRPr="00836F0B">
        <w:t xml:space="preserve">pilnā apmērā no dienas, kas noteikta </w:t>
      </w:r>
      <w:r w:rsidR="00235F12">
        <w:t>Latvijas Bankas</w:t>
      </w:r>
      <w:r w:rsidRPr="00836F0B">
        <w:t xml:space="preserve"> paziņojumā, ja </w:t>
      </w:r>
      <w:r w:rsidR="00235F12">
        <w:t>Latvijas Banka</w:t>
      </w:r>
      <w:r w:rsidRPr="00836F0B">
        <w:t xml:space="preserve"> ir atzinusi ārvalsts noteikto PKR</w:t>
      </w:r>
      <w:r w:rsidR="00E96274">
        <w:t xml:space="preserve"> normu</w:t>
      </w:r>
      <w:r w:rsidR="00874483">
        <w:t>;</w:t>
      </w:r>
    </w:p>
    <w:p w14:paraId="0453ABA9" w14:textId="6744DA74" w:rsidR="00BB64C0" w:rsidRDefault="00083753" w:rsidP="00BB64C0">
      <w:pPr>
        <w:pStyle w:val="NApunkts3"/>
      </w:pPr>
      <w:r>
        <w:lastRenderedPageBreak/>
        <w:t xml:space="preserve">no dienas un apmērā, kas </w:t>
      </w:r>
      <w:r w:rsidRPr="00836F0B">
        <w:t>noteikt</w:t>
      </w:r>
      <w:r w:rsidR="00501E91">
        <w:t>i</w:t>
      </w:r>
      <w:r>
        <w:t xml:space="preserve"> Latvijas Bankas</w:t>
      </w:r>
      <w:r w:rsidRPr="00836F0B">
        <w:t xml:space="preserve"> paziņojumā par PKR</w:t>
      </w:r>
      <w:r>
        <w:t xml:space="preserve"> normas</w:t>
      </w:r>
      <w:r w:rsidRPr="00836F0B">
        <w:t xml:space="preserve"> noteikšanu ārvalsts darījumiem</w:t>
      </w:r>
      <w:r>
        <w:t xml:space="preserve">, </w:t>
      </w:r>
      <w:r w:rsidR="000A2611" w:rsidRPr="00836F0B">
        <w:t>ja PKR</w:t>
      </w:r>
      <w:r w:rsidR="00E96274">
        <w:t xml:space="preserve"> norm</w:t>
      </w:r>
      <w:r>
        <w:t xml:space="preserve">u </w:t>
      </w:r>
      <w:r w:rsidRPr="00836F0B">
        <w:t>darījumiem ar šīs ārvalsts rezidentiem</w:t>
      </w:r>
      <w:r w:rsidR="000A2611" w:rsidRPr="00836F0B">
        <w:t xml:space="preserve"> noteikusi </w:t>
      </w:r>
      <w:r w:rsidR="00235F12">
        <w:t>Latvijas Banka</w:t>
      </w:r>
      <w:r>
        <w:t>.</w:t>
      </w:r>
    </w:p>
    <w:p w14:paraId="3A9B5AEA" w14:textId="6A5DCA6D" w:rsidR="00F508AA" w:rsidRPr="00B41ADD" w:rsidRDefault="003B2C4D" w:rsidP="00F508AA">
      <w:pPr>
        <w:pStyle w:val="NApunkts1"/>
      </w:pPr>
      <w:r w:rsidRPr="00B41ADD">
        <w:t xml:space="preserve">Ja PKR norma tiek samazināta, </w:t>
      </w:r>
      <w:r w:rsidR="00F508AA" w:rsidRPr="00B41ADD">
        <w:t>KSPKR normas aprēķina nolūkiem to piemēro</w:t>
      </w:r>
      <w:r w:rsidR="00264397" w:rsidRPr="00B41ADD">
        <w:t xml:space="preserve"> nekavējoties </w:t>
      </w:r>
      <w:r w:rsidR="00C75BB0">
        <w:t>šādā apmērā</w:t>
      </w:r>
      <w:r w:rsidR="00F508AA" w:rsidRPr="00B41ADD">
        <w:t>:</w:t>
      </w:r>
    </w:p>
    <w:p w14:paraId="74FB8B03" w14:textId="2E9C9836" w:rsidR="00F508AA" w:rsidRPr="00B41ADD" w:rsidRDefault="00F508AA" w:rsidP="00F508AA">
      <w:pPr>
        <w:pStyle w:val="NApunkts2"/>
      </w:pPr>
      <w:r w:rsidRPr="00B41ADD">
        <w:t>darījumiem ar Latvijas Republikas rezidentiem – apmērā, kas noteikts Latvijas Bankas paziņojumā saskaņā ar Kredītiestāžu likuma 35.</w:t>
      </w:r>
      <w:r w:rsidRPr="00B41ADD">
        <w:rPr>
          <w:vertAlign w:val="superscript"/>
        </w:rPr>
        <w:t>5</w:t>
      </w:r>
      <w:r w:rsidRPr="00B41ADD">
        <w:t> panta septīto daļu;</w:t>
      </w:r>
    </w:p>
    <w:p w14:paraId="7110E148" w14:textId="77777777" w:rsidR="00F508AA" w:rsidRPr="00B41ADD" w:rsidRDefault="00F508AA" w:rsidP="00F508AA">
      <w:pPr>
        <w:pStyle w:val="NApunkts2"/>
      </w:pPr>
      <w:r w:rsidRPr="00B41ADD">
        <w:t>darījumiem ar dalībvalstu rezidentiem:</w:t>
      </w:r>
    </w:p>
    <w:p w14:paraId="2F9F7647" w14:textId="5BD89991" w:rsidR="00F508AA" w:rsidRPr="00B41ADD" w:rsidRDefault="00F508AA" w:rsidP="00F508AA">
      <w:pPr>
        <w:pStyle w:val="NApunkts3"/>
      </w:pPr>
      <w:r w:rsidRPr="00B41ADD">
        <w:t>apmērā, kas noteikts attiecīgās dalībvalsts atbildīgās iestādes paziņojumā tās tīmekļvietnē, ja šīs dalībvalsts atbildīgās iestādes noteiktā PKR norma nav augstāka par 2</w:t>
      </w:r>
      <w:r w:rsidR="00501E91">
        <w:t>.</w:t>
      </w:r>
      <w:r w:rsidRPr="00B41ADD">
        <w:t>5 procentiem;</w:t>
      </w:r>
    </w:p>
    <w:p w14:paraId="138943A8" w14:textId="01364A8B" w:rsidR="00F508AA" w:rsidRPr="00B41ADD" w:rsidRDefault="00F508AA" w:rsidP="00F508AA">
      <w:pPr>
        <w:pStyle w:val="NApunkts3"/>
      </w:pPr>
      <w:r w:rsidRPr="00B41ADD">
        <w:t>2</w:t>
      </w:r>
      <w:r w:rsidR="00501E91">
        <w:t>.</w:t>
      </w:r>
      <w:r w:rsidRPr="00B41ADD">
        <w:t>5 procentu apmērā, ja šīs dalībvalsts atbildīgās iestādes noteiktā PKR norma ir augstāka par 2</w:t>
      </w:r>
      <w:r w:rsidR="00501E91">
        <w:t>.</w:t>
      </w:r>
      <w:r w:rsidRPr="00B41ADD">
        <w:t>5 procentiem, ar nosacījumu, ka Latvijas Banka nav atzinusi šīs dalībvalsts noteikto PKR normu;</w:t>
      </w:r>
    </w:p>
    <w:p w14:paraId="13F550E9" w14:textId="22B3E81A" w:rsidR="00F508AA" w:rsidRPr="00B41ADD" w:rsidRDefault="00F508AA" w:rsidP="00F508AA">
      <w:pPr>
        <w:pStyle w:val="NApunkts3"/>
      </w:pPr>
      <w:r w:rsidRPr="00B41ADD">
        <w:t xml:space="preserve">apmērā, kas noteikts </w:t>
      </w:r>
      <w:r w:rsidR="00312A88" w:rsidRPr="00B41ADD">
        <w:t>attiecīgās dalībvalsts atbildīgās iestādes paziņojumā tās tīmekļvietnē</w:t>
      </w:r>
      <w:r w:rsidRPr="00B41ADD">
        <w:t>, ja dalībvalsts atbildīgās iestādes noteiktā PKR norma ir augstāka par 2</w:t>
      </w:r>
      <w:r w:rsidR="00501E91">
        <w:t>.</w:t>
      </w:r>
      <w:r w:rsidRPr="00B41ADD">
        <w:t>5 procentiem, ar nosacījumu, ka Latvijas Banka ir atzinusi šīs dalībvalsts noteikto PKR normu;</w:t>
      </w:r>
    </w:p>
    <w:p w14:paraId="452DBC0F" w14:textId="77777777" w:rsidR="00F508AA" w:rsidRPr="00B41ADD" w:rsidRDefault="00F508AA" w:rsidP="00F508AA">
      <w:pPr>
        <w:pStyle w:val="NApunkts2"/>
      </w:pPr>
      <w:r w:rsidRPr="00B41ADD">
        <w:t>darījumiem ar ārvalstu rezidentiem:</w:t>
      </w:r>
    </w:p>
    <w:p w14:paraId="069454E2" w14:textId="2512A93A" w:rsidR="00F508AA" w:rsidRPr="00B41ADD" w:rsidRDefault="00264397" w:rsidP="00F508AA">
      <w:pPr>
        <w:pStyle w:val="NApunkts3"/>
      </w:pPr>
      <w:r w:rsidRPr="00B41ADD">
        <w:t xml:space="preserve">apmērā, kas noteikts attiecīgās ārvalsts atbildīgās iestādes paziņojumā, </w:t>
      </w:r>
      <w:r w:rsidR="00F508AA" w:rsidRPr="00B41ADD">
        <w:t>ja šīs ārvalsts atbildīgās iestādes noteiktā PKR norma nav augstāka par 2</w:t>
      </w:r>
      <w:r w:rsidR="00501E91">
        <w:t>.</w:t>
      </w:r>
      <w:r w:rsidR="00F508AA" w:rsidRPr="00B41ADD">
        <w:t>5 procentiem, ar nosacījumu, ka Latvijas Banka nav noteikusi citu PKR normu darījumiem ar šīs ārvalsts rezidentiem;</w:t>
      </w:r>
    </w:p>
    <w:p w14:paraId="038915E2" w14:textId="1A73A687" w:rsidR="00F508AA" w:rsidRPr="00B41ADD" w:rsidRDefault="00F508AA" w:rsidP="00F508AA">
      <w:pPr>
        <w:pStyle w:val="NApunkts3"/>
      </w:pPr>
      <w:r w:rsidRPr="00B41ADD">
        <w:t>2</w:t>
      </w:r>
      <w:r w:rsidR="00501E91">
        <w:t>.</w:t>
      </w:r>
      <w:r w:rsidRPr="00B41ADD">
        <w:t>5 procentu apmērā, ja šīs ārvalsts atbildīgās iestādes noteiktā PKR norma ir augstāka par 2</w:t>
      </w:r>
      <w:r w:rsidR="00501E91">
        <w:t>.</w:t>
      </w:r>
      <w:r w:rsidRPr="00B41ADD">
        <w:t>5 procentiem, ar nosacījumu, ka Latvijas Banka nav atzinusi šīs ārvalsts noteikto</w:t>
      </w:r>
      <w:r w:rsidR="00296A9C" w:rsidRPr="00B41ADD">
        <w:t xml:space="preserve"> </w:t>
      </w:r>
      <w:r w:rsidRPr="00B41ADD">
        <w:t>PKR normu, un ar nosacījumu, ka Latvijas Banka nav noteikusi citu PKR normu darījumiem ar šīs ārvalsts rezidentiem;</w:t>
      </w:r>
    </w:p>
    <w:p w14:paraId="3D191FEC" w14:textId="1F70F2F0" w:rsidR="00F508AA" w:rsidRPr="00B41ADD" w:rsidRDefault="00F508AA" w:rsidP="00F508AA">
      <w:pPr>
        <w:pStyle w:val="NApunkts3"/>
      </w:pPr>
      <w:r w:rsidRPr="00B41ADD">
        <w:t xml:space="preserve">pilnā apmērā, ja Latvijas Banka ir atzinusi </w:t>
      </w:r>
      <w:r w:rsidR="00312A88" w:rsidRPr="00B41ADD">
        <w:t xml:space="preserve">šīs </w:t>
      </w:r>
      <w:r w:rsidRPr="00B41ADD">
        <w:t>ārvalsts noteikto</w:t>
      </w:r>
      <w:r w:rsidR="00296A9C" w:rsidRPr="00B41ADD">
        <w:t xml:space="preserve"> </w:t>
      </w:r>
      <w:r w:rsidRPr="00B41ADD">
        <w:t>PKR normu;</w:t>
      </w:r>
    </w:p>
    <w:p w14:paraId="6B790ACA" w14:textId="5A8A3A5D" w:rsidR="003B2C4D" w:rsidRPr="00B41ADD" w:rsidRDefault="00F508AA" w:rsidP="00F508AA">
      <w:pPr>
        <w:pStyle w:val="NApunkts3"/>
      </w:pPr>
      <w:r w:rsidRPr="00B41ADD">
        <w:t>apmērā, kas noteikts Latvijas Bankas paziņojumā par PKR normas noteikšanu ārvalsts darījumiem, ja PKR normu darījumiem ar šīs ārvalsts rezidentiem noteikusi Latvijas Banka.</w:t>
      </w:r>
    </w:p>
    <w:p w14:paraId="63163580" w14:textId="365D1E98" w:rsidR="00BB64C0" w:rsidRDefault="00083753" w:rsidP="00BB64C0">
      <w:pPr>
        <w:pStyle w:val="NApunkts1"/>
      </w:pPr>
      <w:r w:rsidRPr="00B41ADD">
        <w:t>Ā</w:t>
      </w:r>
      <w:r w:rsidR="000A2611" w:rsidRPr="00B41ADD">
        <w:t>rvalstī noteiktās</w:t>
      </w:r>
      <w:r w:rsidR="000A2611" w:rsidRPr="000A2611">
        <w:t xml:space="preserve"> PKR</w:t>
      </w:r>
      <w:r w:rsidR="00E96274">
        <w:t xml:space="preserve"> normas</w:t>
      </w:r>
      <w:r w:rsidR="000A2611" w:rsidRPr="000A2611">
        <w:t xml:space="preserve"> izmaiņas uzskata par paziņotām dienā, kad attiecīgā ārvalsts atbildīgā iestāde tās publicē saskaņā ar </w:t>
      </w:r>
      <w:r>
        <w:t xml:space="preserve">tajā </w:t>
      </w:r>
      <w:r w:rsidR="000A2611" w:rsidRPr="000A2611">
        <w:t>piemērojamiem noteikumiem.</w:t>
      </w:r>
    </w:p>
    <w:p w14:paraId="13DAB14F" w14:textId="6BE678CF" w:rsidR="009B3B5A" w:rsidRPr="0043332D" w:rsidRDefault="000A2611" w:rsidP="009B3B5A">
      <w:pPr>
        <w:pStyle w:val="NApunkts1"/>
      </w:pPr>
      <w:bookmarkStart w:id="3" w:name="_Hlk156981913"/>
      <w:r w:rsidRPr="00836F0B">
        <w:t>KSPKR</w:t>
      </w:r>
      <w:r w:rsidR="00E96274">
        <w:t xml:space="preserve"> normu</w:t>
      </w:r>
      <w:r w:rsidRPr="00836F0B">
        <w:t xml:space="preserve"> aprēķina kā </w:t>
      </w:r>
      <w:r w:rsidR="000937E5">
        <w:t xml:space="preserve">to </w:t>
      </w:r>
      <w:r w:rsidRPr="00836F0B">
        <w:t>PKR</w:t>
      </w:r>
      <w:r w:rsidR="00E96274">
        <w:t xml:space="preserve"> normu</w:t>
      </w:r>
      <w:r w:rsidR="000937E5">
        <w:t xml:space="preserve"> </w:t>
      </w:r>
      <w:r w:rsidR="000937E5" w:rsidRPr="00836F0B">
        <w:t>vidējo svērto rādītāju</w:t>
      </w:r>
      <w:r w:rsidRPr="00836F0B">
        <w:t>, kas tiek piemērota</w:t>
      </w:r>
      <w:r w:rsidR="000937E5">
        <w:t>s</w:t>
      </w:r>
      <w:r w:rsidRPr="00836F0B">
        <w:t xml:space="preserve"> </w:t>
      </w:r>
      <w:r w:rsidR="00A95B24">
        <w:t xml:space="preserve">darījuma </w:t>
      </w:r>
      <w:r w:rsidR="00C315C8">
        <w:t>atrašanās</w:t>
      </w:r>
      <w:r w:rsidR="00A95B24">
        <w:t xml:space="preserve"> vietās</w:t>
      </w:r>
      <w:r w:rsidRPr="00836F0B">
        <w:t xml:space="preserve">, ar kuru rezidentiem kredītiestāde veic kredītriskam pakļautos riska darījumus, vai </w:t>
      </w:r>
      <w:r w:rsidR="000937E5">
        <w:t>kas tiek piemērotas</w:t>
      </w:r>
      <w:r w:rsidRPr="00836F0B">
        <w:t xml:space="preserve">, pamatojoties uz </w:t>
      </w:r>
      <w:r w:rsidR="00235F12">
        <w:t>Latvijas Bankas</w:t>
      </w:r>
      <w:r w:rsidRPr="00836F0B">
        <w:t xml:space="preserve"> lēmumu. Kredītiestāde aprēķina KSPKR</w:t>
      </w:r>
      <w:r w:rsidR="00E96274">
        <w:t xml:space="preserve"> normu</w:t>
      </w:r>
      <w:r w:rsidR="00556F77">
        <w:t xml:space="preserve"> šādā kārtībā</w:t>
      </w:r>
      <w:r w:rsidRPr="00836F0B">
        <w:t>:</w:t>
      </w:r>
    </w:p>
    <w:p w14:paraId="327F83A6" w14:textId="40B8CD32" w:rsidR="009B3B5A" w:rsidRPr="0043332D" w:rsidRDefault="000A2611" w:rsidP="00462E70">
      <w:pPr>
        <w:pStyle w:val="NApunkts2"/>
      </w:pPr>
      <w:r w:rsidRPr="00836F0B">
        <w:t>katru piemērojamo PKR</w:t>
      </w:r>
      <w:r w:rsidR="00E96274">
        <w:t xml:space="preserve"> normu</w:t>
      </w:r>
      <w:r w:rsidRPr="00836F0B">
        <w:t xml:space="preserve"> reizina ar kredītiestādes pašu kapitāla prasību kopsummu kredītriska</w:t>
      </w:r>
      <w:r w:rsidR="00DB2616">
        <w:t>m pakļautajiem riska</w:t>
      </w:r>
      <w:r w:rsidRPr="00836F0B">
        <w:t xml:space="preserve"> darījumiem ar attiecīgās valsts rezidentiem, kas aprēķināta atbilstoši Regulas</w:t>
      </w:r>
      <w:r w:rsidR="00874483">
        <w:t xml:space="preserve"> Nr. 575/2013</w:t>
      </w:r>
      <w:r w:rsidRPr="00836F0B">
        <w:t xml:space="preserve"> </w:t>
      </w:r>
      <w:r w:rsidR="00D2340C">
        <w:t>t</w:t>
      </w:r>
      <w:r w:rsidRPr="00836F0B">
        <w:t>rešās daļas II</w:t>
      </w:r>
      <w:r w:rsidR="00D2340C">
        <w:t> </w:t>
      </w:r>
      <w:r w:rsidRPr="00836F0B">
        <w:t>un IV</w:t>
      </w:r>
      <w:r w:rsidR="00874483">
        <w:t> </w:t>
      </w:r>
      <w:r w:rsidRPr="00836F0B">
        <w:t>sadaļai;</w:t>
      </w:r>
    </w:p>
    <w:p w14:paraId="5034C13D" w14:textId="6DBC40E4" w:rsidR="0090126A" w:rsidRPr="001F4834" w:rsidRDefault="000A2611" w:rsidP="00D32BE4">
      <w:pPr>
        <w:pStyle w:val="NApunkts2"/>
      </w:pPr>
      <w:r w:rsidRPr="00836F0B">
        <w:t xml:space="preserve">summē atbilstoši šo noteikumu </w:t>
      </w:r>
      <w:r w:rsidR="00B41ADD">
        <w:t>9</w:t>
      </w:r>
      <w:r w:rsidRPr="00836F0B">
        <w:t>.1.</w:t>
      </w:r>
      <w:r w:rsidR="00C93DE1">
        <w:t> </w:t>
      </w:r>
      <w:r w:rsidR="00C51E00">
        <w:t>apakš</w:t>
      </w:r>
      <w:r w:rsidRPr="00836F0B">
        <w:t>punkta prasībām aprēķinātos rezultātus;</w:t>
      </w:r>
    </w:p>
    <w:p w14:paraId="6AA51FFA" w14:textId="73C13ADA" w:rsidR="00840034" w:rsidRPr="004F29B1" w:rsidRDefault="000A2611" w:rsidP="00FA71C5">
      <w:pPr>
        <w:pStyle w:val="NApunkts2"/>
      </w:pPr>
      <w:r w:rsidRPr="00836F0B">
        <w:t xml:space="preserve">summu, kas iegūta šo noteikumu </w:t>
      </w:r>
      <w:r w:rsidR="00BB0240">
        <w:t>9</w:t>
      </w:r>
      <w:r w:rsidRPr="00836F0B">
        <w:t>.2.</w:t>
      </w:r>
      <w:r w:rsidR="00C93DE1">
        <w:t> </w:t>
      </w:r>
      <w:r w:rsidR="00C51E00">
        <w:t>apakš</w:t>
      </w:r>
      <w:r w:rsidRPr="00836F0B">
        <w:t xml:space="preserve">punktā minētajā kārtībā, dala ar pašu kapitāla prasību kopsummu kredītiestādes attiecīgajiem šo noteikumu </w:t>
      </w:r>
      <w:r w:rsidR="00B41ADD">
        <w:t>3</w:t>
      </w:r>
      <w:r w:rsidRPr="00836F0B">
        <w:t>.</w:t>
      </w:r>
      <w:r w:rsidR="00C93DE1">
        <w:t> </w:t>
      </w:r>
      <w:r w:rsidRPr="00836F0B">
        <w:t>punktā minētajiem kredītriska</w:t>
      </w:r>
      <w:r w:rsidR="00DB2616">
        <w:t>m pakļautajiem riska</w:t>
      </w:r>
      <w:r w:rsidRPr="00836F0B">
        <w:t xml:space="preserve"> darījumiem.</w:t>
      </w:r>
      <w:bookmarkEnd w:id="3"/>
    </w:p>
    <w:p w14:paraId="588B2C03" w14:textId="09EEEDEF" w:rsidR="00DD34CF" w:rsidRDefault="00C76A23" w:rsidP="00DD34CF">
      <w:pPr>
        <w:pStyle w:val="NApunkts1"/>
      </w:pPr>
      <w:r>
        <w:t xml:space="preserve">Atzīt par spēku zaudējušiem </w:t>
      </w:r>
      <w:r w:rsidR="00235F12">
        <w:t>Finanšu un kapitāla tirgus k</w:t>
      </w:r>
      <w:r w:rsidR="006D7108" w:rsidRPr="00836F0B">
        <w:t>omisijas 20</w:t>
      </w:r>
      <w:r w:rsidR="00235F12">
        <w:t>20</w:t>
      </w:r>
      <w:r w:rsidR="006D7108" w:rsidRPr="00836F0B">
        <w:t>.</w:t>
      </w:r>
      <w:r w:rsidR="004B7253">
        <w:t> </w:t>
      </w:r>
      <w:r w:rsidR="006D7108" w:rsidRPr="00836F0B">
        <w:t>gada 2</w:t>
      </w:r>
      <w:r w:rsidR="00235F12">
        <w:t>5</w:t>
      </w:r>
      <w:r w:rsidR="006D7108" w:rsidRPr="00836F0B">
        <w:t>.</w:t>
      </w:r>
      <w:r w:rsidR="004B7253">
        <w:t> </w:t>
      </w:r>
      <w:r w:rsidR="006D7108" w:rsidRPr="00836F0B">
        <w:t>augusta normatīv</w:t>
      </w:r>
      <w:r>
        <w:t>os</w:t>
      </w:r>
      <w:r w:rsidR="006D7108" w:rsidRPr="00836F0B">
        <w:t xml:space="preserve"> noteikum</w:t>
      </w:r>
      <w:r>
        <w:t>us</w:t>
      </w:r>
      <w:r w:rsidR="006D7108" w:rsidRPr="00836F0B">
        <w:t xml:space="preserve"> Nr.</w:t>
      </w:r>
      <w:r w:rsidR="004B7253">
        <w:t> </w:t>
      </w:r>
      <w:r w:rsidR="006D7108" w:rsidRPr="00836F0B">
        <w:t>13</w:t>
      </w:r>
      <w:r w:rsidR="00235F12">
        <w:t>7</w:t>
      </w:r>
      <w:r w:rsidR="006D7108" w:rsidRPr="00836F0B">
        <w:t xml:space="preserve"> "Kredītiestādei specifiskās pretcikliskās kapitāla rezerves normas aprēķināšanas normatīvie noteikumi"</w:t>
      </w:r>
      <w:r w:rsidR="00E96274">
        <w:t xml:space="preserve"> (Latvijas Vēstnesis, </w:t>
      </w:r>
      <w:r w:rsidR="00E96274" w:rsidRPr="00E96274">
        <w:t>2020, Nr.</w:t>
      </w:r>
      <w:r w:rsidR="00102D67">
        <w:t> </w:t>
      </w:r>
      <w:r w:rsidR="00E96274" w:rsidRPr="00E96274">
        <w:t>171</w:t>
      </w:r>
      <w:r w:rsidR="000614F3">
        <w:t>; 2022, Nr. 252</w:t>
      </w:r>
      <w:r w:rsidR="00E96274">
        <w:t>)</w:t>
      </w:r>
      <w:r w:rsidR="006D7108" w:rsidRPr="00836F0B">
        <w:t>.</w:t>
      </w:r>
    </w:p>
    <w:p w14:paraId="2EFBE7B2" w14:textId="231D0C6F" w:rsidR="004B7253" w:rsidRDefault="004B7253" w:rsidP="00DD34CF">
      <w:pPr>
        <w:pStyle w:val="NApunkts1"/>
      </w:pPr>
      <w:r>
        <w:t>Noteikumi stājas spēkā 2025. gada 1. janvārī.</w:t>
      </w:r>
    </w:p>
    <w:p w14:paraId="10B2A782" w14:textId="77777777" w:rsidR="00DD34CF" w:rsidRDefault="00DD34CF" w:rsidP="009B3B5A">
      <w:pPr>
        <w:pStyle w:val="Teksts2"/>
        <w:widowControl w:val="0"/>
        <w:jc w:val="center"/>
        <w:rPr>
          <w:b/>
          <w:sz w:val="26"/>
          <w:szCs w:val="26"/>
        </w:rPr>
      </w:pPr>
    </w:p>
    <w:p w14:paraId="53140A46" w14:textId="2E2A8ED7" w:rsidR="009B3B5A" w:rsidRPr="00047EC7" w:rsidRDefault="009B3B5A" w:rsidP="00105A6D">
      <w:pPr>
        <w:pStyle w:val="Teksts2"/>
        <w:keepNext/>
        <w:widowControl w:val="0"/>
        <w:rPr>
          <w:b/>
          <w:szCs w:val="24"/>
        </w:rPr>
      </w:pPr>
      <w:r w:rsidRPr="00047EC7">
        <w:rPr>
          <w:b/>
          <w:szCs w:val="24"/>
        </w:rPr>
        <w:t xml:space="preserve">Informatīva atsauce uz Eiropas </w:t>
      </w:r>
      <w:r w:rsidR="0097787A" w:rsidRPr="00047EC7">
        <w:rPr>
          <w:b/>
          <w:szCs w:val="24"/>
        </w:rPr>
        <w:t xml:space="preserve">Savienības </w:t>
      </w:r>
      <w:r w:rsidR="005E0A10">
        <w:rPr>
          <w:b/>
          <w:szCs w:val="24"/>
        </w:rPr>
        <w:t>direktīvu</w:t>
      </w:r>
    </w:p>
    <w:p w14:paraId="4B9C6A94" w14:textId="49ABB967" w:rsidR="002B340F" w:rsidRPr="00A66D7E" w:rsidRDefault="009B3B5A" w:rsidP="00FA71C5">
      <w:pPr>
        <w:pStyle w:val="NApunkts1"/>
        <w:keepNext/>
        <w:keepLines/>
        <w:numPr>
          <w:ilvl w:val="0"/>
          <w:numId w:val="0"/>
        </w:numPr>
      </w:pPr>
      <w:r w:rsidRPr="007361A1">
        <w:t>Noteikumos iekļautas tiesību normas, kas izriet no</w:t>
      </w:r>
      <w:r w:rsidR="005E0A10">
        <w:t xml:space="preserve"> </w:t>
      </w:r>
      <w:bookmarkStart w:id="4" w:name="_Hlk175734282"/>
      <w:r w:rsidR="002B45A0" w:rsidRPr="00363E3A">
        <w:rPr>
          <w:color w:val="000000" w:themeColor="text1"/>
        </w:rPr>
        <w:t>Eiropas Parlamenta un Padomes 2013.</w:t>
      </w:r>
      <w:r w:rsidR="004B7253">
        <w:rPr>
          <w:color w:val="000000" w:themeColor="text1"/>
        </w:rPr>
        <w:t> </w:t>
      </w:r>
      <w:r w:rsidR="002B45A0" w:rsidRPr="00363E3A">
        <w:rPr>
          <w:color w:val="000000" w:themeColor="text1"/>
        </w:rPr>
        <w:t>gada 26.</w:t>
      </w:r>
      <w:r w:rsidR="004B7253">
        <w:rPr>
          <w:color w:val="000000" w:themeColor="text1"/>
        </w:rPr>
        <w:t> </w:t>
      </w:r>
      <w:r w:rsidR="002B45A0" w:rsidRPr="00363E3A">
        <w:rPr>
          <w:color w:val="000000" w:themeColor="text1"/>
        </w:rPr>
        <w:t>jūnij</w:t>
      </w:r>
      <w:r w:rsidR="002B45A0">
        <w:rPr>
          <w:color w:val="000000" w:themeColor="text1"/>
        </w:rPr>
        <w:t>a</w:t>
      </w:r>
      <w:r w:rsidR="002B45A0" w:rsidRPr="00363E3A">
        <w:rPr>
          <w:color w:val="000000" w:themeColor="text1"/>
        </w:rPr>
        <w:t xml:space="preserve"> </w:t>
      </w:r>
      <w:r w:rsidR="005E0A10">
        <w:rPr>
          <w:color w:val="000000" w:themeColor="text1"/>
        </w:rPr>
        <w:t>d</w:t>
      </w:r>
      <w:r w:rsidR="002B45A0" w:rsidRPr="00363E3A">
        <w:rPr>
          <w:color w:val="000000" w:themeColor="text1"/>
        </w:rPr>
        <w:t>irektīva</w:t>
      </w:r>
      <w:r w:rsidR="002B45A0">
        <w:rPr>
          <w:color w:val="000000" w:themeColor="text1"/>
        </w:rPr>
        <w:t>s</w:t>
      </w:r>
      <w:r w:rsidR="002B45A0" w:rsidRPr="00363E3A">
        <w:rPr>
          <w:color w:val="000000" w:themeColor="text1"/>
        </w:rPr>
        <w:t xml:space="preserve"> 2013/36/ES par piekļuvi kredītiestāžu darbībai un kredītiestāžu prudenciālo uzraudzību, ar ko groza </w:t>
      </w:r>
      <w:r w:rsidR="005E0A10">
        <w:rPr>
          <w:color w:val="000000" w:themeColor="text1"/>
        </w:rPr>
        <w:t>d</w:t>
      </w:r>
      <w:r w:rsidR="002B45A0" w:rsidRPr="00363E3A">
        <w:rPr>
          <w:color w:val="000000" w:themeColor="text1"/>
        </w:rPr>
        <w:t xml:space="preserve">irektīvu 2002/87/EK un atceļ </w:t>
      </w:r>
      <w:r w:rsidR="005E0A10">
        <w:rPr>
          <w:color w:val="000000" w:themeColor="text1"/>
        </w:rPr>
        <w:t>d</w:t>
      </w:r>
      <w:r w:rsidR="002B45A0" w:rsidRPr="00363E3A">
        <w:rPr>
          <w:color w:val="000000" w:themeColor="text1"/>
        </w:rPr>
        <w:t>irektīvas 2006/48/EK un 2006/49/EK</w:t>
      </w:r>
      <w:r w:rsidR="005E0A10">
        <w:rPr>
          <w:color w:val="000000" w:themeColor="text1"/>
        </w:rPr>
        <w:t>.</w:t>
      </w:r>
    </w:p>
    <w:bookmarkEnd w:id="4"/>
    <w:p w14:paraId="3FC80BFB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15D3ECA6" w14:textId="77777777" w:rsidTr="00811BE5">
        <w:tc>
          <w:tcPr>
            <w:tcW w:w="4928" w:type="dxa"/>
            <w:vAlign w:val="bottom"/>
          </w:tcPr>
          <w:p w14:paraId="78807558" w14:textId="5E844D05" w:rsidR="00966987" w:rsidRDefault="001170E5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EA624226B605467D96FC45231B71839A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FF5110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6B529BF1DBCF468181E7B1E0746E50FB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7322B703" w14:textId="444689E7" w:rsidR="00966987" w:rsidRDefault="00FF5110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B41ADD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0FF1D3B7" w14:textId="77777777" w:rsidR="006D395C" w:rsidRPr="006D395C" w:rsidRDefault="006D395C" w:rsidP="005E0A10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983B3" w14:textId="77777777" w:rsidR="009B3B5A" w:rsidRDefault="009B3B5A" w:rsidP="00AC4B00">
      <w:r>
        <w:separator/>
      </w:r>
    </w:p>
  </w:endnote>
  <w:endnote w:type="continuationSeparator" w:id="0">
    <w:p w14:paraId="7AF8B3BA" w14:textId="77777777" w:rsidR="009B3B5A" w:rsidRDefault="009B3B5A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B6B3D" w14:textId="77777777" w:rsidR="009B3B5A" w:rsidRDefault="009B3B5A" w:rsidP="00AC4B00">
      <w:r>
        <w:separator/>
      </w:r>
    </w:p>
  </w:footnote>
  <w:footnote w:type="continuationSeparator" w:id="0">
    <w:p w14:paraId="2DC8B626" w14:textId="77777777" w:rsidR="009B3B5A" w:rsidRDefault="009B3B5A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3FEAF2B7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83251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6AE2915" wp14:editId="126B0EE1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269825" wp14:editId="53A7851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E9854C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924CD"/>
    <w:multiLevelType w:val="hybridMultilevel"/>
    <w:tmpl w:val="E5EE7180"/>
    <w:lvl w:ilvl="0" w:tplc="9910611C">
      <w:start w:val="1"/>
      <w:numFmt w:val="lowerLetter"/>
      <w:lvlText w:val="%1)"/>
      <w:lvlJc w:val="left"/>
      <w:pPr>
        <w:ind w:left="1020" w:hanging="360"/>
      </w:pPr>
    </w:lvl>
    <w:lvl w:ilvl="1" w:tplc="CDA4C260">
      <w:start w:val="1"/>
      <w:numFmt w:val="lowerLetter"/>
      <w:lvlText w:val="%2)"/>
      <w:lvlJc w:val="left"/>
      <w:pPr>
        <w:ind w:left="1020" w:hanging="360"/>
      </w:pPr>
    </w:lvl>
    <w:lvl w:ilvl="2" w:tplc="74963FE2">
      <w:start w:val="1"/>
      <w:numFmt w:val="lowerLetter"/>
      <w:lvlText w:val="%3)"/>
      <w:lvlJc w:val="left"/>
      <w:pPr>
        <w:ind w:left="1020" w:hanging="360"/>
      </w:pPr>
    </w:lvl>
    <w:lvl w:ilvl="3" w:tplc="4CA6E9CA">
      <w:start w:val="1"/>
      <w:numFmt w:val="lowerLetter"/>
      <w:lvlText w:val="%4)"/>
      <w:lvlJc w:val="left"/>
      <w:pPr>
        <w:ind w:left="1020" w:hanging="360"/>
      </w:pPr>
    </w:lvl>
    <w:lvl w:ilvl="4" w:tplc="8C5A0060">
      <w:start w:val="1"/>
      <w:numFmt w:val="lowerLetter"/>
      <w:lvlText w:val="%5)"/>
      <w:lvlJc w:val="left"/>
      <w:pPr>
        <w:ind w:left="1020" w:hanging="360"/>
      </w:pPr>
    </w:lvl>
    <w:lvl w:ilvl="5" w:tplc="AB72C4D6">
      <w:start w:val="1"/>
      <w:numFmt w:val="lowerLetter"/>
      <w:lvlText w:val="%6)"/>
      <w:lvlJc w:val="left"/>
      <w:pPr>
        <w:ind w:left="1020" w:hanging="360"/>
      </w:pPr>
    </w:lvl>
    <w:lvl w:ilvl="6" w:tplc="EB50ECA8">
      <w:start w:val="1"/>
      <w:numFmt w:val="lowerLetter"/>
      <w:lvlText w:val="%7)"/>
      <w:lvlJc w:val="left"/>
      <w:pPr>
        <w:ind w:left="1020" w:hanging="360"/>
      </w:pPr>
    </w:lvl>
    <w:lvl w:ilvl="7" w:tplc="68168506">
      <w:start w:val="1"/>
      <w:numFmt w:val="lowerLetter"/>
      <w:lvlText w:val="%8)"/>
      <w:lvlJc w:val="left"/>
      <w:pPr>
        <w:ind w:left="1020" w:hanging="360"/>
      </w:pPr>
    </w:lvl>
    <w:lvl w:ilvl="8" w:tplc="DBFE1D76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1C564E7C"/>
    <w:multiLevelType w:val="hybridMultilevel"/>
    <w:tmpl w:val="79E02020"/>
    <w:lvl w:ilvl="0" w:tplc="B4BE7BD2">
      <w:start w:val="1"/>
      <w:numFmt w:val="decimal"/>
      <w:lvlText w:val="%1."/>
      <w:lvlJc w:val="left"/>
      <w:pPr>
        <w:ind w:left="720" w:hanging="360"/>
      </w:pPr>
    </w:lvl>
    <w:lvl w:ilvl="1" w:tplc="AEB6E978">
      <w:start w:val="1"/>
      <w:numFmt w:val="decimal"/>
      <w:lvlText w:val="%2."/>
      <w:lvlJc w:val="left"/>
      <w:pPr>
        <w:ind w:left="720" w:hanging="360"/>
      </w:pPr>
    </w:lvl>
    <w:lvl w:ilvl="2" w:tplc="2BD4AA22">
      <w:start w:val="1"/>
      <w:numFmt w:val="decimal"/>
      <w:lvlText w:val="%3."/>
      <w:lvlJc w:val="left"/>
      <w:pPr>
        <w:ind w:left="720" w:hanging="360"/>
      </w:pPr>
    </w:lvl>
    <w:lvl w:ilvl="3" w:tplc="80304BF2">
      <w:start w:val="1"/>
      <w:numFmt w:val="decimal"/>
      <w:lvlText w:val="%4."/>
      <w:lvlJc w:val="left"/>
      <w:pPr>
        <w:ind w:left="720" w:hanging="360"/>
      </w:pPr>
    </w:lvl>
    <w:lvl w:ilvl="4" w:tplc="1C4CD044">
      <w:start w:val="1"/>
      <w:numFmt w:val="decimal"/>
      <w:lvlText w:val="%5."/>
      <w:lvlJc w:val="left"/>
      <w:pPr>
        <w:ind w:left="720" w:hanging="360"/>
      </w:pPr>
    </w:lvl>
    <w:lvl w:ilvl="5" w:tplc="5AAE253C">
      <w:start w:val="1"/>
      <w:numFmt w:val="decimal"/>
      <w:lvlText w:val="%6."/>
      <w:lvlJc w:val="left"/>
      <w:pPr>
        <w:ind w:left="720" w:hanging="360"/>
      </w:pPr>
    </w:lvl>
    <w:lvl w:ilvl="6" w:tplc="B1FCB052">
      <w:start w:val="1"/>
      <w:numFmt w:val="decimal"/>
      <w:lvlText w:val="%7."/>
      <w:lvlJc w:val="left"/>
      <w:pPr>
        <w:ind w:left="720" w:hanging="360"/>
      </w:pPr>
    </w:lvl>
    <w:lvl w:ilvl="7" w:tplc="E8360FF6">
      <w:start w:val="1"/>
      <w:numFmt w:val="decimal"/>
      <w:lvlText w:val="%8."/>
      <w:lvlJc w:val="left"/>
      <w:pPr>
        <w:ind w:left="720" w:hanging="360"/>
      </w:pPr>
    </w:lvl>
    <w:lvl w:ilvl="8" w:tplc="CE1E05F2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21D46A8C"/>
    <w:multiLevelType w:val="hybridMultilevel"/>
    <w:tmpl w:val="84AAD8C6"/>
    <w:lvl w:ilvl="0" w:tplc="A22AC0E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E7148"/>
    <w:multiLevelType w:val="multilevel"/>
    <w:tmpl w:val="46325EBA"/>
    <w:lvl w:ilvl="0">
      <w:start w:val="35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380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8874762"/>
    <w:multiLevelType w:val="hybridMultilevel"/>
    <w:tmpl w:val="932EEFB2"/>
    <w:lvl w:ilvl="0" w:tplc="1076D75E">
      <w:start w:val="1"/>
      <w:numFmt w:val="lowerRoman"/>
      <w:lvlText w:val="%1)"/>
      <w:lvlJc w:val="right"/>
      <w:pPr>
        <w:ind w:left="720" w:hanging="360"/>
      </w:pPr>
    </w:lvl>
    <w:lvl w:ilvl="1" w:tplc="D17E5E48">
      <w:start w:val="1"/>
      <w:numFmt w:val="lowerRoman"/>
      <w:lvlText w:val="%2)"/>
      <w:lvlJc w:val="right"/>
      <w:pPr>
        <w:ind w:left="720" w:hanging="360"/>
      </w:pPr>
    </w:lvl>
    <w:lvl w:ilvl="2" w:tplc="6C98721A">
      <w:start w:val="1"/>
      <w:numFmt w:val="lowerRoman"/>
      <w:lvlText w:val="%3)"/>
      <w:lvlJc w:val="right"/>
      <w:pPr>
        <w:ind w:left="720" w:hanging="360"/>
      </w:pPr>
    </w:lvl>
    <w:lvl w:ilvl="3" w:tplc="C4CEB4C8">
      <w:start w:val="1"/>
      <w:numFmt w:val="lowerRoman"/>
      <w:lvlText w:val="%4)"/>
      <w:lvlJc w:val="right"/>
      <w:pPr>
        <w:ind w:left="720" w:hanging="360"/>
      </w:pPr>
    </w:lvl>
    <w:lvl w:ilvl="4" w:tplc="ED1AA31A">
      <w:start w:val="1"/>
      <w:numFmt w:val="lowerRoman"/>
      <w:lvlText w:val="%5)"/>
      <w:lvlJc w:val="right"/>
      <w:pPr>
        <w:ind w:left="720" w:hanging="360"/>
      </w:pPr>
    </w:lvl>
    <w:lvl w:ilvl="5" w:tplc="93104448">
      <w:start w:val="1"/>
      <w:numFmt w:val="lowerRoman"/>
      <w:lvlText w:val="%6)"/>
      <w:lvlJc w:val="right"/>
      <w:pPr>
        <w:ind w:left="720" w:hanging="360"/>
      </w:pPr>
    </w:lvl>
    <w:lvl w:ilvl="6" w:tplc="E40C4A4C">
      <w:start w:val="1"/>
      <w:numFmt w:val="lowerRoman"/>
      <w:lvlText w:val="%7)"/>
      <w:lvlJc w:val="right"/>
      <w:pPr>
        <w:ind w:left="720" w:hanging="360"/>
      </w:pPr>
    </w:lvl>
    <w:lvl w:ilvl="7" w:tplc="A9409C52">
      <w:start w:val="1"/>
      <w:numFmt w:val="lowerRoman"/>
      <w:lvlText w:val="%8)"/>
      <w:lvlJc w:val="right"/>
      <w:pPr>
        <w:ind w:left="720" w:hanging="360"/>
      </w:pPr>
    </w:lvl>
    <w:lvl w:ilvl="8" w:tplc="97762CB6">
      <w:start w:val="1"/>
      <w:numFmt w:val="lowerRoman"/>
      <w:lvlText w:val="%9)"/>
      <w:lvlJc w:val="right"/>
      <w:pPr>
        <w:ind w:left="720" w:hanging="360"/>
      </w:pPr>
    </w:lvl>
  </w:abstractNum>
  <w:abstractNum w:abstractNumId="5" w15:restartNumberingAfterBreak="0">
    <w:nsid w:val="44842FD1"/>
    <w:multiLevelType w:val="hybridMultilevel"/>
    <w:tmpl w:val="4C48F272"/>
    <w:lvl w:ilvl="0" w:tplc="87F67128">
      <w:start w:val="1"/>
      <w:numFmt w:val="decimal"/>
      <w:lvlText w:val="%1."/>
      <w:lvlJc w:val="left"/>
      <w:pPr>
        <w:ind w:left="1020" w:hanging="360"/>
      </w:pPr>
    </w:lvl>
    <w:lvl w:ilvl="1" w:tplc="6422E7AA">
      <w:start w:val="1"/>
      <w:numFmt w:val="decimal"/>
      <w:lvlText w:val="%2."/>
      <w:lvlJc w:val="left"/>
      <w:pPr>
        <w:ind w:left="1020" w:hanging="360"/>
      </w:pPr>
    </w:lvl>
    <w:lvl w:ilvl="2" w:tplc="1C2AEF72">
      <w:start w:val="1"/>
      <w:numFmt w:val="decimal"/>
      <w:lvlText w:val="%3."/>
      <w:lvlJc w:val="left"/>
      <w:pPr>
        <w:ind w:left="1020" w:hanging="360"/>
      </w:pPr>
    </w:lvl>
    <w:lvl w:ilvl="3" w:tplc="95A0B046">
      <w:start w:val="1"/>
      <w:numFmt w:val="decimal"/>
      <w:lvlText w:val="%4."/>
      <w:lvlJc w:val="left"/>
      <w:pPr>
        <w:ind w:left="1020" w:hanging="360"/>
      </w:pPr>
    </w:lvl>
    <w:lvl w:ilvl="4" w:tplc="F60CC400">
      <w:start w:val="1"/>
      <w:numFmt w:val="decimal"/>
      <w:lvlText w:val="%5."/>
      <w:lvlJc w:val="left"/>
      <w:pPr>
        <w:ind w:left="1020" w:hanging="360"/>
      </w:pPr>
    </w:lvl>
    <w:lvl w:ilvl="5" w:tplc="B99418E6">
      <w:start w:val="1"/>
      <w:numFmt w:val="decimal"/>
      <w:lvlText w:val="%6."/>
      <w:lvlJc w:val="left"/>
      <w:pPr>
        <w:ind w:left="1020" w:hanging="360"/>
      </w:pPr>
    </w:lvl>
    <w:lvl w:ilvl="6" w:tplc="86D2B31E">
      <w:start w:val="1"/>
      <w:numFmt w:val="decimal"/>
      <w:lvlText w:val="%7."/>
      <w:lvlJc w:val="left"/>
      <w:pPr>
        <w:ind w:left="1020" w:hanging="360"/>
      </w:pPr>
    </w:lvl>
    <w:lvl w:ilvl="7" w:tplc="FA44B0B6">
      <w:start w:val="1"/>
      <w:numFmt w:val="decimal"/>
      <w:lvlText w:val="%8."/>
      <w:lvlJc w:val="left"/>
      <w:pPr>
        <w:ind w:left="1020" w:hanging="360"/>
      </w:pPr>
    </w:lvl>
    <w:lvl w:ilvl="8" w:tplc="DDF6EA9E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93D615C"/>
    <w:multiLevelType w:val="hybridMultilevel"/>
    <w:tmpl w:val="C1D6CECE"/>
    <w:lvl w:ilvl="0" w:tplc="49EE8FDE">
      <w:start w:val="1"/>
      <w:numFmt w:val="lowerRoman"/>
      <w:lvlText w:val="%1)"/>
      <w:lvlJc w:val="right"/>
      <w:pPr>
        <w:ind w:left="720" w:hanging="360"/>
      </w:pPr>
    </w:lvl>
    <w:lvl w:ilvl="1" w:tplc="A05089B0">
      <w:start w:val="1"/>
      <w:numFmt w:val="lowerRoman"/>
      <w:lvlText w:val="%2)"/>
      <w:lvlJc w:val="right"/>
      <w:pPr>
        <w:ind w:left="720" w:hanging="360"/>
      </w:pPr>
    </w:lvl>
    <w:lvl w:ilvl="2" w:tplc="9DC03602">
      <w:start w:val="1"/>
      <w:numFmt w:val="lowerRoman"/>
      <w:lvlText w:val="%3)"/>
      <w:lvlJc w:val="right"/>
      <w:pPr>
        <w:ind w:left="720" w:hanging="360"/>
      </w:pPr>
    </w:lvl>
    <w:lvl w:ilvl="3" w:tplc="75D4B4BE">
      <w:start w:val="1"/>
      <w:numFmt w:val="lowerRoman"/>
      <w:lvlText w:val="%4)"/>
      <w:lvlJc w:val="right"/>
      <w:pPr>
        <w:ind w:left="720" w:hanging="360"/>
      </w:pPr>
    </w:lvl>
    <w:lvl w:ilvl="4" w:tplc="6A305430">
      <w:start w:val="1"/>
      <w:numFmt w:val="lowerRoman"/>
      <w:lvlText w:val="%5)"/>
      <w:lvlJc w:val="right"/>
      <w:pPr>
        <w:ind w:left="720" w:hanging="360"/>
      </w:pPr>
    </w:lvl>
    <w:lvl w:ilvl="5" w:tplc="3FB0AB80">
      <w:start w:val="1"/>
      <w:numFmt w:val="lowerRoman"/>
      <w:lvlText w:val="%6)"/>
      <w:lvlJc w:val="right"/>
      <w:pPr>
        <w:ind w:left="720" w:hanging="360"/>
      </w:pPr>
    </w:lvl>
    <w:lvl w:ilvl="6" w:tplc="C930C070">
      <w:start w:val="1"/>
      <w:numFmt w:val="lowerRoman"/>
      <w:lvlText w:val="%7)"/>
      <w:lvlJc w:val="right"/>
      <w:pPr>
        <w:ind w:left="720" w:hanging="360"/>
      </w:pPr>
    </w:lvl>
    <w:lvl w:ilvl="7" w:tplc="17CC2E7A">
      <w:start w:val="1"/>
      <w:numFmt w:val="lowerRoman"/>
      <w:lvlText w:val="%8)"/>
      <w:lvlJc w:val="right"/>
      <w:pPr>
        <w:ind w:left="720" w:hanging="360"/>
      </w:pPr>
    </w:lvl>
    <w:lvl w:ilvl="8" w:tplc="6BA2BABC">
      <w:start w:val="1"/>
      <w:numFmt w:val="lowerRoman"/>
      <w:lvlText w:val="%9)"/>
      <w:lvlJc w:val="right"/>
      <w:pPr>
        <w:ind w:left="720" w:hanging="360"/>
      </w:pPr>
    </w:lvl>
  </w:abstractNum>
  <w:abstractNum w:abstractNumId="8" w15:restartNumberingAfterBreak="0">
    <w:nsid w:val="4E22222D"/>
    <w:multiLevelType w:val="hybridMultilevel"/>
    <w:tmpl w:val="BDAE4A3A"/>
    <w:lvl w:ilvl="0" w:tplc="267A6A3C">
      <w:start w:val="1"/>
      <w:numFmt w:val="lowerRoman"/>
      <w:lvlText w:val="%1)"/>
      <w:lvlJc w:val="right"/>
      <w:pPr>
        <w:ind w:left="1020" w:hanging="360"/>
      </w:pPr>
    </w:lvl>
    <w:lvl w:ilvl="1" w:tplc="DCA42FE6">
      <w:start w:val="1"/>
      <w:numFmt w:val="lowerRoman"/>
      <w:lvlText w:val="%2)"/>
      <w:lvlJc w:val="right"/>
      <w:pPr>
        <w:ind w:left="1020" w:hanging="360"/>
      </w:pPr>
    </w:lvl>
    <w:lvl w:ilvl="2" w:tplc="E92251F4">
      <w:start w:val="1"/>
      <w:numFmt w:val="lowerRoman"/>
      <w:lvlText w:val="%3)"/>
      <w:lvlJc w:val="right"/>
      <w:pPr>
        <w:ind w:left="1020" w:hanging="360"/>
      </w:pPr>
    </w:lvl>
    <w:lvl w:ilvl="3" w:tplc="622CB8FC">
      <w:start w:val="1"/>
      <w:numFmt w:val="lowerRoman"/>
      <w:lvlText w:val="%4)"/>
      <w:lvlJc w:val="right"/>
      <w:pPr>
        <w:ind w:left="1020" w:hanging="360"/>
      </w:pPr>
    </w:lvl>
    <w:lvl w:ilvl="4" w:tplc="2DEC11B4">
      <w:start w:val="1"/>
      <w:numFmt w:val="lowerRoman"/>
      <w:lvlText w:val="%5)"/>
      <w:lvlJc w:val="right"/>
      <w:pPr>
        <w:ind w:left="1020" w:hanging="360"/>
      </w:pPr>
    </w:lvl>
    <w:lvl w:ilvl="5" w:tplc="9A1457BC">
      <w:start w:val="1"/>
      <w:numFmt w:val="lowerRoman"/>
      <w:lvlText w:val="%6)"/>
      <w:lvlJc w:val="right"/>
      <w:pPr>
        <w:ind w:left="1020" w:hanging="360"/>
      </w:pPr>
    </w:lvl>
    <w:lvl w:ilvl="6" w:tplc="4A667D70">
      <w:start w:val="1"/>
      <w:numFmt w:val="lowerRoman"/>
      <w:lvlText w:val="%7)"/>
      <w:lvlJc w:val="right"/>
      <w:pPr>
        <w:ind w:left="1020" w:hanging="360"/>
      </w:pPr>
    </w:lvl>
    <w:lvl w:ilvl="7" w:tplc="A672E454">
      <w:start w:val="1"/>
      <w:numFmt w:val="lowerRoman"/>
      <w:lvlText w:val="%8)"/>
      <w:lvlJc w:val="right"/>
      <w:pPr>
        <w:ind w:left="1020" w:hanging="360"/>
      </w:pPr>
    </w:lvl>
    <w:lvl w:ilvl="8" w:tplc="0FA804D6">
      <w:start w:val="1"/>
      <w:numFmt w:val="lowerRoman"/>
      <w:lvlText w:val="%9)"/>
      <w:lvlJc w:val="right"/>
      <w:pPr>
        <w:ind w:left="1020" w:hanging="360"/>
      </w:pPr>
    </w:lvl>
  </w:abstractNum>
  <w:abstractNum w:abstractNumId="9" w15:restartNumberingAfterBreak="0">
    <w:nsid w:val="4F732E60"/>
    <w:multiLevelType w:val="hybridMultilevel"/>
    <w:tmpl w:val="9ED024D0"/>
    <w:lvl w:ilvl="0" w:tplc="C38E937A">
      <w:start w:val="1"/>
      <w:numFmt w:val="lowerRoman"/>
      <w:lvlText w:val="%1)"/>
      <w:lvlJc w:val="right"/>
      <w:pPr>
        <w:ind w:left="720" w:hanging="360"/>
      </w:pPr>
    </w:lvl>
    <w:lvl w:ilvl="1" w:tplc="1772C634">
      <w:start w:val="1"/>
      <w:numFmt w:val="lowerRoman"/>
      <w:lvlText w:val="%2)"/>
      <w:lvlJc w:val="right"/>
      <w:pPr>
        <w:ind w:left="720" w:hanging="360"/>
      </w:pPr>
    </w:lvl>
    <w:lvl w:ilvl="2" w:tplc="737A6B70">
      <w:start w:val="1"/>
      <w:numFmt w:val="lowerRoman"/>
      <w:lvlText w:val="%3)"/>
      <w:lvlJc w:val="right"/>
      <w:pPr>
        <w:ind w:left="720" w:hanging="360"/>
      </w:pPr>
    </w:lvl>
    <w:lvl w:ilvl="3" w:tplc="00A04DD6">
      <w:start w:val="1"/>
      <w:numFmt w:val="lowerRoman"/>
      <w:lvlText w:val="%4)"/>
      <w:lvlJc w:val="right"/>
      <w:pPr>
        <w:ind w:left="720" w:hanging="360"/>
      </w:pPr>
    </w:lvl>
    <w:lvl w:ilvl="4" w:tplc="6F883A50">
      <w:start w:val="1"/>
      <w:numFmt w:val="lowerRoman"/>
      <w:lvlText w:val="%5)"/>
      <w:lvlJc w:val="right"/>
      <w:pPr>
        <w:ind w:left="720" w:hanging="360"/>
      </w:pPr>
    </w:lvl>
    <w:lvl w:ilvl="5" w:tplc="8E1AE5B4">
      <w:start w:val="1"/>
      <w:numFmt w:val="lowerRoman"/>
      <w:lvlText w:val="%6)"/>
      <w:lvlJc w:val="right"/>
      <w:pPr>
        <w:ind w:left="720" w:hanging="360"/>
      </w:pPr>
    </w:lvl>
    <w:lvl w:ilvl="6" w:tplc="A73E6732">
      <w:start w:val="1"/>
      <w:numFmt w:val="lowerRoman"/>
      <w:lvlText w:val="%7)"/>
      <w:lvlJc w:val="right"/>
      <w:pPr>
        <w:ind w:left="720" w:hanging="360"/>
      </w:pPr>
    </w:lvl>
    <w:lvl w:ilvl="7" w:tplc="5B786A72">
      <w:start w:val="1"/>
      <w:numFmt w:val="lowerRoman"/>
      <w:lvlText w:val="%8)"/>
      <w:lvlJc w:val="right"/>
      <w:pPr>
        <w:ind w:left="720" w:hanging="360"/>
      </w:pPr>
    </w:lvl>
    <w:lvl w:ilvl="8" w:tplc="09427616">
      <w:start w:val="1"/>
      <w:numFmt w:val="lowerRoman"/>
      <w:lvlText w:val="%9)"/>
      <w:lvlJc w:val="right"/>
      <w:pPr>
        <w:ind w:left="720" w:hanging="360"/>
      </w:pPr>
    </w:lvl>
  </w:abstractNum>
  <w:abstractNum w:abstractNumId="10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2126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52B1E59"/>
    <w:multiLevelType w:val="hybridMultilevel"/>
    <w:tmpl w:val="C8388874"/>
    <w:lvl w:ilvl="0" w:tplc="4300C41A">
      <w:start w:val="1"/>
      <w:numFmt w:val="lowerRoman"/>
      <w:lvlText w:val="%1)"/>
      <w:lvlJc w:val="right"/>
      <w:pPr>
        <w:ind w:left="1020" w:hanging="360"/>
      </w:pPr>
    </w:lvl>
    <w:lvl w:ilvl="1" w:tplc="CBDE77D2">
      <w:start w:val="1"/>
      <w:numFmt w:val="lowerRoman"/>
      <w:lvlText w:val="%2)"/>
      <w:lvlJc w:val="right"/>
      <w:pPr>
        <w:ind w:left="1020" w:hanging="360"/>
      </w:pPr>
    </w:lvl>
    <w:lvl w:ilvl="2" w:tplc="3C18BED8">
      <w:start w:val="1"/>
      <w:numFmt w:val="lowerRoman"/>
      <w:lvlText w:val="%3)"/>
      <w:lvlJc w:val="right"/>
      <w:pPr>
        <w:ind w:left="1020" w:hanging="360"/>
      </w:pPr>
    </w:lvl>
    <w:lvl w:ilvl="3" w:tplc="D7404322">
      <w:start w:val="1"/>
      <w:numFmt w:val="lowerRoman"/>
      <w:lvlText w:val="%4)"/>
      <w:lvlJc w:val="right"/>
      <w:pPr>
        <w:ind w:left="1020" w:hanging="360"/>
      </w:pPr>
    </w:lvl>
    <w:lvl w:ilvl="4" w:tplc="E9BA1B76">
      <w:start w:val="1"/>
      <w:numFmt w:val="lowerRoman"/>
      <w:lvlText w:val="%5)"/>
      <w:lvlJc w:val="right"/>
      <w:pPr>
        <w:ind w:left="1020" w:hanging="360"/>
      </w:pPr>
    </w:lvl>
    <w:lvl w:ilvl="5" w:tplc="EA9E5118">
      <w:start w:val="1"/>
      <w:numFmt w:val="lowerRoman"/>
      <w:lvlText w:val="%6)"/>
      <w:lvlJc w:val="right"/>
      <w:pPr>
        <w:ind w:left="1020" w:hanging="360"/>
      </w:pPr>
    </w:lvl>
    <w:lvl w:ilvl="6" w:tplc="5712BAB6">
      <w:start w:val="1"/>
      <w:numFmt w:val="lowerRoman"/>
      <w:lvlText w:val="%7)"/>
      <w:lvlJc w:val="right"/>
      <w:pPr>
        <w:ind w:left="1020" w:hanging="360"/>
      </w:pPr>
    </w:lvl>
    <w:lvl w:ilvl="7" w:tplc="62C805B6">
      <w:start w:val="1"/>
      <w:numFmt w:val="lowerRoman"/>
      <w:lvlText w:val="%8)"/>
      <w:lvlJc w:val="right"/>
      <w:pPr>
        <w:ind w:left="1020" w:hanging="360"/>
      </w:pPr>
    </w:lvl>
    <w:lvl w:ilvl="8" w:tplc="8BFE2DBA">
      <w:start w:val="1"/>
      <w:numFmt w:val="lowerRoman"/>
      <w:lvlText w:val="%9)"/>
      <w:lvlJc w:val="right"/>
      <w:pPr>
        <w:ind w:left="1020" w:hanging="360"/>
      </w:pPr>
    </w:lvl>
  </w:abstractNum>
  <w:abstractNum w:abstractNumId="12" w15:restartNumberingAfterBreak="0">
    <w:nsid w:val="552E19C7"/>
    <w:multiLevelType w:val="hybridMultilevel"/>
    <w:tmpl w:val="3F7A8114"/>
    <w:lvl w:ilvl="0" w:tplc="6B6CADEE">
      <w:start w:val="1"/>
      <w:numFmt w:val="lowerRoman"/>
      <w:lvlText w:val="%1)"/>
      <w:lvlJc w:val="right"/>
      <w:pPr>
        <w:ind w:left="1020" w:hanging="360"/>
      </w:pPr>
    </w:lvl>
    <w:lvl w:ilvl="1" w:tplc="F2786AB6">
      <w:start w:val="1"/>
      <w:numFmt w:val="lowerRoman"/>
      <w:lvlText w:val="%2)"/>
      <w:lvlJc w:val="right"/>
      <w:pPr>
        <w:ind w:left="1020" w:hanging="360"/>
      </w:pPr>
    </w:lvl>
    <w:lvl w:ilvl="2" w:tplc="29367A02">
      <w:start w:val="1"/>
      <w:numFmt w:val="lowerRoman"/>
      <w:lvlText w:val="%3)"/>
      <w:lvlJc w:val="right"/>
      <w:pPr>
        <w:ind w:left="1020" w:hanging="360"/>
      </w:pPr>
    </w:lvl>
    <w:lvl w:ilvl="3" w:tplc="3CEC94AE">
      <w:start w:val="1"/>
      <w:numFmt w:val="lowerRoman"/>
      <w:lvlText w:val="%4)"/>
      <w:lvlJc w:val="right"/>
      <w:pPr>
        <w:ind w:left="1020" w:hanging="360"/>
      </w:pPr>
    </w:lvl>
    <w:lvl w:ilvl="4" w:tplc="815655E4">
      <w:start w:val="1"/>
      <w:numFmt w:val="lowerRoman"/>
      <w:lvlText w:val="%5)"/>
      <w:lvlJc w:val="right"/>
      <w:pPr>
        <w:ind w:left="1020" w:hanging="360"/>
      </w:pPr>
    </w:lvl>
    <w:lvl w:ilvl="5" w:tplc="782A6D5E">
      <w:start w:val="1"/>
      <w:numFmt w:val="lowerRoman"/>
      <w:lvlText w:val="%6)"/>
      <w:lvlJc w:val="right"/>
      <w:pPr>
        <w:ind w:left="1020" w:hanging="360"/>
      </w:pPr>
    </w:lvl>
    <w:lvl w:ilvl="6" w:tplc="1452DB00">
      <w:start w:val="1"/>
      <w:numFmt w:val="lowerRoman"/>
      <w:lvlText w:val="%7)"/>
      <w:lvlJc w:val="right"/>
      <w:pPr>
        <w:ind w:left="1020" w:hanging="360"/>
      </w:pPr>
    </w:lvl>
    <w:lvl w:ilvl="7" w:tplc="35F68A8A">
      <w:start w:val="1"/>
      <w:numFmt w:val="lowerRoman"/>
      <w:lvlText w:val="%8)"/>
      <w:lvlJc w:val="right"/>
      <w:pPr>
        <w:ind w:left="1020" w:hanging="360"/>
      </w:pPr>
    </w:lvl>
    <w:lvl w:ilvl="8" w:tplc="4CB08B5C">
      <w:start w:val="1"/>
      <w:numFmt w:val="lowerRoman"/>
      <w:lvlText w:val="%9)"/>
      <w:lvlJc w:val="right"/>
      <w:pPr>
        <w:ind w:left="1020" w:hanging="360"/>
      </w:pPr>
    </w:lvl>
  </w:abstractNum>
  <w:abstractNum w:abstractNumId="13" w15:restartNumberingAfterBreak="0">
    <w:nsid w:val="65692FBB"/>
    <w:multiLevelType w:val="hybridMultilevel"/>
    <w:tmpl w:val="D7DA4AA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E4B78"/>
    <w:multiLevelType w:val="hybridMultilevel"/>
    <w:tmpl w:val="0B8C7E80"/>
    <w:lvl w:ilvl="0" w:tplc="92C29C84">
      <w:start w:val="1"/>
      <w:numFmt w:val="lowerRoman"/>
      <w:lvlText w:val="%1)"/>
      <w:lvlJc w:val="right"/>
      <w:pPr>
        <w:ind w:left="1020" w:hanging="360"/>
      </w:pPr>
    </w:lvl>
    <w:lvl w:ilvl="1" w:tplc="086A2A74">
      <w:start w:val="1"/>
      <w:numFmt w:val="lowerRoman"/>
      <w:lvlText w:val="%2)"/>
      <w:lvlJc w:val="right"/>
      <w:pPr>
        <w:ind w:left="1020" w:hanging="360"/>
      </w:pPr>
    </w:lvl>
    <w:lvl w:ilvl="2" w:tplc="2EA278A6">
      <w:start w:val="1"/>
      <w:numFmt w:val="lowerRoman"/>
      <w:lvlText w:val="%3)"/>
      <w:lvlJc w:val="right"/>
      <w:pPr>
        <w:ind w:left="1020" w:hanging="360"/>
      </w:pPr>
    </w:lvl>
    <w:lvl w:ilvl="3" w:tplc="DBF02492">
      <w:start w:val="1"/>
      <w:numFmt w:val="lowerRoman"/>
      <w:lvlText w:val="%4)"/>
      <w:lvlJc w:val="right"/>
      <w:pPr>
        <w:ind w:left="1020" w:hanging="360"/>
      </w:pPr>
    </w:lvl>
    <w:lvl w:ilvl="4" w:tplc="5E404050">
      <w:start w:val="1"/>
      <w:numFmt w:val="lowerRoman"/>
      <w:lvlText w:val="%5)"/>
      <w:lvlJc w:val="right"/>
      <w:pPr>
        <w:ind w:left="1020" w:hanging="360"/>
      </w:pPr>
    </w:lvl>
    <w:lvl w:ilvl="5" w:tplc="93661E60">
      <w:start w:val="1"/>
      <w:numFmt w:val="lowerRoman"/>
      <w:lvlText w:val="%6)"/>
      <w:lvlJc w:val="right"/>
      <w:pPr>
        <w:ind w:left="1020" w:hanging="360"/>
      </w:pPr>
    </w:lvl>
    <w:lvl w:ilvl="6" w:tplc="B02E86FC">
      <w:start w:val="1"/>
      <w:numFmt w:val="lowerRoman"/>
      <w:lvlText w:val="%7)"/>
      <w:lvlJc w:val="right"/>
      <w:pPr>
        <w:ind w:left="1020" w:hanging="360"/>
      </w:pPr>
    </w:lvl>
    <w:lvl w:ilvl="7" w:tplc="F470F2A2">
      <w:start w:val="1"/>
      <w:numFmt w:val="lowerRoman"/>
      <w:lvlText w:val="%8)"/>
      <w:lvlJc w:val="right"/>
      <w:pPr>
        <w:ind w:left="1020" w:hanging="360"/>
      </w:pPr>
    </w:lvl>
    <w:lvl w:ilvl="8" w:tplc="C7827A6A">
      <w:start w:val="1"/>
      <w:numFmt w:val="lowerRoman"/>
      <w:lvlText w:val="%9)"/>
      <w:lvlJc w:val="right"/>
      <w:pPr>
        <w:ind w:left="1020" w:hanging="360"/>
      </w:pPr>
    </w:lvl>
  </w:abstractNum>
  <w:abstractNum w:abstractNumId="15" w15:restartNumberingAfterBreak="0">
    <w:nsid w:val="72266D58"/>
    <w:multiLevelType w:val="hybridMultilevel"/>
    <w:tmpl w:val="187CB49C"/>
    <w:lvl w:ilvl="0" w:tplc="550AE7BC">
      <w:start w:val="1"/>
      <w:numFmt w:val="lowerRoman"/>
      <w:lvlText w:val="%1)"/>
      <w:lvlJc w:val="right"/>
      <w:pPr>
        <w:ind w:left="1020" w:hanging="360"/>
      </w:pPr>
    </w:lvl>
    <w:lvl w:ilvl="1" w:tplc="9B522E0E">
      <w:start w:val="1"/>
      <w:numFmt w:val="lowerRoman"/>
      <w:lvlText w:val="%2)"/>
      <w:lvlJc w:val="right"/>
      <w:pPr>
        <w:ind w:left="1020" w:hanging="360"/>
      </w:pPr>
    </w:lvl>
    <w:lvl w:ilvl="2" w:tplc="2D1CDD54">
      <w:start w:val="1"/>
      <w:numFmt w:val="lowerRoman"/>
      <w:lvlText w:val="%3)"/>
      <w:lvlJc w:val="right"/>
      <w:pPr>
        <w:ind w:left="1020" w:hanging="360"/>
      </w:pPr>
    </w:lvl>
    <w:lvl w:ilvl="3" w:tplc="9D72B506">
      <w:start w:val="1"/>
      <w:numFmt w:val="lowerRoman"/>
      <w:lvlText w:val="%4)"/>
      <w:lvlJc w:val="right"/>
      <w:pPr>
        <w:ind w:left="1020" w:hanging="360"/>
      </w:pPr>
    </w:lvl>
    <w:lvl w:ilvl="4" w:tplc="5CCC82C6">
      <w:start w:val="1"/>
      <w:numFmt w:val="lowerRoman"/>
      <w:lvlText w:val="%5)"/>
      <w:lvlJc w:val="right"/>
      <w:pPr>
        <w:ind w:left="1020" w:hanging="360"/>
      </w:pPr>
    </w:lvl>
    <w:lvl w:ilvl="5" w:tplc="7DD601AE">
      <w:start w:val="1"/>
      <w:numFmt w:val="lowerRoman"/>
      <w:lvlText w:val="%6)"/>
      <w:lvlJc w:val="right"/>
      <w:pPr>
        <w:ind w:left="1020" w:hanging="360"/>
      </w:pPr>
    </w:lvl>
    <w:lvl w:ilvl="6" w:tplc="EDF682F6">
      <w:start w:val="1"/>
      <w:numFmt w:val="lowerRoman"/>
      <w:lvlText w:val="%7)"/>
      <w:lvlJc w:val="right"/>
      <w:pPr>
        <w:ind w:left="1020" w:hanging="360"/>
      </w:pPr>
    </w:lvl>
    <w:lvl w:ilvl="7" w:tplc="A8B0E02A">
      <w:start w:val="1"/>
      <w:numFmt w:val="lowerRoman"/>
      <w:lvlText w:val="%8)"/>
      <w:lvlJc w:val="right"/>
      <w:pPr>
        <w:ind w:left="1020" w:hanging="360"/>
      </w:pPr>
    </w:lvl>
    <w:lvl w:ilvl="8" w:tplc="4D10E0E8">
      <w:start w:val="1"/>
      <w:numFmt w:val="lowerRoman"/>
      <w:lvlText w:val="%9)"/>
      <w:lvlJc w:val="right"/>
      <w:pPr>
        <w:ind w:left="1020" w:hanging="360"/>
      </w:pPr>
    </w:lvl>
  </w:abstractNum>
  <w:num w:numId="1" w16cid:durableId="452135360">
    <w:abstractNumId w:val="6"/>
  </w:num>
  <w:num w:numId="2" w16cid:durableId="765492621">
    <w:abstractNumId w:val="10"/>
  </w:num>
  <w:num w:numId="3" w16cid:durableId="656883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2"/>
  </w:num>
  <w:num w:numId="8" w16cid:durableId="947201933">
    <w:abstractNumId w:val="1"/>
  </w:num>
  <w:num w:numId="9" w16cid:durableId="517348648">
    <w:abstractNumId w:val="5"/>
  </w:num>
  <w:num w:numId="10" w16cid:durableId="828907657">
    <w:abstractNumId w:val="13"/>
  </w:num>
  <w:num w:numId="11" w16cid:durableId="1269968851">
    <w:abstractNumId w:val="3"/>
  </w:num>
  <w:num w:numId="12" w16cid:durableId="1666933564">
    <w:abstractNumId w:val="14"/>
  </w:num>
  <w:num w:numId="13" w16cid:durableId="2052610503">
    <w:abstractNumId w:val="8"/>
  </w:num>
  <w:num w:numId="14" w16cid:durableId="1454594969">
    <w:abstractNumId w:val="15"/>
  </w:num>
  <w:num w:numId="15" w16cid:durableId="1181314228">
    <w:abstractNumId w:val="11"/>
  </w:num>
  <w:num w:numId="16" w16cid:durableId="1674452363">
    <w:abstractNumId w:val="12"/>
  </w:num>
  <w:num w:numId="17" w16cid:durableId="1450592283">
    <w:abstractNumId w:val="4"/>
  </w:num>
  <w:num w:numId="18" w16cid:durableId="1310667084">
    <w:abstractNumId w:val="9"/>
  </w:num>
  <w:num w:numId="19" w16cid:durableId="704989789">
    <w:abstractNumId w:val="7"/>
  </w:num>
  <w:num w:numId="20" w16cid:durableId="1267805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5A"/>
    <w:rsid w:val="00001229"/>
    <w:rsid w:val="00003926"/>
    <w:rsid w:val="00012BB7"/>
    <w:rsid w:val="00017C12"/>
    <w:rsid w:val="000223D1"/>
    <w:rsid w:val="000239BA"/>
    <w:rsid w:val="00027057"/>
    <w:rsid w:val="00032F04"/>
    <w:rsid w:val="000409F1"/>
    <w:rsid w:val="00044CC8"/>
    <w:rsid w:val="00047EC7"/>
    <w:rsid w:val="00050AB9"/>
    <w:rsid w:val="00057385"/>
    <w:rsid w:val="00060D2F"/>
    <w:rsid w:val="000614F3"/>
    <w:rsid w:val="00061A02"/>
    <w:rsid w:val="00067BF7"/>
    <w:rsid w:val="000710C5"/>
    <w:rsid w:val="000713FC"/>
    <w:rsid w:val="00081D7E"/>
    <w:rsid w:val="00083753"/>
    <w:rsid w:val="00086F10"/>
    <w:rsid w:val="00087FA2"/>
    <w:rsid w:val="000937E5"/>
    <w:rsid w:val="00094F4A"/>
    <w:rsid w:val="00095563"/>
    <w:rsid w:val="00096DE9"/>
    <w:rsid w:val="000973A6"/>
    <w:rsid w:val="000A086A"/>
    <w:rsid w:val="000A2611"/>
    <w:rsid w:val="000A4472"/>
    <w:rsid w:val="000B3134"/>
    <w:rsid w:val="000B3673"/>
    <w:rsid w:val="000B398C"/>
    <w:rsid w:val="000B41DB"/>
    <w:rsid w:val="000B4A2F"/>
    <w:rsid w:val="000B50AD"/>
    <w:rsid w:val="000D18A5"/>
    <w:rsid w:val="000D5637"/>
    <w:rsid w:val="000D6374"/>
    <w:rsid w:val="000E4379"/>
    <w:rsid w:val="000E6F0F"/>
    <w:rsid w:val="000F000D"/>
    <w:rsid w:val="001026BB"/>
    <w:rsid w:val="00102D67"/>
    <w:rsid w:val="00105A6D"/>
    <w:rsid w:val="00111D75"/>
    <w:rsid w:val="0011252B"/>
    <w:rsid w:val="00114EF5"/>
    <w:rsid w:val="001170E5"/>
    <w:rsid w:val="00123001"/>
    <w:rsid w:val="00125562"/>
    <w:rsid w:val="001306DB"/>
    <w:rsid w:val="001345F7"/>
    <w:rsid w:val="00136D21"/>
    <w:rsid w:val="00141FD0"/>
    <w:rsid w:val="00142533"/>
    <w:rsid w:val="00145D4F"/>
    <w:rsid w:val="0014617B"/>
    <w:rsid w:val="00151E1B"/>
    <w:rsid w:val="0015462E"/>
    <w:rsid w:val="001562FC"/>
    <w:rsid w:val="001614A8"/>
    <w:rsid w:val="00192FC9"/>
    <w:rsid w:val="0019595C"/>
    <w:rsid w:val="001A618A"/>
    <w:rsid w:val="001B1EEE"/>
    <w:rsid w:val="001C4CF6"/>
    <w:rsid w:val="001D538F"/>
    <w:rsid w:val="001E1B13"/>
    <w:rsid w:val="001E4A06"/>
    <w:rsid w:val="001E7AF5"/>
    <w:rsid w:val="001E7C3C"/>
    <w:rsid w:val="001F06A6"/>
    <w:rsid w:val="001F06F7"/>
    <w:rsid w:val="001F122D"/>
    <w:rsid w:val="001F4834"/>
    <w:rsid w:val="001F51BD"/>
    <w:rsid w:val="002016F8"/>
    <w:rsid w:val="00203A18"/>
    <w:rsid w:val="00205B25"/>
    <w:rsid w:val="002130D6"/>
    <w:rsid w:val="00215938"/>
    <w:rsid w:val="00216AAD"/>
    <w:rsid w:val="002220E9"/>
    <w:rsid w:val="00223C1B"/>
    <w:rsid w:val="00230AD5"/>
    <w:rsid w:val="0023463E"/>
    <w:rsid w:val="00235F12"/>
    <w:rsid w:val="0023775D"/>
    <w:rsid w:val="002456AC"/>
    <w:rsid w:val="002458C0"/>
    <w:rsid w:val="002528E9"/>
    <w:rsid w:val="002573A6"/>
    <w:rsid w:val="0026296C"/>
    <w:rsid w:val="00264397"/>
    <w:rsid w:val="00266408"/>
    <w:rsid w:val="0026765A"/>
    <w:rsid w:val="002728B2"/>
    <w:rsid w:val="002742BC"/>
    <w:rsid w:val="00276FCB"/>
    <w:rsid w:val="002860A0"/>
    <w:rsid w:val="0029286A"/>
    <w:rsid w:val="00294F01"/>
    <w:rsid w:val="00294FF0"/>
    <w:rsid w:val="00296A9C"/>
    <w:rsid w:val="002A2FEF"/>
    <w:rsid w:val="002A617A"/>
    <w:rsid w:val="002A698F"/>
    <w:rsid w:val="002A7411"/>
    <w:rsid w:val="002B0DD6"/>
    <w:rsid w:val="002B340F"/>
    <w:rsid w:val="002B45A0"/>
    <w:rsid w:val="002B5C35"/>
    <w:rsid w:val="002C08EB"/>
    <w:rsid w:val="002C6FD2"/>
    <w:rsid w:val="002D791F"/>
    <w:rsid w:val="002D7C78"/>
    <w:rsid w:val="002E3F3C"/>
    <w:rsid w:val="002F6068"/>
    <w:rsid w:val="00301089"/>
    <w:rsid w:val="00312A88"/>
    <w:rsid w:val="003163B5"/>
    <w:rsid w:val="003215E5"/>
    <w:rsid w:val="00330899"/>
    <w:rsid w:val="00333D26"/>
    <w:rsid w:val="00334BEC"/>
    <w:rsid w:val="00336ED1"/>
    <w:rsid w:val="00340D04"/>
    <w:rsid w:val="00344CBA"/>
    <w:rsid w:val="00346793"/>
    <w:rsid w:val="00354C8B"/>
    <w:rsid w:val="0035507A"/>
    <w:rsid w:val="00360C08"/>
    <w:rsid w:val="00360F15"/>
    <w:rsid w:val="00363019"/>
    <w:rsid w:val="00365CD6"/>
    <w:rsid w:val="00366379"/>
    <w:rsid w:val="00373960"/>
    <w:rsid w:val="00373AEA"/>
    <w:rsid w:val="00385699"/>
    <w:rsid w:val="00392662"/>
    <w:rsid w:val="00392B68"/>
    <w:rsid w:val="003B122C"/>
    <w:rsid w:val="003B2C4D"/>
    <w:rsid w:val="003C1EF2"/>
    <w:rsid w:val="003C236D"/>
    <w:rsid w:val="003C6189"/>
    <w:rsid w:val="003D5670"/>
    <w:rsid w:val="003D6375"/>
    <w:rsid w:val="003E088C"/>
    <w:rsid w:val="003E0FBE"/>
    <w:rsid w:val="003E3B26"/>
    <w:rsid w:val="003E46F5"/>
    <w:rsid w:val="003E47EE"/>
    <w:rsid w:val="003F07CD"/>
    <w:rsid w:val="003F2C3D"/>
    <w:rsid w:val="003F3E0A"/>
    <w:rsid w:val="00401CDF"/>
    <w:rsid w:val="00402B09"/>
    <w:rsid w:val="00403FF6"/>
    <w:rsid w:val="00405DF6"/>
    <w:rsid w:val="00410692"/>
    <w:rsid w:val="0041633E"/>
    <w:rsid w:val="00421676"/>
    <w:rsid w:val="004239C6"/>
    <w:rsid w:val="00423CC5"/>
    <w:rsid w:val="00425EC1"/>
    <w:rsid w:val="004270E8"/>
    <w:rsid w:val="0043332D"/>
    <w:rsid w:val="00440CAF"/>
    <w:rsid w:val="00441866"/>
    <w:rsid w:val="004419C9"/>
    <w:rsid w:val="00444DAD"/>
    <w:rsid w:val="00447994"/>
    <w:rsid w:val="004551DB"/>
    <w:rsid w:val="00462E70"/>
    <w:rsid w:val="00463257"/>
    <w:rsid w:val="00463E5D"/>
    <w:rsid w:val="004648FD"/>
    <w:rsid w:val="004673B2"/>
    <w:rsid w:val="00470B6A"/>
    <w:rsid w:val="00481608"/>
    <w:rsid w:val="004849E8"/>
    <w:rsid w:val="004900FD"/>
    <w:rsid w:val="0049232C"/>
    <w:rsid w:val="004931E9"/>
    <w:rsid w:val="004A63EE"/>
    <w:rsid w:val="004B092F"/>
    <w:rsid w:val="004B1785"/>
    <w:rsid w:val="004B3DE8"/>
    <w:rsid w:val="004B5964"/>
    <w:rsid w:val="004B7253"/>
    <w:rsid w:val="004D300A"/>
    <w:rsid w:val="004D3E2B"/>
    <w:rsid w:val="004E300A"/>
    <w:rsid w:val="004E3633"/>
    <w:rsid w:val="004F6D30"/>
    <w:rsid w:val="00501E91"/>
    <w:rsid w:val="00501F41"/>
    <w:rsid w:val="005022B9"/>
    <w:rsid w:val="005036E9"/>
    <w:rsid w:val="005049BB"/>
    <w:rsid w:val="00507FA5"/>
    <w:rsid w:val="00510DB4"/>
    <w:rsid w:val="00513934"/>
    <w:rsid w:val="0051668E"/>
    <w:rsid w:val="0051732B"/>
    <w:rsid w:val="00522232"/>
    <w:rsid w:val="005245E6"/>
    <w:rsid w:val="0052499A"/>
    <w:rsid w:val="00533765"/>
    <w:rsid w:val="00535B61"/>
    <w:rsid w:val="00553206"/>
    <w:rsid w:val="00556F77"/>
    <w:rsid w:val="005570A6"/>
    <w:rsid w:val="00565446"/>
    <w:rsid w:val="00567227"/>
    <w:rsid w:val="0056743D"/>
    <w:rsid w:val="005778F7"/>
    <w:rsid w:val="00582D80"/>
    <w:rsid w:val="00583FF2"/>
    <w:rsid w:val="0058408E"/>
    <w:rsid w:val="00584ED9"/>
    <w:rsid w:val="00586543"/>
    <w:rsid w:val="00587D38"/>
    <w:rsid w:val="005902D9"/>
    <w:rsid w:val="00593032"/>
    <w:rsid w:val="005A028F"/>
    <w:rsid w:val="005A22DF"/>
    <w:rsid w:val="005A44B7"/>
    <w:rsid w:val="005A6EFC"/>
    <w:rsid w:val="005A78C2"/>
    <w:rsid w:val="005B116D"/>
    <w:rsid w:val="005C43B0"/>
    <w:rsid w:val="005C4F9F"/>
    <w:rsid w:val="005D0F2D"/>
    <w:rsid w:val="005D1726"/>
    <w:rsid w:val="005D7283"/>
    <w:rsid w:val="005E0A10"/>
    <w:rsid w:val="005E1BF3"/>
    <w:rsid w:val="005E582F"/>
    <w:rsid w:val="005F0332"/>
    <w:rsid w:val="005F41CC"/>
    <w:rsid w:val="005F5735"/>
    <w:rsid w:val="005F5964"/>
    <w:rsid w:val="005F59B5"/>
    <w:rsid w:val="005F62A8"/>
    <w:rsid w:val="005F65BC"/>
    <w:rsid w:val="005F7A47"/>
    <w:rsid w:val="00601E9E"/>
    <w:rsid w:val="0060265D"/>
    <w:rsid w:val="00604880"/>
    <w:rsid w:val="006165A5"/>
    <w:rsid w:val="006206BB"/>
    <w:rsid w:val="006231C5"/>
    <w:rsid w:val="00626D42"/>
    <w:rsid w:val="0063085B"/>
    <w:rsid w:val="00637A21"/>
    <w:rsid w:val="006447AD"/>
    <w:rsid w:val="0064759A"/>
    <w:rsid w:val="00656E84"/>
    <w:rsid w:val="00657A68"/>
    <w:rsid w:val="00662A93"/>
    <w:rsid w:val="00662D85"/>
    <w:rsid w:val="00662ECD"/>
    <w:rsid w:val="00667B97"/>
    <w:rsid w:val="00671C3D"/>
    <w:rsid w:val="00675119"/>
    <w:rsid w:val="00683DCA"/>
    <w:rsid w:val="006848D3"/>
    <w:rsid w:val="00686378"/>
    <w:rsid w:val="006874E8"/>
    <w:rsid w:val="00687BB2"/>
    <w:rsid w:val="00695414"/>
    <w:rsid w:val="006A5B96"/>
    <w:rsid w:val="006A66D4"/>
    <w:rsid w:val="006A70E0"/>
    <w:rsid w:val="006D395C"/>
    <w:rsid w:val="006D610A"/>
    <w:rsid w:val="006D6979"/>
    <w:rsid w:val="006D7108"/>
    <w:rsid w:val="006E1902"/>
    <w:rsid w:val="006E6DD0"/>
    <w:rsid w:val="006F324F"/>
    <w:rsid w:val="006F5854"/>
    <w:rsid w:val="00703125"/>
    <w:rsid w:val="00704600"/>
    <w:rsid w:val="0071379D"/>
    <w:rsid w:val="00716C00"/>
    <w:rsid w:val="00716D3E"/>
    <w:rsid w:val="00716ECA"/>
    <w:rsid w:val="007238A7"/>
    <w:rsid w:val="00732AFA"/>
    <w:rsid w:val="00733D91"/>
    <w:rsid w:val="00740DE5"/>
    <w:rsid w:val="007438DB"/>
    <w:rsid w:val="00746FE1"/>
    <w:rsid w:val="00754B84"/>
    <w:rsid w:val="007577AE"/>
    <w:rsid w:val="007616A1"/>
    <w:rsid w:val="0076437F"/>
    <w:rsid w:val="00767368"/>
    <w:rsid w:val="00771CB0"/>
    <w:rsid w:val="00771F05"/>
    <w:rsid w:val="0077573E"/>
    <w:rsid w:val="00780CFA"/>
    <w:rsid w:val="007827E9"/>
    <w:rsid w:val="00784DCB"/>
    <w:rsid w:val="00785925"/>
    <w:rsid w:val="0079205D"/>
    <w:rsid w:val="007A05A7"/>
    <w:rsid w:val="007A4159"/>
    <w:rsid w:val="007A6717"/>
    <w:rsid w:val="007A74AB"/>
    <w:rsid w:val="007A78AB"/>
    <w:rsid w:val="007B243B"/>
    <w:rsid w:val="007C08F3"/>
    <w:rsid w:val="007C1589"/>
    <w:rsid w:val="007E576D"/>
    <w:rsid w:val="007E7BC7"/>
    <w:rsid w:val="007F2179"/>
    <w:rsid w:val="007F4A16"/>
    <w:rsid w:val="007F4A53"/>
    <w:rsid w:val="007F51AD"/>
    <w:rsid w:val="007F6B0C"/>
    <w:rsid w:val="008013D2"/>
    <w:rsid w:val="00803C74"/>
    <w:rsid w:val="00804305"/>
    <w:rsid w:val="00811BE5"/>
    <w:rsid w:val="0082382E"/>
    <w:rsid w:val="0082743C"/>
    <w:rsid w:val="0083221C"/>
    <w:rsid w:val="008327F7"/>
    <w:rsid w:val="00834230"/>
    <w:rsid w:val="00836812"/>
    <w:rsid w:val="00840034"/>
    <w:rsid w:val="00842F25"/>
    <w:rsid w:val="00843A02"/>
    <w:rsid w:val="0084631E"/>
    <w:rsid w:val="008548A6"/>
    <w:rsid w:val="008575CE"/>
    <w:rsid w:val="0086145E"/>
    <w:rsid w:val="0086737E"/>
    <w:rsid w:val="008738FB"/>
    <w:rsid w:val="00874483"/>
    <w:rsid w:val="00881161"/>
    <w:rsid w:val="0088672B"/>
    <w:rsid w:val="00894B01"/>
    <w:rsid w:val="008A529A"/>
    <w:rsid w:val="008A6CA3"/>
    <w:rsid w:val="008C4A5F"/>
    <w:rsid w:val="008D0954"/>
    <w:rsid w:val="008D1286"/>
    <w:rsid w:val="008D3089"/>
    <w:rsid w:val="008D3B66"/>
    <w:rsid w:val="008D50CD"/>
    <w:rsid w:val="008D7EF1"/>
    <w:rsid w:val="008E2964"/>
    <w:rsid w:val="008F3272"/>
    <w:rsid w:val="008F5687"/>
    <w:rsid w:val="008F6B0A"/>
    <w:rsid w:val="008F7836"/>
    <w:rsid w:val="009009C3"/>
    <w:rsid w:val="0090126A"/>
    <w:rsid w:val="00904892"/>
    <w:rsid w:val="00904D6D"/>
    <w:rsid w:val="009059D2"/>
    <w:rsid w:val="00914E2B"/>
    <w:rsid w:val="00916749"/>
    <w:rsid w:val="0091726A"/>
    <w:rsid w:val="00926D2C"/>
    <w:rsid w:val="009272DA"/>
    <w:rsid w:val="00931A07"/>
    <w:rsid w:val="00932794"/>
    <w:rsid w:val="00934ACC"/>
    <w:rsid w:val="00937AA2"/>
    <w:rsid w:val="009400BA"/>
    <w:rsid w:val="00944EE2"/>
    <w:rsid w:val="0095513F"/>
    <w:rsid w:val="00956959"/>
    <w:rsid w:val="00956FB1"/>
    <w:rsid w:val="00960648"/>
    <w:rsid w:val="00962F4A"/>
    <w:rsid w:val="0096390A"/>
    <w:rsid w:val="00966987"/>
    <w:rsid w:val="00966FB8"/>
    <w:rsid w:val="00973F06"/>
    <w:rsid w:val="0097787A"/>
    <w:rsid w:val="009800C4"/>
    <w:rsid w:val="00980F9E"/>
    <w:rsid w:val="00985755"/>
    <w:rsid w:val="00985EE6"/>
    <w:rsid w:val="00991D6F"/>
    <w:rsid w:val="00995980"/>
    <w:rsid w:val="009972EC"/>
    <w:rsid w:val="00997EDF"/>
    <w:rsid w:val="009A43CE"/>
    <w:rsid w:val="009A5519"/>
    <w:rsid w:val="009B042A"/>
    <w:rsid w:val="009B3B5A"/>
    <w:rsid w:val="009B7B30"/>
    <w:rsid w:val="009C42A8"/>
    <w:rsid w:val="009C4C3B"/>
    <w:rsid w:val="009C7FF1"/>
    <w:rsid w:val="009D0B10"/>
    <w:rsid w:val="009D1C41"/>
    <w:rsid w:val="009E0DC1"/>
    <w:rsid w:val="009F0BD1"/>
    <w:rsid w:val="009F18AE"/>
    <w:rsid w:val="009F2C75"/>
    <w:rsid w:val="00A07970"/>
    <w:rsid w:val="00A153B9"/>
    <w:rsid w:val="00A209F5"/>
    <w:rsid w:val="00A24CF1"/>
    <w:rsid w:val="00A35387"/>
    <w:rsid w:val="00A3662E"/>
    <w:rsid w:val="00A41A3B"/>
    <w:rsid w:val="00A4296B"/>
    <w:rsid w:val="00A457E8"/>
    <w:rsid w:val="00A45CCD"/>
    <w:rsid w:val="00A51024"/>
    <w:rsid w:val="00A533E7"/>
    <w:rsid w:val="00A53A85"/>
    <w:rsid w:val="00A55E99"/>
    <w:rsid w:val="00A56918"/>
    <w:rsid w:val="00A57663"/>
    <w:rsid w:val="00A64981"/>
    <w:rsid w:val="00A72A98"/>
    <w:rsid w:val="00A8178F"/>
    <w:rsid w:val="00A81AB2"/>
    <w:rsid w:val="00A8319E"/>
    <w:rsid w:val="00A84BBF"/>
    <w:rsid w:val="00A9270F"/>
    <w:rsid w:val="00A95B24"/>
    <w:rsid w:val="00AA0A2F"/>
    <w:rsid w:val="00AA1C50"/>
    <w:rsid w:val="00AA4809"/>
    <w:rsid w:val="00AA5F6E"/>
    <w:rsid w:val="00AB0BEE"/>
    <w:rsid w:val="00AC4B00"/>
    <w:rsid w:val="00AD31E6"/>
    <w:rsid w:val="00AD65E6"/>
    <w:rsid w:val="00AE2407"/>
    <w:rsid w:val="00AE3FE5"/>
    <w:rsid w:val="00AE7DEA"/>
    <w:rsid w:val="00AF06D9"/>
    <w:rsid w:val="00AF1582"/>
    <w:rsid w:val="00AF236D"/>
    <w:rsid w:val="00AF65AB"/>
    <w:rsid w:val="00AF6E8C"/>
    <w:rsid w:val="00B11CB9"/>
    <w:rsid w:val="00B11D95"/>
    <w:rsid w:val="00B11F1F"/>
    <w:rsid w:val="00B22146"/>
    <w:rsid w:val="00B22E69"/>
    <w:rsid w:val="00B2442D"/>
    <w:rsid w:val="00B27F7B"/>
    <w:rsid w:val="00B31CE7"/>
    <w:rsid w:val="00B400EE"/>
    <w:rsid w:val="00B41ADD"/>
    <w:rsid w:val="00B42744"/>
    <w:rsid w:val="00B46B54"/>
    <w:rsid w:val="00B62A29"/>
    <w:rsid w:val="00B62B07"/>
    <w:rsid w:val="00B800A3"/>
    <w:rsid w:val="00B85E98"/>
    <w:rsid w:val="00BA4679"/>
    <w:rsid w:val="00BA52FC"/>
    <w:rsid w:val="00BA7D22"/>
    <w:rsid w:val="00BB0240"/>
    <w:rsid w:val="00BB311D"/>
    <w:rsid w:val="00BB3763"/>
    <w:rsid w:val="00BB64C0"/>
    <w:rsid w:val="00BC22DC"/>
    <w:rsid w:val="00BD0D4D"/>
    <w:rsid w:val="00BD6672"/>
    <w:rsid w:val="00BE1F55"/>
    <w:rsid w:val="00BE2E01"/>
    <w:rsid w:val="00BE6778"/>
    <w:rsid w:val="00BF0E8D"/>
    <w:rsid w:val="00BF2741"/>
    <w:rsid w:val="00BF41BD"/>
    <w:rsid w:val="00C13664"/>
    <w:rsid w:val="00C150D8"/>
    <w:rsid w:val="00C21566"/>
    <w:rsid w:val="00C2284A"/>
    <w:rsid w:val="00C23D14"/>
    <w:rsid w:val="00C24AC4"/>
    <w:rsid w:val="00C315C8"/>
    <w:rsid w:val="00C31AC7"/>
    <w:rsid w:val="00C32067"/>
    <w:rsid w:val="00C378F8"/>
    <w:rsid w:val="00C443AC"/>
    <w:rsid w:val="00C51E00"/>
    <w:rsid w:val="00C523D5"/>
    <w:rsid w:val="00C54D54"/>
    <w:rsid w:val="00C5530F"/>
    <w:rsid w:val="00C66E83"/>
    <w:rsid w:val="00C73633"/>
    <w:rsid w:val="00C74D66"/>
    <w:rsid w:val="00C75404"/>
    <w:rsid w:val="00C75BB0"/>
    <w:rsid w:val="00C76A23"/>
    <w:rsid w:val="00C8367A"/>
    <w:rsid w:val="00C902AC"/>
    <w:rsid w:val="00C918E3"/>
    <w:rsid w:val="00C93DE1"/>
    <w:rsid w:val="00CA0A7A"/>
    <w:rsid w:val="00CA20CB"/>
    <w:rsid w:val="00CA78AB"/>
    <w:rsid w:val="00CB0187"/>
    <w:rsid w:val="00CB35B8"/>
    <w:rsid w:val="00CB559F"/>
    <w:rsid w:val="00CB5CFC"/>
    <w:rsid w:val="00CC18A1"/>
    <w:rsid w:val="00CC2171"/>
    <w:rsid w:val="00CC367A"/>
    <w:rsid w:val="00CC4EF0"/>
    <w:rsid w:val="00CD3BD9"/>
    <w:rsid w:val="00CD5D22"/>
    <w:rsid w:val="00CE4EC8"/>
    <w:rsid w:val="00CF43D0"/>
    <w:rsid w:val="00CF471C"/>
    <w:rsid w:val="00CF6323"/>
    <w:rsid w:val="00CF7AE3"/>
    <w:rsid w:val="00D02919"/>
    <w:rsid w:val="00D06628"/>
    <w:rsid w:val="00D07390"/>
    <w:rsid w:val="00D1410C"/>
    <w:rsid w:val="00D21BEB"/>
    <w:rsid w:val="00D2340C"/>
    <w:rsid w:val="00D26119"/>
    <w:rsid w:val="00D32BE4"/>
    <w:rsid w:val="00D364F1"/>
    <w:rsid w:val="00D40B35"/>
    <w:rsid w:val="00D4242A"/>
    <w:rsid w:val="00D42EE5"/>
    <w:rsid w:val="00D50E53"/>
    <w:rsid w:val="00D56077"/>
    <w:rsid w:val="00D62DEF"/>
    <w:rsid w:val="00D650D1"/>
    <w:rsid w:val="00D65DEF"/>
    <w:rsid w:val="00D71E03"/>
    <w:rsid w:val="00D85D9A"/>
    <w:rsid w:val="00D863E6"/>
    <w:rsid w:val="00D877FF"/>
    <w:rsid w:val="00D91FB8"/>
    <w:rsid w:val="00D9677D"/>
    <w:rsid w:val="00D977B7"/>
    <w:rsid w:val="00DA3CF0"/>
    <w:rsid w:val="00DB008E"/>
    <w:rsid w:val="00DB01EA"/>
    <w:rsid w:val="00DB2616"/>
    <w:rsid w:val="00DB385B"/>
    <w:rsid w:val="00DB66D4"/>
    <w:rsid w:val="00DB784C"/>
    <w:rsid w:val="00DC561A"/>
    <w:rsid w:val="00DC5631"/>
    <w:rsid w:val="00DD083C"/>
    <w:rsid w:val="00DD34CF"/>
    <w:rsid w:val="00DD3C90"/>
    <w:rsid w:val="00DD7FBF"/>
    <w:rsid w:val="00DE0492"/>
    <w:rsid w:val="00DE1F09"/>
    <w:rsid w:val="00DE3861"/>
    <w:rsid w:val="00DE5516"/>
    <w:rsid w:val="00DE671B"/>
    <w:rsid w:val="00DF41E4"/>
    <w:rsid w:val="00E01DB4"/>
    <w:rsid w:val="00E1197B"/>
    <w:rsid w:val="00E12853"/>
    <w:rsid w:val="00E17ECD"/>
    <w:rsid w:val="00E27CAA"/>
    <w:rsid w:val="00E3140C"/>
    <w:rsid w:val="00E31CBB"/>
    <w:rsid w:val="00E36793"/>
    <w:rsid w:val="00E3696A"/>
    <w:rsid w:val="00E37278"/>
    <w:rsid w:val="00E37A29"/>
    <w:rsid w:val="00E61778"/>
    <w:rsid w:val="00E63FCC"/>
    <w:rsid w:val="00E66620"/>
    <w:rsid w:val="00E70723"/>
    <w:rsid w:val="00E76F9E"/>
    <w:rsid w:val="00E818D0"/>
    <w:rsid w:val="00E829A9"/>
    <w:rsid w:val="00E87883"/>
    <w:rsid w:val="00E87C72"/>
    <w:rsid w:val="00E91DB7"/>
    <w:rsid w:val="00E956C8"/>
    <w:rsid w:val="00E96274"/>
    <w:rsid w:val="00EA6CA5"/>
    <w:rsid w:val="00EC1D6E"/>
    <w:rsid w:val="00EC3F04"/>
    <w:rsid w:val="00EC5D46"/>
    <w:rsid w:val="00ED02F5"/>
    <w:rsid w:val="00ED0DE6"/>
    <w:rsid w:val="00ED643D"/>
    <w:rsid w:val="00ED77C1"/>
    <w:rsid w:val="00EF41D0"/>
    <w:rsid w:val="00EF6956"/>
    <w:rsid w:val="00F018B2"/>
    <w:rsid w:val="00F02379"/>
    <w:rsid w:val="00F02FD5"/>
    <w:rsid w:val="00F10222"/>
    <w:rsid w:val="00F1192F"/>
    <w:rsid w:val="00F13DD7"/>
    <w:rsid w:val="00F15FC7"/>
    <w:rsid w:val="00F205C5"/>
    <w:rsid w:val="00F21ADD"/>
    <w:rsid w:val="00F26848"/>
    <w:rsid w:val="00F306D8"/>
    <w:rsid w:val="00F30773"/>
    <w:rsid w:val="00F30DA9"/>
    <w:rsid w:val="00F30F87"/>
    <w:rsid w:val="00F3140E"/>
    <w:rsid w:val="00F3441F"/>
    <w:rsid w:val="00F41584"/>
    <w:rsid w:val="00F508AA"/>
    <w:rsid w:val="00F51202"/>
    <w:rsid w:val="00F518D7"/>
    <w:rsid w:val="00F530B3"/>
    <w:rsid w:val="00F5647B"/>
    <w:rsid w:val="00F62777"/>
    <w:rsid w:val="00F639B6"/>
    <w:rsid w:val="00F72923"/>
    <w:rsid w:val="00F7466A"/>
    <w:rsid w:val="00F75A2C"/>
    <w:rsid w:val="00F8030A"/>
    <w:rsid w:val="00F81D28"/>
    <w:rsid w:val="00F84CD0"/>
    <w:rsid w:val="00F861E6"/>
    <w:rsid w:val="00F8643C"/>
    <w:rsid w:val="00F91ECF"/>
    <w:rsid w:val="00FA055C"/>
    <w:rsid w:val="00FA17E5"/>
    <w:rsid w:val="00FA2DA5"/>
    <w:rsid w:val="00FA32EC"/>
    <w:rsid w:val="00FA71C5"/>
    <w:rsid w:val="00FA7AE0"/>
    <w:rsid w:val="00FB1572"/>
    <w:rsid w:val="00FB240E"/>
    <w:rsid w:val="00FB54B8"/>
    <w:rsid w:val="00FC76D2"/>
    <w:rsid w:val="00FD37FA"/>
    <w:rsid w:val="00FD3DD6"/>
    <w:rsid w:val="00FE0D35"/>
    <w:rsid w:val="00FF5110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6D97B8"/>
  <w15:docId w15:val="{BD561C1E-BE4B-46C6-902A-0E560901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BA52FC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9B3B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3B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3B5A"/>
    <w:rPr>
      <w:rFonts w:ascii="Times New Roman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B3B5A"/>
    <w:rPr>
      <w:rFonts w:eastAsia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3B5A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unhideWhenUsed/>
    <w:rsid w:val="009B3B5A"/>
    <w:rPr>
      <w:vertAlign w:val="superscript"/>
    </w:rPr>
  </w:style>
  <w:style w:type="paragraph" w:customStyle="1" w:styleId="Teksts2">
    <w:name w:val="Teksts2"/>
    <w:basedOn w:val="Normal"/>
    <w:rsid w:val="009B3B5A"/>
    <w:pPr>
      <w:jc w:val="both"/>
    </w:pPr>
    <w:rPr>
      <w:rFonts w:eastAsia="Times New Roman" w:cs="Times New Roman"/>
      <w:szCs w:val="20"/>
      <w:lang w:eastAsia="en-US"/>
    </w:rPr>
  </w:style>
  <w:style w:type="paragraph" w:styleId="Revision">
    <w:name w:val="Revision"/>
    <w:hidden/>
    <w:uiPriority w:val="99"/>
    <w:semiHidden/>
    <w:rsid w:val="0011252B"/>
    <w:pPr>
      <w:spacing w:after="0" w:line="240" w:lineRule="auto"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40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63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6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65937148854CB78E9A4979A413A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F7F6A-B657-48C3-86AF-DFFBB1CDC09A}"/>
      </w:docPartPr>
      <w:docPartBody>
        <w:p w:rsidR="002B1D46" w:rsidRDefault="00F14298" w:rsidP="00F14298">
          <w:pPr>
            <w:pStyle w:val="F165937148854CB78E9A4979A413A50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61ECFD4F89AA41CFA024256ECAD27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68A03-6CD7-4593-BEC6-E21B38962E3D}"/>
      </w:docPartPr>
      <w:docPartBody>
        <w:p w:rsidR="002B1D46" w:rsidRDefault="00F14298" w:rsidP="00F14298">
          <w:pPr>
            <w:pStyle w:val="61ECFD4F89AA41CFA024256ECAD27BE9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B93859E3119746628CD91D529920C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748EF-73BC-4A15-B01A-ABDDE839A77F}"/>
      </w:docPartPr>
      <w:docPartBody>
        <w:p w:rsidR="002B1D46" w:rsidRDefault="00F14298">
          <w:pPr>
            <w:pStyle w:val="B93859E3119746628CD91D529920C16A"/>
          </w:pPr>
          <w:r>
            <w:t xml:space="preserve">Noteikumi </w:t>
          </w:r>
        </w:p>
      </w:docPartBody>
    </w:docPart>
    <w:docPart>
      <w:docPartPr>
        <w:name w:val="610F9D24BE2645EFA676F55516567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6F2D1-9624-4816-825C-0A53C11EC7E0}"/>
      </w:docPartPr>
      <w:docPartBody>
        <w:p w:rsidR="002B1D46" w:rsidRDefault="00F14298">
          <w:pPr>
            <w:pStyle w:val="610F9D24BE2645EFA676F5551656734B"/>
          </w:pPr>
          <w:r>
            <w:t xml:space="preserve">Nr. </w:t>
          </w:r>
        </w:p>
      </w:docPartBody>
    </w:docPart>
    <w:docPart>
      <w:docPartPr>
        <w:name w:val="CB4650B500604778A4E5622F27D62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3DD68-515E-4B57-B196-4AF47AC3BDB9}"/>
      </w:docPartPr>
      <w:docPartBody>
        <w:p w:rsidR="002B1D46" w:rsidRDefault="00F14298">
          <w:pPr>
            <w:pStyle w:val="CB4650B500604778A4E5622F27D62908"/>
          </w:pPr>
          <w:r>
            <w:t>_____</w:t>
          </w:r>
        </w:p>
      </w:docPartBody>
    </w:docPart>
    <w:docPart>
      <w:docPartPr>
        <w:name w:val="07E3980D042B415597A60B4A0CC2B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1BAB6-A5B8-4544-B510-63479BC31B77}"/>
      </w:docPartPr>
      <w:docPartBody>
        <w:p w:rsidR="002B1D46" w:rsidRDefault="00F14298" w:rsidP="00F14298">
          <w:pPr>
            <w:pStyle w:val="07E3980D042B415597A60B4A0CC2BA65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7CB6786DDDCF439083AB927F4471A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552A4-D702-456B-A862-C1FBB698E524}"/>
      </w:docPartPr>
      <w:docPartBody>
        <w:p w:rsidR="002B1D46" w:rsidRDefault="002B1D46">
          <w:pPr>
            <w:pStyle w:val="7CB6786DDDCF439083AB927F4471A19E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52B2FA8A6F2E4A8B9AD2D820D9228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83951-F8C0-44CB-AD59-00EE4E9D230F}"/>
      </w:docPartPr>
      <w:docPartBody>
        <w:p w:rsidR="002B1D46" w:rsidRDefault="00F14298" w:rsidP="00F14298">
          <w:pPr>
            <w:pStyle w:val="52B2FA8A6F2E4A8B9AD2D820D9228EB4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418E174662448B09770F29E0A204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899F8-60DB-479F-9C39-2A142B7B5EF6}"/>
      </w:docPartPr>
      <w:docPartBody>
        <w:p w:rsidR="002B1D46" w:rsidRDefault="00F14298" w:rsidP="00F14298">
          <w:pPr>
            <w:pStyle w:val="6418E174662448B09770F29E0A204BA2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49CEC76491743D182650C978FA35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996A2-BB45-4B5E-831C-B55133A0DF50}"/>
      </w:docPartPr>
      <w:docPartBody>
        <w:p w:rsidR="002B1D46" w:rsidRDefault="002B1D46">
          <w:pPr>
            <w:pStyle w:val="049CEC76491743D182650C978FA35F6A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70DEE2A30CFE42E18DB2A52AB1808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39FF9-1B2C-4FAF-8F2D-DC160EED0B4C}"/>
      </w:docPartPr>
      <w:docPartBody>
        <w:p w:rsidR="002B1D46" w:rsidRDefault="002B1D46">
          <w:pPr>
            <w:pStyle w:val="70DEE2A30CFE42E18DB2A52AB1808CDD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F483D6E3B8B44004846E2845BB851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865FB-2AD4-4BCE-B8E0-42EA742AA747}"/>
      </w:docPartPr>
      <w:docPartBody>
        <w:p w:rsidR="002B1D46" w:rsidRDefault="002B1D46">
          <w:pPr>
            <w:pStyle w:val="F483D6E3B8B44004846E2845BB851233"/>
          </w:pPr>
          <w:r>
            <w:rPr>
              <w:rFonts w:cs="Times New Roman"/>
            </w:rPr>
            <w:t>. panta</w:t>
          </w:r>
        </w:p>
      </w:docPartBody>
    </w:docPart>
    <w:docPart>
      <w:docPartPr>
        <w:name w:val="EA624226B605467D96FC45231B71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70D03-D9AA-4B11-B125-07935CC8A25B}"/>
      </w:docPartPr>
      <w:docPartBody>
        <w:p w:rsidR="002B1D46" w:rsidRDefault="002B1D46">
          <w:pPr>
            <w:pStyle w:val="EA624226B605467D96FC45231B71839A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6B529BF1DBCF468181E7B1E0746E5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C7443-CA96-4E3A-AE76-BA75513A2865}"/>
      </w:docPartPr>
      <w:docPartBody>
        <w:p w:rsidR="002B1D46" w:rsidRDefault="002B1D46">
          <w:pPr>
            <w:pStyle w:val="6B529BF1DBCF468181E7B1E0746E50FB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D46"/>
    <w:rsid w:val="002B1D46"/>
    <w:rsid w:val="002D7C78"/>
    <w:rsid w:val="004B5964"/>
    <w:rsid w:val="0051732B"/>
    <w:rsid w:val="0071379D"/>
    <w:rsid w:val="007F4A53"/>
    <w:rsid w:val="008013D2"/>
    <w:rsid w:val="0086145E"/>
    <w:rsid w:val="00B46B54"/>
    <w:rsid w:val="00D56077"/>
    <w:rsid w:val="00E63FCC"/>
    <w:rsid w:val="00F1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3859E3119746628CD91D529920C16A">
    <w:name w:val="B93859E3119746628CD91D529920C16A"/>
  </w:style>
  <w:style w:type="paragraph" w:customStyle="1" w:styleId="610F9D24BE2645EFA676F5551656734B">
    <w:name w:val="610F9D24BE2645EFA676F5551656734B"/>
  </w:style>
  <w:style w:type="paragraph" w:customStyle="1" w:styleId="CB4650B500604778A4E5622F27D62908">
    <w:name w:val="CB4650B500604778A4E5622F27D62908"/>
  </w:style>
  <w:style w:type="character" w:styleId="PlaceholderText">
    <w:name w:val="Placeholder Text"/>
    <w:basedOn w:val="DefaultParagraphFont"/>
    <w:uiPriority w:val="99"/>
    <w:semiHidden/>
    <w:rsid w:val="00F14298"/>
    <w:rPr>
      <w:color w:val="808080"/>
    </w:rPr>
  </w:style>
  <w:style w:type="paragraph" w:customStyle="1" w:styleId="7CB6786DDDCF439083AB927F4471A19E">
    <w:name w:val="7CB6786DDDCF439083AB927F4471A19E"/>
  </w:style>
  <w:style w:type="paragraph" w:customStyle="1" w:styleId="049CEC76491743D182650C978FA35F6A">
    <w:name w:val="049CEC76491743D182650C978FA35F6A"/>
  </w:style>
  <w:style w:type="paragraph" w:customStyle="1" w:styleId="70DEE2A30CFE42E18DB2A52AB1808CDD">
    <w:name w:val="70DEE2A30CFE42E18DB2A52AB1808CDD"/>
  </w:style>
  <w:style w:type="paragraph" w:customStyle="1" w:styleId="F483D6E3B8B44004846E2845BB851233">
    <w:name w:val="F483D6E3B8B44004846E2845BB851233"/>
  </w:style>
  <w:style w:type="paragraph" w:customStyle="1" w:styleId="EA624226B605467D96FC45231B71839A">
    <w:name w:val="EA624226B605467D96FC45231B71839A"/>
  </w:style>
  <w:style w:type="paragraph" w:customStyle="1" w:styleId="6B529BF1DBCF468181E7B1E0746E50FB">
    <w:name w:val="6B529BF1DBCF468181E7B1E0746E50FB"/>
  </w:style>
  <w:style w:type="paragraph" w:customStyle="1" w:styleId="F165937148854CB78E9A4979A413A5051">
    <w:name w:val="F165937148854CB78E9A4979A413A5051"/>
    <w:rsid w:val="00F14298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61ECFD4F89AA41CFA024256ECAD27BE91">
    <w:name w:val="61ECFD4F89AA41CFA024256ECAD27BE91"/>
    <w:rsid w:val="00F14298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7E3980D042B415597A60B4A0CC2BA651">
    <w:name w:val="07E3980D042B415597A60B4A0CC2BA651"/>
    <w:rsid w:val="00F14298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52B2FA8A6F2E4A8B9AD2D820D9228EB41">
    <w:name w:val="52B2FA8A6F2E4A8B9AD2D820D9228EB41"/>
    <w:rsid w:val="00F14298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6418E174662448B09770F29E0A204BA21">
    <w:name w:val="6418E174662448B09770F29E0A204BA21"/>
    <w:rsid w:val="00F14298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89</TotalTime>
  <Pages>4</Pages>
  <Words>6028</Words>
  <Characters>3437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Inga Jermoloviča</dc:creator>
  <cp:lastModifiedBy>Arnis Jankovskis</cp:lastModifiedBy>
  <cp:revision>4</cp:revision>
  <cp:lastPrinted>2010-12-20T19:45:00Z</cp:lastPrinted>
  <dcterms:created xsi:type="dcterms:W3CDTF">2024-10-29T10:07:00Z</dcterms:created>
  <dcterms:modified xsi:type="dcterms:W3CDTF">2024-10-29T10:29:00Z</dcterms:modified>
</cp:coreProperties>
</file>