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67CB4" w14:textId="12ED8318" w:rsidR="00206F9E" w:rsidRPr="00C255FB" w:rsidRDefault="00CA28AB" w:rsidP="002E20AB">
      <w:pPr>
        <w:pStyle w:val="NApunkts1"/>
        <w:numPr>
          <w:ilvl w:val="0"/>
          <w:numId w:val="0"/>
        </w:numPr>
        <w:spacing w:after="240"/>
        <w:jc w:val="center"/>
        <w:rPr>
          <w:b/>
          <w:bCs/>
          <w:shd w:val="clear" w:color="auto" w:fill="FFFFFF"/>
        </w:rPr>
      </w:pPr>
      <w:r w:rsidRPr="00CA28AB">
        <w:rPr>
          <w:b/>
          <w:bCs/>
        </w:rPr>
        <w:t xml:space="preserve">Latvijas Bankas noteikumu projekta </w:t>
      </w:r>
      <w:sdt>
        <w:sdtPr>
          <w:rPr>
            <w:b/>
            <w:color w:val="FF0000"/>
          </w:rPr>
          <w:alias w:val="Nosaukums"/>
          <w:tag w:val="Nosaukums"/>
          <w:id w:val="25447728"/>
          <w:placeholder>
            <w:docPart w:val="4079D6D53CA340E680F77592DCFF0A8F"/>
          </w:placeholder>
        </w:sdtPr>
        <w:sdtEndPr>
          <w:rPr>
            <w:color w:val="auto"/>
          </w:rPr>
        </w:sdtEndPr>
        <w:sdtContent>
          <w:bookmarkStart w:id="0" w:name="_Hlk158801718"/>
          <w:r w:rsidR="00206F9E" w:rsidRPr="00206F9E">
            <w:rPr>
              <w:b/>
            </w:rPr>
            <w:t>"</w:t>
          </w:r>
          <w:bookmarkEnd w:id="0"/>
          <w:sdt>
            <w:sdtPr>
              <w:rPr>
                <w:b/>
                <w:color w:val="FF0000"/>
              </w:rPr>
              <w:alias w:val="Nosaukums"/>
              <w:tag w:val="Nosaukums"/>
              <w:id w:val="-227309913"/>
              <w:placeholder>
                <w:docPart w:val="D8F2CD095FF44F20BBCFB36EB8C1FDE2"/>
              </w:placeholder>
            </w:sdtPr>
            <w:sdtEndPr>
              <w:rPr>
                <w:color w:val="auto"/>
              </w:rPr>
            </w:sdtEndPr>
            <w:sdtContent>
              <w:r w:rsidR="0087040A" w:rsidRPr="0087040A">
                <w:rPr>
                  <w:b/>
                </w:rPr>
                <w:t>Kre</w:t>
              </w:r>
              <w:r w:rsidR="0087040A" w:rsidRPr="0087040A">
                <w:rPr>
                  <w:b/>
                  <w:bCs/>
                  <w:shd w:val="clear" w:color="auto" w:fill="FFFFFF"/>
                </w:rPr>
                <w:t>d</w:t>
              </w:r>
              <w:r w:rsidR="0087040A" w:rsidRPr="0005228B">
                <w:rPr>
                  <w:b/>
                  <w:bCs/>
                  <w:shd w:val="clear" w:color="auto" w:fill="FFFFFF"/>
                </w:rPr>
                <w:t xml:space="preserve">ītiestāžu </w:t>
              </w:r>
              <w:proofErr w:type="spellStart"/>
              <w:r w:rsidR="00162F91">
                <w:rPr>
                  <w:b/>
                  <w:bCs/>
                  <w:shd w:val="clear" w:color="auto" w:fill="FFFFFF"/>
                </w:rPr>
                <w:t>korespondentattiecību</w:t>
              </w:r>
              <w:proofErr w:type="spellEnd"/>
              <w:r w:rsidR="00162F91">
                <w:rPr>
                  <w:b/>
                  <w:bCs/>
                  <w:shd w:val="clear" w:color="auto" w:fill="FFFFFF"/>
                </w:rPr>
                <w:t xml:space="preserve"> ietvaros</w:t>
              </w:r>
              <w:r w:rsidR="0087040A" w:rsidRPr="0005228B">
                <w:rPr>
                  <w:b/>
                  <w:bCs/>
                  <w:shd w:val="clear" w:color="auto" w:fill="FFFFFF"/>
                </w:rPr>
                <w:t xml:space="preserve"> v</w:t>
              </w:r>
              <w:r w:rsidR="0087040A">
                <w:rPr>
                  <w:b/>
                  <w:bCs/>
                  <w:shd w:val="clear" w:color="auto" w:fill="FFFFFF"/>
                </w:rPr>
                <w:t xml:space="preserve">eikto un saņemto </w:t>
              </w:r>
              <w:r w:rsidR="0087040A" w:rsidRPr="0005228B">
                <w:rPr>
                  <w:b/>
                  <w:bCs/>
                  <w:shd w:val="clear" w:color="auto" w:fill="FFFFFF"/>
                </w:rPr>
                <w:t>maksājum</w:t>
              </w:r>
              <w:r w:rsidR="0087040A">
                <w:rPr>
                  <w:b/>
                  <w:bCs/>
                  <w:shd w:val="clear" w:color="auto" w:fill="FFFFFF"/>
                </w:rPr>
                <w:t xml:space="preserve">u </w:t>
              </w:r>
              <w:r w:rsidR="00205A78">
                <w:rPr>
                  <w:b/>
                  <w:bCs/>
                  <w:shd w:val="clear" w:color="auto" w:fill="FFFFFF"/>
                </w:rPr>
                <w:t xml:space="preserve">un kredītiestāžu klientu veikto un saņemto maksājumu </w:t>
              </w:r>
              <w:r w:rsidR="0087040A">
                <w:rPr>
                  <w:b/>
                  <w:bCs/>
                  <w:shd w:val="clear" w:color="auto" w:fill="FFFFFF"/>
                </w:rPr>
                <w:t>pārskata sagatavošanas un iesniegšanas noteikumi</w:t>
              </w:r>
            </w:sdtContent>
          </w:sdt>
          <w:r w:rsidR="00206F9E">
            <w:rPr>
              <w:b/>
              <w:bCs/>
              <w:shd w:val="clear" w:color="auto" w:fill="FFFFFF"/>
            </w:rPr>
            <w:t>" anotācija</w:t>
          </w:r>
        </w:sdtContent>
      </w:sdt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9"/>
      </w:tblGrid>
      <w:tr w:rsidR="000B4E0A" w:rsidRPr="000B4E0A" w14:paraId="53FC770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DCE6499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71F63EDC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ED672BD" w14:textId="672E1676" w:rsidR="00E53DE9" w:rsidRPr="000B5AA1" w:rsidRDefault="0087040A" w:rsidP="002E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Kredītiestāžu </w:t>
            </w:r>
            <w:proofErr w:type="spellStart"/>
            <w:r w:rsidR="00162F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korespondentattiecību</w:t>
            </w:r>
            <w:proofErr w:type="spellEnd"/>
            <w:r w:rsidR="00162F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ietvaros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veikto un saņemto maksājumu </w:t>
            </w:r>
            <w:r w:rsidR="00205A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kredītiestāžu klientu veikto un saņemto maksājumu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pārskata sagatavošanas un iesniegšanas noteikumi</w:t>
            </w:r>
          </w:p>
        </w:tc>
      </w:tr>
      <w:tr w:rsidR="000B4E0A" w:rsidRPr="000B4E0A" w14:paraId="02375639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76F347E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203D7D4C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1FC96EF" w14:textId="3CBA4D05" w:rsidR="00E53DE9" w:rsidRPr="000B5AA1" w:rsidRDefault="000B5AA1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0B4E0A" w:rsidRPr="000B4E0A" w14:paraId="3FB73056" w14:textId="77777777" w:rsidTr="002E20AB">
        <w:trPr>
          <w:trHeight w:val="912"/>
        </w:trPr>
        <w:tc>
          <w:tcPr>
            <w:tcW w:w="1796" w:type="pct"/>
            <w:shd w:val="clear" w:color="auto" w:fill="auto"/>
            <w:hideMark/>
          </w:tcPr>
          <w:p w14:paraId="1FF384E0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5C3D59BF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E9F4623" w14:textId="752C6DC3" w:rsidR="00E53DE9" w:rsidRDefault="000B5AA1" w:rsidP="002E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Noziedzīgi iegūtu līdzekļu legalizācijas un terorisma un </w:t>
            </w:r>
            <w:proofErr w:type="spellStart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finansēšanas novēršanas likuma 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turpmāk – Likums)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37.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</w:t>
            </w:r>
            <w:r w:rsidR="008704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noteikts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45. panta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pirmās daļas 1. punktā minēt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 subjekt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u, tostarp </w:t>
            </w:r>
            <w:r w:rsidR="00B157CF" w:rsidRP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kredītiestā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žu</w:t>
            </w:r>
            <w:r w:rsidR="00B157CF" w:rsidRP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pienākums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snie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gt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Bankai informāciju par klienta veiktajiem darījumiem un citu informāciju, kas saistīta ar noziedzīgi iegūtu līdzekļu legalizācijas un terorisma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un </w:t>
            </w:r>
            <w:proofErr w:type="spellStart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finansēšanas risku pārvaldību.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Minētā likuma norma paredz arī </w:t>
            </w:r>
            <w:r w:rsidR="00B157CF" w:rsidRP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Latvijas Bankai tiesības izdot 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minētajiem Likuma subjektiem, tostarp kredītiestādēm, saistošus </w:t>
            </w:r>
            <w:r w:rsidR="00B157CF" w:rsidRP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noteikumus par sniedzamās informācijas apjomu, informācijas apkopošanas prasībām un tās sniegšanas kārtību.</w:t>
            </w:r>
          </w:p>
          <w:p w14:paraId="2B34B071" w14:textId="77777777" w:rsidR="000B5AA1" w:rsidRDefault="000B5AA1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653A4CA5" w14:textId="77777777" w:rsidR="000B5AA1" w:rsidRPr="00EC7FB8" w:rsidRDefault="000B5AA1" w:rsidP="000B5A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2023. gada 1. janvārī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Finanšu un kapitāla tirgus komisija (turpmāk – Komisija) tika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pievienota Latvijas Bankai. Saskaņā ar Latvijas Bankas likuma pārejas noteikumu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 punkt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Latvijas Bankas un Komisijas līdz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minētā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likuma spēkā stāšanās dienai izdotie ārējie normatīvie akti piemērojami līdz dienai, kad stājas spēkā attiecīgie Latvijas Bankas ārējie normatīvie akti, bet ne ilgāk kā līdz 2024. gada 31. decembrim.</w:t>
            </w:r>
          </w:p>
          <w:p w14:paraId="089B4FA1" w14:textId="77777777" w:rsidR="000B5AA1" w:rsidRPr="00EC7FB8" w:rsidRDefault="000B5AA1" w:rsidP="000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38A8D319" w14:textId="447BC827" w:rsidR="000B5AA1" w:rsidRPr="000B5AA1" w:rsidRDefault="000B5AA1" w:rsidP="00870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Ņemot vērā minēto, ir sagatavot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Latvijas Bankas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Kredītiestāžu  </w:t>
            </w:r>
            <w:proofErr w:type="spellStart"/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korespondentattiecību</w:t>
            </w:r>
            <w:proofErr w:type="spellEnd"/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ietvaros veikto un saņemto </w:t>
            </w:r>
            <w:r w:rsidR="00C3427F" w:rsidRPr="00DE3D1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maksājumu</w:t>
            </w:r>
            <w:r w:rsidR="00C3427F" w:rsidRPr="002E20AB" w:rsidDel="00C3427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05A7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un kredītiestāžu klientu veikto un saņemto maksājumu </w:t>
            </w:r>
            <w:r w:rsidRPr="00DE3D1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</w:t>
            </w:r>
            <w:r w:rsidR="00C3427F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E3D1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sagatavošan</w:t>
            </w:r>
            <w:r w:rsidR="00C3427F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un iesniegšanas noteikumi</w:t>
            </w:r>
            <w:r w:rsidRPr="00DE3D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(turpmāk – Noteikumu projekts)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, kas aizstā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Komisijas 202</w:t>
            </w:r>
            <w:r w:rsidR="008704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87040A">
              <w:rPr>
                <w:rFonts w:ascii="Times New Roman" w:hAnsi="Times New Roman" w:cs="Times New Roman"/>
                <w:sz w:val="24"/>
                <w:szCs w:val="24"/>
              </w:rPr>
              <w:t>septembra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normatīvos 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noteikumus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040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 w:rsidR="0087040A" w:rsidRPr="008704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Pārskata par kredītiestāžu klientu veiktajiem maksājumiem, izmantojot </w:t>
            </w:r>
            <w:proofErr w:type="spellStart"/>
            <w:r w:rsidR="0087040A" w:rsidRPr="008704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korespondentiestāžu</w:t>
            </w:r>
            <w:proofErr w:type="spellEnd"/>
            <w:r w:rsidR="0087040A" w:rsidRPr="008704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tīklu, sagatavošanas normatīvie noteikumi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704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(turpmāk – Noteikumi Nr. </w:t>
            </w:r>
            <w:r w:rsidR="005D59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183)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0B4E0A" w:rsidRPr="000B4E0A" w14:paraId="107B557E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1C62D4E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5AC4EFE9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CA96DA8" w14:textId="729DD4E7" w:rsidR="0087040A" w:rsidRDefault="0087040A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projektā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teikt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 kārtība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kredītiestādes (a</w:t>
            </w:r>
            <w:r w:rsidR="00856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r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C80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kredītiestādēm 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saprotot gan 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Republikā reģistrēta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kredītiestāde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gan arī </w:t>
            </w:r>
            <w:r w:rsidR="00856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citu 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dalībvalst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un 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treš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valst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kredītiestā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žu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filiāle</w:t>
            </w:r>
            <w:r w:rsidR="00B15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</w:t>
            </w:r>
            <w:r w:rsidR="00C80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as Republikā</w:t>
            </w:r>
            <w:r w:rsidRPr="002830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apkopo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informāciju par klient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veiktajiem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saņemtajiem maksājumiem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 w:rsidR="00C342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sagatavojot 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C3427F"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ārskat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</w:t>
            </w:r>
            <w:r w:rsidR="00C3427F"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B157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C3427F"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klientu, respondentu un trešo kredītiestāžu klientu maksājumiem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(turpmāk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pārskats)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C342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arī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noteikta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kārtīb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a </w:t>
            </w:r>
            <w:r w:rsidR="00867A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pārskata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iesniegšanai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</w:t>
            </w:r>
            <w:r w:rsidR="008567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7AE08D23" w14:textId="77777777" w:rsidR="0087040A" w:rsidRPr="00EC7FB8" w:rsidRDefault="0087040A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13936005" w14:textId="0CDCE9A3" w:rsidR="0087040A" w:rsidRPr="0034419C" w:rsidRDefault="00867AE4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Pārskata sagatavošanas</w:t>
            </w:r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sniegšanas mērķis ir kredītiestāžu darbības uzraudzība noziedzīgi iegūtu līdzekļu legalizācijas un terorisma un </w:t>
            </w:r>
            <w:proofErr w:type="spellStart"/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proliferācijas</w:t>
            </w:r>
            <w:proofErr w:type="spellEnd"/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finansēšanas </w:t>
            </w:r>
            <w:r w:rsidR="008704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novēršanas </w:t>
            </w:r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jomā un paaugstināta noziedzīgi iegūtu līdzekļu legalizācijas un terorisma un </w:t>
            </w:r>
            <w:proofErr w:type="spellStart"/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proliferācijas</w:t>
            </w:r>
            <w:proofErr w:type="spellEnd"/>
            <w:r w:rsidR="0087040A" w:rsidRPr="00344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finansēšanas riska identificēšana</w:t>
            </w:r>
            <w:r w:rsidR="008704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0BF14E3" w14:textId="77777777" w:rsidR="00E53DE9" w:rsidRDefault="00E53DE9" w:rsidP="00856760">
            <w:pPr>
              <w:tabs>
                <w:tab w:val="left" w:pos="3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F28A7FC" w14:textId="6A9DC764" w:rsidR="005D5918" w:rsidRDefault="005D5918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projekts saturiski ir līdzīgs Noteikumiem Nr. 183, tomēr tajā ir šādas </w:t>
            </w:r>
            <w:r w:rsidRPr="008E78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būtisk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as</w:t>
            </w:r>
            <w:r w:rsidRPr="008E783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izmaiņas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06048ADF" w14:textId="77777777" w:rsidR="003E43A1" w:rsidRDefault="003E43A1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911F33" w14:textId="1C97B6E0" w:rsidR="00974F26" w:rsidRPr="00974F26" w:rsidRDefault="00974F26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Pārskats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kura forma ir noteikta Noteikumu projekta pielikumā,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strukturāli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sadalīts </w:t>
            </w:r>
            <w:r w:rsidR="00726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ijās</w:t>
            </w:r>
            <w:r w:rsidRPr="00974F2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daļās:</w:t>
            </w:r>
          </w:p>
          <w:p w14:paraId="3C8745E9" w14:textId="15DACD63" w:rsidR="00625C76" w:rsidRPr="002E20AB" w:rsidRDefault="00856760" w:rsidP="00856760">
            <w:pPr>
              <w:pStyle w:val="ListParagraph"/>
              <w:numPr>
                <w:ilvl w:val="0"/>
                <w:numId w:val="9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1. 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daļa </w:t>
            </w:r>
            <w:r w:rsidR="00D434D2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Kredītiestādes klientu un respondentu maksājumu apgrozījums (M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01.00)</w:t>
            </w:r>
            <w:r w:rsidR="00726EF5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Šajā pārskata daļā 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jā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norāda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informācij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kredītiestādes klientu ienākoš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 un izejoš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 maksājum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skaitā 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respondent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paša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kredītiest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ādes 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saimniecisk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ajiem</w:t>
            </w:r>
            <w:r w:rsidR="00974F2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darījumi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(piemēram, respondenta maksājums par </w:t>
            </w:r>
            <w:r w:rsidR="00F825B7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tā biroja 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telpu nomu)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1CF8B7D" w14:textId="06060ECF" w:rsidR="00F80F96" w:rsidRPr="002E20AB" w:rsidRDefault="00856760" w:rsidP="00856760">
            <w:pPr>
              <w:pStyle w:val="ListParagraph"/>
              <w:numPr>
                <w:ilvl w:val="0"/>
                <w:numId w:val="9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2. 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daļa </w:t>
            </w:r>
            <w:r w:rsidR="00D434D2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Respondenta klientu maksājumu apgrozījums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02.00)</w:t>
            </w:r>
            <w:r w:rsidR="00726EF5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Šajā pārskata daļā 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jā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norāda 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kredītiestādes respondentu klientu maksājum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tai skaitā respondentu klientu darījum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kredītiestādes klientiem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šie maksājumi nav jānorāda </w:t>
            </w:r>
            <w:r w:rsidR="003E43A1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ārskata 1. daļā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36B09D9A" w14:textId="43954BCC" w:rsidR="00F80F96" w:rsidRDefault="00856760" w:rsidP="00856760">
            <w:pPr>
              <w:pStyle w:val="ListParagraph"/>
              <w:numPr>
                <w:ilvl w:val="0"/>
                <w:numId w:val="9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3. </w:t>
            </w:r>
            <w:r w:rsidR="00F80F96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daļa </w:t>
            </w:r>
            <w:r w:rsidR="00D434D2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Kredītiestādes </w:t>
            </w:r>
            <w:proofErr w:type="spellStart"/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nostro</w:t>
            </w:r>
            <w:proofErr w:type="spellEnd"/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koresponde</w:t>
            </w:r>
            <w:r w:rsidR="004E15E5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tu kontu </w:t>
            </w:r>
            <w:r w:rsidR="00C63983" w:rsidRPr="00C80F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atlikumi un apgrozījumi (M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03.00)</w:t>
            </w:r>
            <w:r w:rsidR="00CB0A35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Šajā pārskata daļā 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jā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norāda kredītiestādes </w:t>
            </w:r>
            <w:proofErr w:type="spellStart"/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nostro</w:t>
            </w:r>
            <w:proofErr w:type="spellEnd"/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korespondentu kontu atlikum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apgrūtināt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atlikum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(ja tādi ir), savukārt apgrozījumos jānorāda tikai korespondent</w:t>
            </w:r>
            <w:r w:rsidR="003E43A1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kontā veikto kredītiestādes klientu darījumu apgrozījum</w:t>
            </w:r>
            <w:r w:rsidR="00867AE4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63983" w:rsidRPr="002E20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72BB813" w14:textId="77777777" w:rsidR="00856760" w:rsidRPr="002E20AB" w:rsidRDefault="00856760" w:rsidP="00500EC7">
            <w:pPr>
              <w:pStyle w:val="ListParagraph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F16E96A" w14:textId="15864144" w:rsidR="005D5918" w:rsidRDefault="00856760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  <w:r w:rsidR="003E43A1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5D5918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ainīta pārskata iesniegšanas regularitāte, paredzot, ka pārskatu sniedz reizi 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ijos</w:t>
            </w:r>
            <w:r w:rsidR="005D5918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mēnešos par iepriekšējo ceturksni (iepriekš </w:t>
            </w:r>
            <w:r w:rsidR="00867AE4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pārskatā iekļauj</w:t>
            </w:r>
            <w:r w:rsidR="00AF6252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867AE4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mā informācija bija iesniedzama</w:t>
            </w:r>
            <w:r w:rsidR="005D5918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katru mēnesi par iepriekšējo mēnesi).</w:t>
            </w:r>
          </w:p>
          <w:p w14:paraId="489518AF" w14:textId="77777777" w:rsidR="00856760" w:rsidRPr="00500EC7" w:rsidRDefault="00856760" w:rsidP="00500EC7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0BF8F" w14:textId="5A8293D6" w:rsidR="001409A6" w:rsidRDefault="00856760" w:rsidP="00856760">
            <w:pPr>
              <w:pStyle w:val="ListParagraph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r w:rsidR="001409A6" w:rsidRPr="003E4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Precizētas definīcijas (piemēram, 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1409A6" w:rsidRPr="003E4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oteikumu projekts skaidri nosaka, ka respondents ir kredītiestāde vai finanšu iestāde, ar kuru kredītiestādei ir </w:t>
            </w:r>
            <w:proofErr w:type="spellStart"/>
            <w:r w:rsidR="001409A6" w:rsidRPr="003E43A1">
              <w:rPr>
                <w:rFonts w:ascii="Times New Roman" w:eastAsia="Times New Roman" w:hAnsi="Times New Roman" w:cs="Times New Roman"/>
                <w:sz w:val="24"/>
                <w:szCs w:val="24"/>
              </w:rPr>
              <w:t>korespondentattiecības</w:t>
            </w:r>
            <w:proofErr w:type="spellEnd"/>
            <w:r w:rsidR="001409A6" w:rsidRPr="003E4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4D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1409A6" w:rsidRPr="003E43A1">
              <w:rPr>
                <w:rFonts w:ascii="Times New Roman" w:eastAsia="Times New Roman" w:hAnsi="Times New Roman" w:cs="Times New Roman"/>
                <w:sz w:val="24"/>
                <w:szCs w:val="24"/>
              </w:rPr>
              <w:t>ikuma izpratnē)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93319F7" w14:textId="77777777" w:rsidR="00856760" w:rsidRPr="003E43A1" w:rsidRDefault="00856760" w:rsidP="00500EC7">
            <w:pPr>
              <w:pStyle w:val="ListParagraph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B02D4" w14:textId="65C9B3FC" w:rsidR="005D5918" w:rsidRDefault="00856760" w:rsidP="00856760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Precizēts pārskatā ietveramās informācijas tvērums</w:t>
            </w:r>
            <w:r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– skaidri nodalīts, kāda informācija ir jāsniedz par kredītiestādes klient</w:t>
            </w:r>
            <w:r w:rsidR="00C80FDD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, kredītiestādes respondentu pašu un respondent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klientu maksājumiem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88FFBE" w14:textId="77777777" w:rsidR="00856760" w:rsidRPr="00500EC7" w:rsidRDefault="00856760" w:rsidP="00500EC7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31154" w14:textId="079BEC34" w:rsidR="001409A6" w:rsidRPr="00500EC7" w:rsidRDefault="00856760" w:rsidP="00500EC7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  <w:r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ienkāršota informācijas atlase par maksājumiem, paredzot, ka informāciju par maksājumiem sniedz neatkarīgi no maksājumu veikšanai izmantotās sistēmas 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(iepriekš bija nepieciešams atlasīt maksājumus, kas veikti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izmantojot </w:t>
            </w:r>
            <w:proofErr w:type="spellStart"/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koresponde</w:t>
            </w:r>
            <w:r w:rsidR="004E15E5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>tattiecību</w:t>
            </w:r>
            <w:proofErr w:type="spellEnd"/>
            <w:r w:rsidR="001409A6" w:rsidRPr="00500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tīklu)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34B11C" w14:textId="24765604" w:rsidR="006B1A7D" w:rsidRPr="002E20AB" w:rsidRDefault="00A877D7" w:rsidP="00500EC7">
            <w:pPr>
              <w:pStyle w:val="ListParagraph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V</w:t>
            </w:r>
            <w:r w:rsidR="001409A6" w:rsidRPr="00C672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eikti strukturāli un redakcionāli precizējumi 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projektā ietverto </w:t>
            </w:r>
            <w:r w:rsidR="001409A6" w:rsidRPr="00C67229">
              <w:rPr>
                <w:rFonts w:ascii="Times New Roman" w:eastAsia="Times New Roman" w:hAnsi="Times New Roman" w:cs="Times New Roman"/>
                <w:sz w:val="24"/>
                <w:szCs w:val="24"/>
              </w:rPr>
              <w:t>normu</w:t>
            </w:r>
            <w:r w:rsidR="0014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vieglākai</w:t>
            </w:r>
            <w:r w:rsidR="001409A6" w:rsidRPr="00C672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uztveramībai.</w:t>
            </w:r>
          </w:p>
        </w:tc>
      </w:tr>
      <w:tr w:rsidR="000B4E0A" w:rsidRPr="000B4E0A" w14:paraId="6830A4C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68B7FD7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10B4365F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1449224" w14:textId="77777777" w:rsidR="00CD52C9" w:rsidRPr="00F96501" w:rsidRDefault="00CD52C9" w:rsidP="00CD52C9">
            <w:pPr>
              <w:pStyle w:val="ListParagraph"/>
              <w:shd w:val="clear" w:color="auto" w:fill="FFFFFF"/>
              <w:tabs>
                <w:tab w:val="left" w:pos="284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01">
              <w:rPr>
                <w:rFonts w:ascii="Times New Roman" w:hAnsi="Times New Roman" w:cs="Times New Roman"/>
                <w:sz w:val="24"/>
                <w:szCs w:val="24"/>
              </w:rPr>
              <w:t>Noteikumu projekta leģitīmais mērķis ir citu personu tiesību aizsardzība un sabiedrības labklājības nodrošināšana.</w:t>
            </w:r>
          </w:p>
          <w:p w14:paraId="6C969720" w14:textId="59774DDD" w:rsidR="00E53DE9" w:rsidRPr="00CD52C9" w:rsidRDefault="00CD52C9" w:rsidP="00F8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96501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nepieciešams, lai Latvijas Banka atbilstoši Latvijas Bankas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likuma </w:t>
            </w:r>
            <w:r w:rsidRPr="00F96501">
              <w:rPr>
                <w:rFonts w:ascii="Times New Roman" w:hAnsi="Times New Roman" w:cs="Times New Roman"/>
                <w:sz w:val="24"/>
                <w:szCs w:val="24"/>
              </w:rPr>
              <w:t>48. panta pirmajai daļai īstenotu finanšu tirgus dalībnieku uzraudzību noziedzīgi iegūtu līdzekļu un legalizācijas un terorisma</w:t>
            </w:r>
            <w:r w:rsidR="00C80FDD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F96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501">
              <w:rPr>
                <w:rFonts w:ascii="Times New Roman" w:hAnsi="Times New Roman" w:cs="Times New Roman"/>
                <w:sz w:val="24"/>
                <w:szCs w:val="24"/>
              </w:rPr>
              <w:t>proliferācijas</w:t>
            </w:r>
            <w:proofErr w:type="spellEnd"/>
            <w:r w:rsidRPr="00F96501">
              <w:rPr>
                <w:rFonts w:ascii="Times New Roman" w:hAnsi="Times New Roman" w:cs="Times New Roman"/>
                <w:sz w:val="24"/>
                <w:szCs w:val="24"/>
              </w:rPr>
              <w:t xml:space="preserve"> finansēšanas novēršanas jomā. Nosakot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kredītiestādēm prasības iesniegt strukturētu un efektīvi analizējamu informāciju par maksājumiem</w:t>
            </w:r>
            <w:r w:rsidRPr="00F96501">
              <w:rPr>
                <w:rFonts w:ascii="Times New Roman" w:hAnsi="Times New Roman" w:cs="Times New Roman"/>
                <w:sz w:val="24"/>
                <w:szCs w:val="24"/>
              </w:rPr>
              <w:t>, Latvijas Banka nodrošina tai Latvijas Bankas likumā noteikto pienākumu – veicināt ieguldītāju un noguldītāju interešu aizsardzību un finanšu tirgus ilgtspējīgu attīstību un stabilitāti – izpildi.</w:t>
            </w:r>
          </w:p>
        </w:tc>
      </w:tr>
      <w:tr w:rsidR="00B726A8" w:rsidRPr="000B4E0A" w14:paraId="34B516D0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D2F482E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09F0E248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FD69B76" w14:textId="20F0CC2B" w:rsidR="00B726A8" w:rsidRDefault="00B726A8" w:rsidP="00B726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Izvērtējot, vai </w:t>
            </w:r>
            <w:proofErr w:type="spellStart"/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pamattiesību</w:t>
            </w:r>
            <w:proofErr w:type="spellEnd"/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ierobežojums ir samērīgs, jāpārliecinās, vai </w:t>
            </w:r>
            <w:r w:rsidR="00500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regulējums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piemērot</w:t>
            </w:r>
            <w:r w:rsidR="00500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leģitīmā mērķa sasniegšanai.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Lai izvērtētu, vai regulējums ir samērīgs, nepieciešams atbildēt uz šādiem jautājumiem.</w:t>
            </w:r>
          </w:p>
          <w:p w14:paraId="5716C5DF" w14:textId="77777777" w:rsidR="00B726A8" w:rsidRDefault="00B726A8" w:rsidP="00B726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B1EB35" w14:textId="77777777" w:rsidR="00B726A8" w:rsidRPr="0013619F" w:rsidRDefault="00B726A8" w:rsidP="00B726A8">
            <w:pPr>
              <w:pStyle w:val="ListParagraph"/>
              <w:numPr>
                <w:ilvl w:val="0"/>
                <w:numId w:val="5"/>
              </w:numPr>
              <w:tabs>
                <w:tab w:val="left" w:pos="174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Vai regulējuma prasības ir </w:t>
            </w:r>
            <w:r w:rsidRPr="0013619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piemērotas leģitīm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ā</w:t>
            </w:r>
            <w:r w:rsidRPr="0013619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mērķa sasniegšanai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7991903" w14:textId="77777777" w:rsidR="00B726A8" w:rsidRPr="00EC7FB8" w:rsidRDefault="00B726A8" w:rsidP="00B726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6149E1" w14:textId="4440F4D3" w:rsidR="00B726A8" w:rsidRPr="002C25D6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norādīts iepriekš, Noteikumu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projektā paredzēto prasību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leģitīmais mērķis ir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aizsargāt 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demokrātisk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valsts iekārt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sabiedrības drošīb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un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labklājīb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u, veicot </w:t>
            </w:r>
            <w:r w:rsidRPr="006E32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kredītiestāžu darbības uzraudzīb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u, lai </w:t>
            </w:r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novērst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noziedzīgi iegūtu līdzekļu legalizāciju un terorisma</w:t>
            </w:r>
            <w:r w:rsidR="008567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un </w:t>
            </w:r>
            <w:proofErr w:type="spellStart"/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proliferācijas</w:t>
            </w:r>
            <w:proofErr w:type="spellEnd"/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finansēšanu.</w:t>
            </w:r>
          </w:p>
          <w:p w14:paraId="0A5C02A6" w14:textId="77777777" w:rsidR="00B726A8" w:rsidRPr="00EC7FB8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06DE5FD8" w14:textId="2002C49D" w:rsidR="00B726A8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Lai varētu sasniegt minēto mērķi, nepieciešams no kredītiestādēm iegūt informāciju, kas paredzēta Noteikum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projektā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B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ez šādas informācijas iegūšanas nebūtu iespējams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nebūtu iespējams gūt pārliecību, ka kredītiestāžu darbība netiek izmantota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noziedzīgi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iegūtu līdzekļu legalizācija</w:t>
            </w:r>
            <w:r w:rsidR="00C80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terorisma un </w:t>
            </w:r>
            <w:proofErr w:type="spellStart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ai.</w:t>
            </w:r>
          </w:p>
          <w:p w14:paraId="1C0F842A" w14:textId="77777777" w:rsidR="00B726A8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1A4DF68F" w14:textId="77777777" w:rsidR="00B726A8" w:rsidRPr="007E4315" w:rsidRDefault="00B726A8" w:rsidP="00B726A8">
            <w:pPr>
              <w:pStyle w:val="ListParagraph"/>
              <w:numPr>
                <w:ilvl w:val="0"/>
                <w:numId w:val="5"/>
              </w:numPr>
              <w:tabs>
                <w:tab w:val="left" w:pos="174"/>
                <w:tab w:val="left" w:pos="31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 leģitīmo mērķi nevar sasniegt kā citādi, neparedzot šīs prasības?</w:t>
            </w:r>
          </w:p>
          <w:p w14:paraId="3BF88160" w14:textId="77777777" w:rsidR="00B726A8" w:rsidRDefault="00B726A8" w:rsidP="00B726A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806E8" w14:textId="77777777" w:rsidR="00B726A8" w:rsidRPr="00EC7FB8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7E4315">
              <w:rPr>
                <w:rFonts w:ascii="Times New Roman" w:hAnsi="Times New Roman" w:cs="Times New Roman"/>
                <w:sz w:val="24"/>
                <w:szCs w:val="24"/>
              </w:rPr>
              <w:t>Atbilstošākais veids, kā noteikt kredītiestādēm vienotas un saistošas prasības, ir izdot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7E4315">
              <w:rPr>
                <w:rFonts w:ascii="Times New Roman" w:hAnsi="Times New Roman" w:cs="Times New Roman"/>
                <w:sz w:val="24"/>
                <w:szCs w:val="24"/>
              </w:rPr>
              <w:t xml:space="preserve">m saistošus noteikumus. Citas alternatīvas jautājuma noregulēšanai un vienotu prasību noteikšanai nebūtu efektīvas un nesasniegtu izvirzīto </w:t>
            </w:r>
            <w:r w:rsidRPr="00235C65">
              <w:rPr>
                <w:rFonts w:ascii="Times New Roman" w:hAnsi="Times New Roman" w:cs="Times New Roman"/>
                <w:sz w:val="24"/>
                <w:szCs w:val="24"/>
              </w:rPr>
              <w:t>mērķi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pilnībā</w:t>
            </w:r>
            <w:r w:rsidRPr="00235C65">
              <w:rPr>
                <w:rFonts w:ascii="Times New Roman" w:hAnsi="Times New Roman" w:cs="Times New Roman"/>
                <w:sz w:val="24"/>
                <w:szCs w:val="24"/>
              </w:rPr>
              <w:t xml:space="preserve">, jo nenodrošinātu minēto prasību vienveidīgu piemērošanu.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Ņemot vērā minēto, Noteikum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lastRenderedPageBreak/>
              <w:t>projektā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paredzētais regulējums ir samērīgs un regulējuma leģitīmo mērķi nebūtu iespējams sasniegt ar citiem līdzekļiem. </w:t>
            </w:r>
          </w:p>
          <w:p w14:paraId="487DD39D" w14:textId="77777777" w:rsidR="00B726A8" w:rsidRPr="00235C65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1E2C0601" w14:textId="77777777" w:rsidR="00B726A8" w:rsidRPr="00235C65" w:rsidRDefault="00B726A8" w:rsidP="00856760">
            <w:pPr>
              <w:pStyle w:val="ListParagraph"/>
              <w:numPr>
                <w:ilvl w:val="0"/>
                <w:numId w:val="5"/>
              </w:numPr>
              <w:tabs>
                <w:tab w:val="left" w:pos="174"/>
                <w:tab w:val="left" w:pos="319"/>
              </w:tabs>
              <w:spacing w:after="0" w:line="240" w:lineRule="auto"/>
              <w:ind w:left="0" w:firstLine="0"/>
              <w:jc w:val="both"/>
              <w:rPr>
                <w:rStyle w:val="cf01"/>
                <w:rFonts w:ascii="Times New Roman" w:hAnsi="Times New Roman" w:cs="Times New Roman"/>
                <w:sz w:val="24"/>
                <w:szCs w:val="24"/>
              </w:rPr>
            </w:pPr>
            <w:r w:rsidRPr="00235C6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Vai regulējumā paredzētie ierobežojumi ir proporcionāli, proti, vai labums, ko iegūs sabiedrība, 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būs</w:t>
            </w:r>
            <w:r w:rsidRPr="00235C6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lielāks par prasību/ierobežojumu radītajām negatīvajām sekām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9EF1148" w14:textId="77777777" w:rsidR="00B726A8" w:rsidRPr="00235C65" w:rsidRDefault="00B726A8" w:rsidP="00B726A8">
            <w:pPr>
              <w:pStyle w:val="ListParagraph"/>
              <w:tabs>
                <w:tab w:val="left" w:pos="1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6C47C" w14:textId="70C22D8B" w:rsidR="00B726A8" w:rsidRPr="00491095" w:rsidRDefault="00B726A8" w:rsidP="00B726A8">
            <w:pPr>
              <w:pStyle w:val="ListParagraph"/>
              <w:tabs>
                <w:tab w:val="left" w:pos="17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235C65"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minēts </w:t>
            </w:r>
            <w:r w:rsidRPr="00235C65">
              <w:rPr>
                <w:rFonts w:ascii="Times New Roman" w:hAnsi="Times New Roman" w:cs="Times New Roman"/>
                <w:sz w:val="24"/>
                <w:szCs w:val="24"/>
              </w:rPr>
              <w:t xml:space="preserve">iepriekš,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Latvijas Banka, ņemot vērā normatīvajos aktos tai noteikto deleģējumu un ar Likumu noteiktos pienākumus </w:t>
            </w:r>
            <w:r w:rsidRPr="00D16F1D">
              <w:rPr>
                <w:rFonts w:ascii="Times New Roman" w:hAnsi="Times New Roman" w:cs="Times New Roman"/>
                <w:sz w:val="24"/>
                <w:szCs w:val="24"/>
              </w:rPr>
              <w:t>finanšu tirgus un tā dalībnieku darbīb</w:t>
            </w:r>
            <w:r w:rsidR="00D434D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uzraudzības jomā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ir tiesīga pieprasīt Noteikumu projektā paredzēto informāciju no kredītiestādēm. </w:t>
            </w:r>
            <w:r w:rsidRPr="00235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Noteikumu projektā paredzēt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</w:t>
            </w:r>
            <w:r w:rsidRPr="00235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regulējum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a leģitīmais mērķis ir aizsargāt 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demokrātisk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valsts iekārt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sabiedrības drošīb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un</w:t>
            </w:r>
            <w:r w:rsidRPr="002C2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labklājīb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u, veicot </w:t>
            </w:r>
            <w:r w:rsidRPr="006E32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kredītiestāžu darbības uzraudzīb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u, lai </w:t>
            </w:r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novērst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noziedzīgi iegūtu līdzekļu legalizāciju un terorisma un </w:t>
            </w:r>
            <w:proofErr w:type="spellStart"/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proliferācijas</w:t>
            </w:r>
            <w:proofErr w:type="spellEnd"/>
            <w:r w:rsidRPr="006C5D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finansēšanu.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Ņemot vērā minēto, Noteikum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projektā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paredzētais regulējums ir samērīgs un regulējuma leģitīmo mērķi nebūtu iespējams sasniegt ar citiem līdzekļiem. </w:t>
            </w:r>
          </w:p>
          <w:p w14:paraId="7E5C8DE7" w14:textId="77777777" w:rsidR="00B726A8" w:rsidRDefault="00B726A8" w:rsidP="00B7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7925A843" w14:textId="253D7FE5" w:rsidR="00B726A8" w:rsidRPr="00B726A8" w:rsidRDefault="00B726A8" w:rsidP="0085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Papildus jāuzsver, ka, ņemot vērā minēto regulējumu, Latvijas Bankai ir tiesības saņemt un apstrādāt Noteikumu projektā norādītos datus, lai tā varētu izpildīt savus normatīvajos aktos noteiktos pienākumus </w:t>
            </w:r>
            <w:r w:rsidRPr="00D16F1D">
              <w:rPr>
                <w:rFonts w:ascii="Times New Roman" w:hAnsi="Times New Roman" w:cs="Times New Roman"/>
                <w:sz w:val="24"/>
                <w:szCs w:val="24"/>
              </w:rPr>
              <w:t>finanšu tirgus un tā dalībnieku darbīb</w:t>
            </w:r>
            <w:r w:rsidR="00A877D7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uzraudzības jomā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. </w:t>
            </w:r>
          </w:p>
        </w:tc>
      </w:tr>
      <w:tr w:rsidR="00B726A8" w:rsidRPr="000B4E0A" w14:paraId="1B4E533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23908CC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01134EC8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FB49214" w14:textId="25F6815D" w:rsidR="000A5E73" w:rsidRDefault="00B726A8" w:rsidP="004A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stāsies spēkā 2025.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janvārī. </w:t>
            </w:r>
          </w:p>
          <w:p w14:paraId="790E2259" w14:textId="68028171" w:rsidR="000A5E73" w:rsidRDefault="00AF6252" w:rsidP="00AF6252">
            <w:pPr>
              <w:pStyle w:val="NApunkts1"/>
              <w:numPr>
                <w:ilvl w:val="0"/>
                <w:numId w:val="0"/>
              </w:numPr>
            </w:pPr>
            <w:r>
              <w:t>Noteikts, ka</w:t>
            </w:r>
            <w:r w:rsidR="00DE3D16">
              <w:t xml:space="preserve"> p</w:t>
            </w:r>
            <w:r w:rsidR="00DE3D16" w:rsidRPr="004939C7">
              <w:rPr>
                <w:lang w:eastAsia="en-GB"/>
              </w:rPr>
              <w:t>ārskat</w:t>
            </w:r>
            <w:r>
              <w:rPr>
                <w:lang w:eastAsia="en-GB"/>
              </w:rPr>
              <w:t>s</w:t>
            </w:r>
            <w:r w:rsidR="00DE3D16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 xml:space="preserve">par </w:t>
            </w:r>
            <w:r w:rsidR="00DE3D16">
              <w:rPr>
                <w:lang w:eastAsia="en-GB"/>
              </w:rPr>
              <w:t>2024.</w:t>
            </w:r>
            <w:r w:rsidR="00856760">
              <w:rPr>
                <w:lang w:eastAsia="en-GB"/>
              </w:rPr>
              <w:t> </w:t>
            </w:r>
            <w:r w:rsidR="00DE3D16">
              <w:rPr>
                <w:lang w:eastAsia="en-GB"/>
              </w:rPr>
              <w:t xml:space="preserve">gada decembri </w:t>
            </w:r>
            <w:r>
              <w:rPr>
                <w:lang w:eastAsia="en-GB"/>
              </w:rPr>
              <w:t xml:space="preserve">ir iesniedzams </w:t>
            </w:r>
            <w:r w:rsidR="00DE3D16">
              <w:rPr>
                <w:lang w:eastAsia="en-GB"/>
              </w:rPr>
              <w:t>atbilstoši</w:t>
            </w:r>
            <w:r w:rsidR="00DE3D16" w:rsidRPr="004939C7">
              <w:rPr>
                <w:lang w:eastAsia="en-GB"/>
              </w:rPr>
              <w:t xml:space="preserve"> </w:t>
            </w:r>
            <w:r w:rsidR="00DE3D16">
              <w:rPr>
                <w:lang w:eastAsia="en-GB"/>
              </w:rPr>
              <w:t xml:space="preserve">Noteikumiem </w:t>
            </w:r>
            <w:r w:rsidR="00DE3D16" w:rsidRPr="00681AAF">
              <w:rPr>
                <w:lang w:eastAsia="en-GB"/>
              </w:rPr>
              <w:t>Nr. </w:t>
            </w:r>
            <w:r w:rsidR="00DE3D16">
              <w:rPr>
                <w:lang w:eastAsia="en-GB"/>
              </w:rPr>
              <w:t>183 līdz 2025.</w:t>
            </w:r>
            <w:r>
              <w:rPr>
                <w:lang w:eastAsia="en-GB"/>
              </w:rPr>
              <w:t> </w:t>
            </w:r>
            <w:r w:rsidR="00DE3D16">
              <w:rPr>
                <w:lang w:eastAsia="en-GB"/>
              </w:rPr>
              <w:t xml:space="preserve">gada </w:t>
            </w:r>
            <w:r w:rsidR="00780C32">
              <w:rPr>
                <w:lang w:eastAsia="en-GB"/>
              </w:rPr>
              <w:t>20</w:t>
            </w:r>
            <w:r w:rsidR="00DE3D16">
              <w:rPr>
                <w:lang w:eastAsia="en-GB"/>
              </w:rPr>
              <w:t>.</w:t>
            </w:r>
            <w:r w:rsidR="00856760">
              <w:rPr>
                <w:lang w:eastAsia="en-GB"/>
              </w:rPr>
              <w:t> </w:t>
            </w:r>
            <w:r w:rsidR="00DE3D16">
              <w:rPr>
                <w:lang w:eastAsia="en-GB"/>
              </w:rPr>
              <w:t>janvārim.</w:t>
            </w:r>
          </w:p>
          <w:p w14:paraId="7FF42447" w14:textId="77777777" w:rsidR="00AF6252" w:rsidRDefault="00AF6252" w:rsidP="002E20AB">
            <w:pPr>
              <w:pStyle w:val="NApunkts1"/>
              <w:numPr>
                <w:ilvl w:val="0"/>
                <w:numId w:val="0"/>
              </w:numPr>
              <w:spacing w:before="120"/>
            </w:pPr>
          </w:p>
          <w:p w14:paraId="5CC20BDF" w14:textId="1A956A42" w:rsidR="00856760" w:rsidRPr="00B726A8" w:rsidRDefault="00DE3D16" w:rsidP="0085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Savukārt 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attiecībā uz 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otr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ārskata iesniegšanu</w:t>
            </w:r>
            <w:r w:rsidR="00AF62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2025.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F62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gadu Noteikumu projektā paredzēts pārejas regulējums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nosakot, ka k</w:t>
            </w:r>
            <w:r w:rsidR="00B726A8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redītiestādes pārskatu par 2025.</w:t>
            </w:r>
            <w:r w:rsidR="00867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726A8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="00A877D7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ceturksni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</w:t>
            </w:r>
            <w:r w:rsidR="00A877D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2025. gada 2. </w:t>
            </w:r>
            <w:r w:rsidR="00B726A8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ceturksni iesniedz līdz 2025.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726A8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</w:t>
            </w:r>
            <w:r w:rsidR="008567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jūlijam</w:t>
            </w:r>
            <w:r w:rsidR="00B726A8"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Pārejas regulējums nepieciešams, lai kredītiestādes varētu </w:t>
            </w:r>
            <w:r w:rsidR="00B726A8" w:rsidRPr="00E428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pielāgoties jaunajām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726A8" w:rsidRPr="00E428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prasībām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B726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ārskatā norādāmo datu apkopošanai un iesniegšanai.</w:t>
            </w:r>
          </w:p>
        </w:tc>
      </w:tr>
      <w:tr w:rsidR="00B726A8" w:rsidRPr="000B4E0A" w14:paraId="082ECF58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6DB24D2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40205CD6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49661B3" w14:textId="15517997" w:rsidR="00B726A8" w:rsidRPr="00B726A8" w:rsidRDefault="00B726A8" w:rsidP="002E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7790B">
              <w:rPr>
                <w:rFonts w:ascii="Times New Roman" w:eastAsia="Times New Roman" w:hAnsi="Times New Roman" w:cs="Times New Roman"/>
                <w:sz w:val="24"/>
                <w:szCs w:val="24"/>
              </w:rPr>
              <w:t>Noteikumu projekts neietekmē Latvijas Bankas budžeta ieņēmumus un izdevumus.</w:t>
            </w:r>
          </w:p>
        </w:tc>
      </w:tr>
      <w:tr w:rsidR="00B726A8" w:rsidRPr="000B4E0A" w14:paraId="7F0FBE50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06D5291B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sloga un izmaksu novērtējums (tirgus dalībniekiem)</w:t>
            </w:r>
          </w:p>
          <w:p w14:paraId="3A96A4E2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0405528" w14:textId="1113CAD4" w:rsidR="00856760" w:rsidRPr="009B27BE" w:rsidRDefault="00DE3D16" w:rsidP="00856760">
            <w:pPr>
              <w:pStyle w:val="Default"/>
              <w:jc w:val="both"/>
              <w:rPr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>Ņ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emot vērā to, ka Noteikumu projekt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>s paredz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 strukturālas 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 xml:space="preserve">sniedzamās informācijas 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izmaiņas un informācija 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 xml:space="preserve">kredītiestādēm 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ir jāsniedz par klient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>u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 veiktajiem maksājumiem neatkarīgi no tā, kāda maksājumu sistēma ir izmantota maksājuma veikšanai, 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 xml:space="preserve">ir paredzēts, ka </w:t>
            </w:r>
            <w:r w:rsidR="00B726A8" w:rsidRPr="00530F50">
              <w:rPr>
                <w:rFonts w:eastAsia="Times New Roman"/>
                <w:color w:val="000000" w:themeColor="text1"/>
                <w:lang w:eastAsia="lv-LV"/>
              </w:rPr>
              <w:t>Noteikum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u projekts</w:t>
            </w:r>
            <w:r w:rsidR="00B726A8" w:rsidRPr="00530F50">
              <w:rPr>
                <w:rFonts w:eastAsia="Times New Roman"/>
                <w:color w:val="000000" w:themeColor="text1"/>
                <w:lang w:eastAsia="lv-LV"/>
              </w:rPr>
              <w:t xml:space="preserve"> stāsies spēkā 2025. gada 1. janvārī, 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 xml:space="preserve">un 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attiecībā uz </w:t>
            </w:r>
            <w:r w:rsidR="004E15E5">
              <w:rPr>
                <w:rFonts w:eastAsia="Times New Roman"/>
                <w:color w:val="000000" w:themeColor="text1"/>
                <w:lang w:eastAsia="lv-LV"/>
              </w:rPr>
              <w:t>p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ārskata </w:t>
            </w:r>
            <w:r w:rsidR="00AF6252">
              <w:rPr>
                <w:rFonts w:eastAsia="Times New Roman"/>
                <w:color w:val="000000" w:themeColor="text1"/>
                <w:lang w:eastAsia="lv-LV"/>
              </w:rPr>
              <w:t>par 2025.</w:t>
            </w:r>
            <w:r w:rsidR="00856760">
              <w:rPr>
                <w:rFonts w:eastAsia="Times New Roman"/>
                <w:color w:val="000000" w:themeColor="text1"/>
                <w:lang w:eastAsia="lv-LV"/>
              </w:rPr>
              <w:t> </w:t>
            </w:r>
            <w:r w:rsidR="00AF6252">
              <w:rPr>
                <w:rFonts w:eastAsia="Times New Roman"/>
                <w:color w:val="000000" w:themeColor="text1"/>
                <w:lang w:eastAsia="lv-LV"/>
              </w:rPr>
              <w:t xml:space="preserve">gada </w:t>
            </w:r>
            <w:r w:rsidR="00C80FDD">
              <w:rPr>
                <w:rFonts w:eastAsia="Times New Roman"/>
                <w:color w:val="000000" w:themeColor="text1"/>
                <w:lang w:eastAsia="lv-LV"/>
              </w:rPr>
              <w:t>1. </w:t>
            </w:r>
            <w:r w:rsidR="00AF6252">
              <w:rPr>
                <w:rFonts w:eastAsia="Times New Roman"/>
                <w:color w:val="000000" w:themeColor="text1"/>
                <w:lang w:eastAsia="lv-LV"/>
              </w:rPr>
              <w:t>ceturk</w:t>
            </w:r>
            <w:r w:rsidR="00C80FDD">
              <w:rPr>
                <w:rFonts w:eastAsia="Times New Roman"/>
                <w:color w:val="000000" w:themeColor="text1"/>
                <w:lang w:eastAsia="lv-LV"/>
              </w:rPr>
              <w:t xml:space="preserve">sni un </w:t>
            </w:r>
            <w:r w:rsidR="00C80FDD">
              <w:rPr>
                <w:rFonts w:eastAsia="Times New Roman"/>
                <w:color w:val="000000" w:themeColor="text1"/>
                <w:lang w:eastAsia="lv-LV"/>
              </w:rPr>
              <w:lastRenderedPageBreak/>
              <w:t>2025. gada 2.</w:t>
            </w:r>
            <w:r w:rsidR="00C80FDD">
              <w:t>ceturksni</w:t>
            </w:r>
            <w:r w:rsidR="00AF6252">
              <w:rPr>
                <w:rFonts w:eastAsia="Times New Roman"/>
                <w:color w:val="000000" w:themeColor="text1"/>
                <w:lang w:eastAsia="lv-LV"/>
              </w:rPr>
              <w:t xml:space="preserve"> 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iesniegšan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>as termiņu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 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 xml:space="preserve">ir 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paredz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>ēts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 xml:space="preserve"> pārejas regulējum</w:t>
            </w:r>
            <w:r w:rsidR="00DF6533">
              <w:rPr>
                <w:rFonts w:eastAsia="Times New Roman"/>
                <w:color w:val="000000" w:themeColor="text1"/>
                <w:lang w:eastAsia="lv-LV"/>
              </w:rPr>
              <w:t>s</w:t>
            </w:r>
            <w:r w:rsidR="00B726A8">
              <w:rPr>
                <w:rFonts w:eastAsia="Times New Roman"/>
                <w:color w:val="000000" w:themeColor="text1"/>
                <w:lang w:eastAsia="lv-LV"/>
              </w:rPr>
              <w:t>.</w:t>
            </w:r>
          </w:p>
        </w:tc>
      </w:tr>
      <w:tr w:rsidR="00B726A8" w:rsidRPr="000B4E0A" w14:paraId="2897649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A04FAA7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Saistītie dokumenti</w:t>
            </w:r>
          </w:p>
          <w:p w14:paraId="4C10883F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84362A2" w14:textId="432CBA7F" w:rsidR="00B726A8" w:rsidRDefault="00DF6533" w:rsidP="00780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6" w:hanging="31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07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781F39" w:rsidRPr="003B07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ikums</w:t>
            </w:r>
            <w:r w:rsidR="00780C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06E84BC2" w14:textId="77777777" w:rsidR="00780C32" w:rsidRDefault="00780C32" w:rsidP="00780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6" w:hanging="31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Nr. 183;</w:t>
            </w:r>
          </w:p>
          <w:p w14:paraId="3147BFD7" w14:textId="330AE592" w:rsidR="00780C32" w:rsidRPr="003B0786" w:rsidRDefault="00780C32" w:rsidP="003B078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6" w:hanging="316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80C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2022. gada 24. oktobra noteikumi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780C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 "Noteikumi par elektronisko informācijas apmaiņu ar Latvijas Banku"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B726A8" w:rsidRPr="000B4E0A" w14:paraId="5650BFD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2FB95C7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18ADDCB8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0F9481F" w14:textId="49C6628C" w:rsidR="00B726A8" w:rsidRPr="00781F39" w:rsidRDefault="00781F39" w:rsidP="0085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Noteikumu projekts nav jāsaskaņo ar Eiropas Centrālo banku.</w:t>
            </w:r>
          </w:p>
        </w:tc>
      </w:tr>
      <w:tr w:rsidR="00B726A8" w:rsidRPr="000B4E0A" w14:paraId="7700B0A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2DBF770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7BB07234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4C989C3" w14:textId="557A1DF2" w:rsidR="00AB73FA" w:rsidRDefault="00781F39" w:rsidP="00AB73FA">
            <w:pPr>
              <w:widowControl w:val="0"/>
              <w:spacing w:after="120"/>
              <w:jc w:val="both"/>
              <w:rPr>
                <w:rFonts w:cs="Times New Roman"/>
                <w:szCs w:val="24"/>
              </w:rPr>
            </w:pP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Noteikumu projekts </w:t>
            </w:r>
            <w:r w:rsid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2024. gada 23. oktobrī </w:t>
            </w:r>
            <w:r w:rsidR="00AB73FA"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tika publicēts Latvijas Bankas tīmekļvietnes </w:t>
            </w:r>
            <w:hyperlink r:id="rId11" w:history="1">
              <w:r w:rsidR="00AB73FA" w:rsidRPr="00AB73FA">
                <w:rPr>
                  <w:rFonts w:ascii="Times New Roman" w:hAnsi="Times New Roman"/>
                  <w:color w:val="000000" w:themeColor="text1"/>
                  <w:sz w:val="24"/>
                </w:rPr>
                <w:t>www.bank.lv</w:t>
              </w:r>
            </w:hyperlink>
            <w:r w:rsidR="00AB73FA"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sadaļā "Sabiedrības līdzdalība", aicinot priekšlikumus iesniegt līdz </w:t>
            </w:r>
            <w:r w:rsid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2024. gada 6. novembrim</w:t>
            </w:r>
            <w:r w:rsidR="00AB73FA"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B73FA">
              <w:rPr>
                <w:rFonts w:cs="Times New Roman"/>
                <w:szCs w:val="24"/>
              </w:rPr>
              <w:t xml:space="preserve"> </w:t>
            </w:r>
          </w:p>
          <w:p w14:paraId="4F1F0AB3" w14:textId="530334E4" w:rsidR="00856760" w:rsidRPr="00530F50" w:rsidRDefault="00AB73FA" w:rsidP="008567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Vienlaikus par </w:t>
            </w:r>
            <w:r w:rsidR="00E27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oteikumu projektu un notiekošo sabiedrības līdzdalību tika informēti finan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šu tirgus dalībniek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</w:t>
            </w:r>
            <w:r w:rsidR="00AF62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urie</w:t>
            </w:r>
            <w:r w:rsidR="00781F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77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oteikumu projekts ir saistošs</w:t>
            </w:r>
            <w:r w:rsidR="00AF62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 tos pārstāvo</w:t>
            </w:r>
            <w:r w:rsidR="00781F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="00781F39"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ās profesionālās asociācijas. </w:t>
            </w:r>
          </w:p>
          <w:p w14:paraId="3B1A3219" w14:textId="1AA4FD3D" w:rsidR="00856760" w:rsidRPr="00781F39" w:rsidRDefault="00856760" w:rsidP="0085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726A8" w:rsidRPr="000B4E0A" w14:paraId="1522D2F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08548F6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444CE700" w14:textId="77777777" w:rsidR="00B726A8" w:rsidRPr="00E253DA" w:rsidRDefault="00B726A8" w:rsidP="00B72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546B88D" w14:textId="3537C942" w:rsidR="00856760" w:rsidRPr="00781F39" w:rsidRDefault="00AB73FA" w:rsidP="0085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Sabiedrības līdzdalības rezultātā par </w:t>
            </w:r>
            <w:r w:rsidR="00691F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AB7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oteikumu projektu netika saņemti iebildumi vai priekšlikumi.</w:t>
            </w:r>
          </w:p>
        </w:tc>
      </w:tr>
    </w:tbl>
    <w:p w14:paraId="7404FE9C" w14:textId="77777777" w:rsidR="009B27BE" w:rsidRDefault="009B27BE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A8AA8B" w14:textId="77777777" w:rsidR="00E53DE9" w:rsidRPr="000B4E0A" w:rsidRDefault="00E53DE9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7E313B">
      <w:headerReference w:type="default" r:id="rId12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55A4E" w14:textId="77777777" w:rsidR="008B2E7B" w:rsidRDefault="008B2E7B" w:rsidP="009B27BE">
      <w:pPr>
        <w:spacing w:after="0" w:line="240" w:lineRule="auto"/>
      </w:pPr>
      <w:r>
        <w:separator/>
      </w:r>
    </w:p>
  </w:endnote>
  <w:endnote w:type="continuationSeparator" w:id="0">
    <w:p w14:paraId="140FB30B" w14:textId="77777777" w:rsidR="008B2E7B" w:rsidRDefault="008B2E7B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3CF47" w14:textId="77777777" w:rsidR="008B2E7B" w:rsidRDefault="008B2E7B" w:rsidP="009B27BE">
      <w:pPr>
        <w:spacing w:after="0" w:line="240" w:lineRule="auto"/>
      </w:pPr>
      <w:r>
        <w:separator/>
      </w:r>
    </w:p>
  </w:footnote>
  <w:footnote w:type="continuationSeparator" w:id="0">
    <w:p w14:paraId="1A9CCB5F" w14:textId="77777777" w:rsidR="008B2E7B" w:rsidRDefault="008B2E7B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4674BD0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9D42EBE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55172"/>
    <w:multiLevelType w:val="hybridMultilevel"/>
    <w:tmpl w:val="C65E9190"/>
    <w:lvl w:ilvl="0" w:tplc="04260001">
      <w:start w:val="1"/>
      <w:numFmt w:val="bullet"/>
      <w:lvlText w:val=""/>
      <w:lvlJc w:val="left"/>
      <w:pPr>
        <w:ind w:left="-582" w:hanging="42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78" w:hanging="360"/>
      </w:pPr>
    </w:lvl>
    <w:lvl w:ilvl="2" w:tplc="0426001B" w:tentative="1">
      <w:start w:val="1"/>
      <w:numFmt w:val="lowerRoman"/>
      <w:lvlText w:val="%3."/>
      <w:lvlJc w:val="right"/>
      <w:pPr>
        <w:ind w:left="798" w:hanging="180"/>
      </w:pPr>
    </w:lvl>
    <w:lvl w:ilvl="3" w:tplc="0426000F" w:tentative="1">
      <w:start w:val="1"/>
      <w:numFmt w:val="decimal"/>
      <w:lvlText w:val="%4."/>
      <w:lvlJc w:val="left"/>
      <w:pPr>
        <w:ind w:left="1518" w:hanging="360"/>
      </w:pPr>
    </w:lvl>
    <w:lvl w:ilvl="4" w:tplc="04260019" w:tentative="1">
      <w:start w:val="1"/>
      <w:numFmt w:val="lowerLetter"/>
      <w:lvlText w:val="%5."/>
      <w:lvlJc w:val="left"/>
      <w:pPr>
        <w:ind w:left="2238" w:hanging="360"/>
      </w:pPr>
    </w:lvl>
    <w:lvl w:ilvl="5" w:tplc="0426001B" w:tentative="1">
      <w:start w:val="1"/>
      <w:numFmt w:val="lowerRoman"/>
      <w:lvlText w:val="%6."/>
      <w:lvlJc w:val="right"/>
      <w:pPr>
        <w:ind w:left="2958" w:hanging="180"/>
      </w:pPr>
    </w:lvl>
    <w:lvl w:ilvl="6" w:tplc="0426000F" w:tentative="1">
      <w:start w:val="1"/>
      <w:numFmt w:val="decimal"/>
      <w:lvlText w:val="%7."/>
      <w:lvlJc w:val="left"/>
      <w:pPr>
        <w:ind w:left="3678" w:hanging="360"/>
      </w:pPr>
    </w:lvl>
    <w:lvl w:ilvl="7" w:tplc="04260019" w:tentative="1">
      <w:start w:val="1"/>
      <w:numFmt w:val="lowerLetter"/>
      <w:lvlText w:val="%8."/>
      <w:lvlJc w:val="left"/>
      <w:pPr>
        <w:ind w:left="4398" w:hanging="360"/>
      </w:pPr>
    </w:lvl>
    <w:lvl w:ilvl="8" w:tplc="0426001B" w:tentative="1">
      <w:start w:val="1"/>
      <w:numFmt w:val="lowerRoman"/>
      <w:lvlText w:val="%9."/>
      <w:lvlJc w:val="right"/>
      <w:pPr>
        <w:ind w:left="5118" w:hanging="180"/>
      </w:pPr>
    </w:lvl>
  </w:abstractNum>
  <w:abstractNum w:abstractNumId="1" w15:restartNumberingAfterBreak="0">
    <w:nsid w:val="27285FD0"/>
    <w:multiLevelType w:val="hybridMultilevel"/>
    <w:tmpl w:val="0502581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12E68"/>
    <w:multiLevelType w:val="hybridMultilevel"/>
    <w:tmpl w:val="B14650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164C4"/>
    <w:multiLevelType w:val="hybridMultilevel"/>
    <w:tmpl w:val="32C055D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C5546"/>
    <w:multiLevelType w:val="hybridMultilevel"/>
    <w:tmpl w:val="E398C434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E1EAF"/>
    <w:multiLevelType w:val="hybridMultilevel"/>
    <w:tmpl w:val="29D8BD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B6733"/>
    <w:multiLevelType w:val="hybridMultilevel"/>
    <w:tmpl w:val="D9E26B2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543AD"/>
    <w:multiLevelType w:val="hybridMultilevel"/>
    <w:tmpl w:val="98F67E4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B7D32"/>
    <w:multiLevelType w:val="multilevel"/>
    <w:tmpl w:val="D07CAC0C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850" w:firstLine="0"/>
      </w:pPr>
      <w:rPr>
        <w:rFonts w:hint="default"/>
        <w:b w:val="0"/>
        <w:b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567" w:firstLine="0"/>
      </w:pPr>
      <w:rPr>
        <w:rFonts w:hint="default"/>
        <w:color w:val="000000" w:themeColor="text1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9FA6BD6"/>
    <w:multiLevelType w:val="hybridMultilevel"/>
    <w:tmpl w:val="0A968744"/>
    <w:lvl w:ilvl="0" w:tplc="042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12562"/>
    <w:multiLevelType w:val="hybridMultilevel"/>
    <w:tmpl w:val="BF6E5F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129373">
    <w:abstractNumId w:val="8"/>
  </w:num>
  <w:num w:numId="2" w16cid:durableId="413283064">
    <w:abstractNumId w:val="3"/>
  </w:num>
  <w:num w:numId="3" w16cid:durableId="874081452">
    <w:abstractNumId w:val="7"/>
  </w:num>
  <w:num w:numId="4" w16cid:durableId="476142724">
    <w:abstractNumId w:val="1"/>
  </w:num>
  <w:num w:numId="5" w16cid:durableId="871575340">
    <w:abstractNumId w:val="5"/>
  </w:num>
  <w:num w:numId="6" w16cid:durableId="354234707">
    <w:abstractNumId w:val="9"/>
  </w:num>
  <w:num w:numId="7" w16cid:durableId="1161315318">
    <w:abstractNumId w:val="2"/>
  </w:num>
  <w:num w:numId="8" w16cid:durableId="2016955209">
    <w:abstractNumId w:val="10"/>
  </w:num>
  <w:num w:numId="9" w16cid:durableId="1525825158">
    <w:abstractNumId w:val="0"/>
  </w:num>
  <w:num w:numId="10" w16cid:durableId="1739471327">
    <w:abstractNumId w:val="4"/>
  </w:num>
  <w:num w:numId="11" w16cid:durableId="10012737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9E"/>
    <w:rsid w:val="000263F5"/>
    <w:rsid w:val="00030D71"/>
    <w:rsid w:val="0008510E"/>
    <w:rsid w:val="0009616F"/>
    <w:rsid w:val="000A5E73"/>
    <w:rsid w:val="000B4E0A"/>
    <w:rsid w:val="000B5AA1"/>
    <w:rsid w:val="000C28D7"/>
    <w:rsid w:val="00132070"/>
    <w:rsid w:val="00133F6A"/>
    <w:rsid w:val="001409A6"/>
    <w:rsid w:val="00143A48"/>
    <w:rsid w:val="00162F91"/>
    <w:rsid w:val="001730AD"/>
    <w:rsid w:val="001A5171"/>
    <w:rsid w:val="001B0B6F"/>
    <w:rsid w:val="001C3A5B"/>
    <w:rsid w:val="00205A78"/>
    <w:rsid w:val="00206F9E"/>
    <w:rsid w:val="00265876"/>
    <w:rsid w:val="00277869"/>
    <w:rsid w:val="002C576C"/>
    <w:rsid w:val="002D3F40"/>
    <w:rsid w:val="002E20AB"/>
    <w:rsid w:val="002E5459"/>
    <w:rsid w:val="003344C2"/>
    <w:rsid w:val="0038500C"/>
    <w:rsid w:val="003A0D4F"/>
    <w:rsid w:val="003B0786"/>
    <w:rsid w:val="003B481B"/>
    <w:rsid w:val="003C4FFA"/>
    <w:rsid w:val="003E43A1"/>
    <w:rsid w:val="0042772B"/>
    <w:rsid w:val="004921E9"/>
    <w:rsid w:val="0049248A"/>
    <w:rsid w:val="00495FAD"/>
    <w:rsid w:val="004A0498"/>
    <w:rsid w:val="004C34DA"/>
    <w:rsid w:val="004C594E"/>
    <w:rsid w:val="004E15E5"/>
    <w:rsid w:val="00500EC7"/>
    <w:rsid w:val="00521962"/>
    <w:rsid w:val="00544957"/>
    <w:rsid w:val="00592C07"/>
    <w:rsid w:val="005A30A4"/>
    <w:rsid w:val="005B3E28"/>
    <w:rsid w:val="005D18B1"/>
    <w:rsid w:val="005D5918"/>
    <w:rsid w:val="005F1A5C"/>
    <w:rsid w:val="0060016E"/>
    <w:rsid w:val="00625C76"/>
    <w:rsid w:val="00642172"/>
    <w:rsid w:val="00691F2E"/>
    <w:rsid w:val="006B1A7D"/>
    <w:rsid w:val="006C6A30"/>
    <w:rsid w:val="00726EF5"/>
    <w:rsid w:val="00756820"/>
    <w:rsid w:val="00762371"/>
    <w:rsid w:val="00780C32"/>
    <w:rsid w:val="00781F39"/>
    <w:rsid w:val="00790CDB"/>
    <w:rsid w:val="007B7C76"/>
    <w:rsid w:val="007E313B"/>
    <w:rsid w:val="007E6176"/>
    <w:rsid w:val="00856760"/>
    <w:rsid w:val="00867AE4"/>
    <w:rsid w:val="0087040A"/>
    <w:rsid w:val="00875E25"/>
    <w:rsid w:val="008B2E7B"/>
    <w:rsid w:val="00920831"/>
    <w:rsid w:val="009318F0"/>
    <w:rsid w:val="00955DBB"/>
    <w:rsid w:val="00965649"/>
    <w:rsid w:val="00974F26"/>
    <w:rsid w:val="009B27BE"/>
    <w:rsid w:val="009C18B0"/>
    <w:rsid w:val="009C3477"/>
    <w:rsid w:val="009D3982"/>
    <w:rsid w:val="009D69BC"/>
    <w:rsid w:val="00A0418B"/>
    <w:rsid w:val="00A42788"/>
    <w:rsid w:val="00A64FA4"/>
    <w:rsid w:val="00A877D7"/>
    <w:rsid w:val="00AB73FA"/>
    <w:rsid w:val="00AC37FB"/>
    <w:rsid w:val="00AF6252"/>
    <w:rsid w:val="00B157CF"/>
    <w:rsid w:val="00B239A5"/>
    <w:rsid w:val="00B62244"/>
    <w:rsid w:val="00B726A8"/>
    <w:rsid w:val="00B95DAB"/>
    <w:rsid w:val="00C3427F"/>
    <w:rsid w:val="00C63983"/>
    <w:rsid w:val="00C80FDD"/>
    <w:rsid w:val="00C85C34"/>
    <w:rsid w:val="00CA28AB"/>
    <w:rsid w:val="00CB0A35"/>
    <w:rsid w:val="00CD0684"/>
    <w:rsid w:val="00CD52C9"/>
    <w:rsid w:val="00CE3CB6"/>
    <w:rsid w:val="00D1074F"/>
    <w:rsid w:val="00D15675"/>
    <w:rsid w:val="00D17D5D"/>
    <w:rsid w:val="00D434D2"/>
    <w:rsid w:val="00D508D3"/>
    <w:rsid w:val="00D943B9"/>
    <w:rsid w:val="00DD67DE"/>
    <w:rsid w:val="00DE3D16"/>
    <w:rsid w:val="00DF6533"/>
    <w:rsid w:val="00E04474"/>
    <w:rsid w:val="00E1123E"/>
    <w:rsid w:val="00E22CA3"/>
    <w:rsid w:val="00E253DA"/>
    <w:rsid w:val="00E27D65"/>
    <w:rsid w:val="00E53DE9"/>
    <w:rsid w:val="00E579E2"/>
    <w:rsid w:val="00E60064"/>
    <w:rsid w:val="00EB261C"/>
    <w:rsid w:val="00EF330D"/>
    <w:rsid w:val="00F025F7"/>
    <w:rsid w:val="00F80F96"/>
    <w:rsid w:val="00F825B7"/>
    <w:rsid w:val="00FA4B91"/>
    <w:rsid w:val="00FC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E00A"/>
  <w15:chartTrackingRefBased/>
  <w15:docId w15:val="{C0A5A493-8A48-46A9-AE63-3BC60091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customStyle="1" w:styleId="NApunkts1">
    <w:name w:val="NA punkts 1"/>
    <w:basedOn w:val="Normal"/>
    <w:link w:val="NApunkts1Rakstz"/>
    <w:qFormat/>
    <w:rsid w:val="00206F9E"/>
    <w:pPr>
      <w:numPr>
        <w:numId w:val="1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206F9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206F9E"/>
    <w:pPr>
      <w:keepLines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206F9E"/>
    <w:pPr>
      <w:keepLines/>
      <w:numPr>
        <w:ilvl w:val="2"/>
        <w:numId w:val="1"/>
      </w:numPr>
      <w:spacing w:after="0" w:line="240" w:lineRule="auto"/>
      <w:ind w:left="0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206F9E"/>
    <w:pPr>
      <w:keepLines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Paragraphe EI,Paragraphe de liste1,EC,Dot pt,List Paragraph1,Colorful List - Accent 11,No Spacing1,List Paragraph Char Char Char,Indicator Text,Numbered Para 1,Bullet 1,F5 List Paragraph,Bullet Points,List Paragraph2,List Paragraph12"/>
    <w:basedOn w:val="Normal"/>
    <w:link w:val="ListParagraphChar"/>
    <w:uiPriority w:val="34"/>
    <w:qFormat/>
    <w:rsid w:val="005D5918"/>
    <w:pPr>
      <w:ind w:left="720"/>
      <w:contextualSpacing/>
    </w:pPr>
  </w:style>
  <w:style w:type="character" w:customStyle="1" w:styleId="cf01">
    <w:name w:val="cf01"/>
    <w:basedOn w:val="DefaultParagraphFont"/>
    <w:rsid w:val="00B726A8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B726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Paragraphe EI Char,Paragraphe de liste1 Char,EC Char,Dot pt Char,List Paragraph1 Char,Colorful List - Accent 11 Char,No Spacing1 Char,List Paragraph Char Char Char Char,Indicator Text Char,Numbered Para 1 Char,Bullet 1 Char"/>
    <w:link w:val="ListParagraph"/>
    <w:uiPriority w:val="34"/>
    <w:qFormat/>
    <w:locked/>
    <w:rsid w:val="00974F26"/>
  </w:style>
  <w:style w:type="paragraph" w:styleId="Revision">
    <w:name w:val="Revision"/>
    <w:hidden/>
    <w:uiPriority w:val="99"/>
    <w:semiHidden/>
    <w:rsid w:val="00D434D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E15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5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5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5E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57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nk.l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079D6D53CA340E680F77592DCFF0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49C74-C748-4240-8FB1-1B197F385865}"/>
      </w:docPartPr>
      <w:docPartBody>
        <w:p w:rsidR="00FD40D5" w:rsidRDefault="00FD40D5" w:rsidP="00FD40D5">
          <w:pPr>
            <w:pStyle w:val="4079D6D53CA340E680F77592DCFF0A8F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D8F2CD095FF44F20BBCFB36EB8C1F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531B5-DD9C-48DD-AD49-8D0B2E504C6F}"/>
      </w:docPartPr>
      <w:docPartBody>
        <w:p w:rsidR="00FD40D5" w:rsidRDefault="00FD40D5" w:rsidP="00FD40D5">
          <w:pPr>
            <w:pStyle w:val="D8F2CD095FF44F20BBCFB36EB8C1FDE2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D5"/>
    <w:rsid w:val="000C28D7"/>
    <w:rsid w:val="001730AD"/>
    <w:rsid w:val="0038500C"/>
    <w:rsid w:val="0042772B"/>
    <w:rsid w:val="00521962"/>
    <w:rsid w:val="005A30A4"/>
    <w:rsid w:val="005D18B1"/>
    <w:rsid w:val="005F1A5C"/>
    <w:rsid w:val="009318F0"/>
    <w:rsid w:val="00955DBB"/>
    <w:rsid w:val="009C18B0"/>
    <w:rsid w:val="009D3982"/>
    <w:rsid w:val="00A51AFB"/>
    <w:rsid w:val="00D15675"/>
    <w:rsid w:val="00D943B9"/>
    <w:rsid w:val="00DD67DE"/>
    <w:rsid w:val="00E1123E"/>
    <w:rsid w:val="00E22CA3"/>
    <w:rsid w:val="00F025F7"/>
    <w:rsid w:val="00FD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40D5"/>
  </w:style>
  <w:style w:type="paragraph" w:customStyle="1" w:styleId="4079D6D53CA340E680F77592DCFF0A8F">
    <w:name w:val="4079D6D53CA340E680F77592DCFF0A8F"/>
    <w:rsid w:val="00FD40D5"/>
  </w:style>
  <w:style w:type="paragraph" w:customStyle="1" w:styleId="D8F2CD095FF44F20BBCFB36EB8C1FDE2">
    <w:name w:val="D8F2CD095FF44F20BBCFB36EB8C1FDE2"/>
    <w:rsid w:val="00FD4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3</TotalTime>
  <Pages>5</Pages>
  <Words>6594</Words>
  <Characters>3759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 Zarečņeva</dc:creator>
  <cp:keywords/>
  <dc:description/>
  <cp:lastModifiedBy>Ilze Grava</cp:lastModifiedBy>
  <cp:revision>5</cp:revision>
  <cp:lastPrinted>2024-10-22T07:12:00Z</cp:lastPrinted>
  <dcterms:created xsi:type="dcterms:W3CDTF">2024-11-07T10:33:00Z</dcterms:created>
  <dcterms:modified xsi:type="dcterms:W3CDTF">2024-11-11T09:32:00Z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