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4D4ACDDB" w:rsidR="006C3828" w:rsidRPr="00894D21" w:rsidRDefault="006C3828" w:rsidP="00894D21">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r w:rsidR="00873B9E" w:rsidRPr="00873B9E">
        <w:rPr>
          <w:rFonts w:ascii="Times New Roman" w:hAnsi="Times New Roman" w:cs="Times New Roman"/>
          <w:b/>
          <w:bCs/>
          <w:sz w:val="24"/>
          <w:szCs w:val="24"/>
        </w:rPr>
        <w:t>Kredītiestādei specifiskās pretcikliskās kapitāla rezerves normas aprēķināšanas noteikumi</w:t>
      </w:r>
      <w:r w:rsidRPr="00894D21">
        <w:rPr>
          <w:rFonts w:ascii="Times New Roman" w:hAnsi="Times New Roman" w:cs="Times New Roman"/>
          <w:b/>
          <w:bCs/>
          <w:sz w:val="24"/>
          <w:szCs w:val="24"/>
        </w:rPr>
        <w:t>" anotācija</w:t>
      </w:r>
    </w:p>
    <w:p w14:paraId="328163FB" w14:textId="77777777" w:rsidR="006C3828" w:rsidRPr="00894D21" w:rsidRDefault="006C3828" w:rsidP="00AD0DA2">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220"/>
      </w:tblGrid>
      <w:tr w:rsidR="006C3828" w:rsidRPr="00894D21" w14:paraId="2962AEE1" w14:textId="77777777" w:rsidTr="004B6ED3">
        <w:trPr>
          <w:trHeight w:val="567"/>
        </w:trPr>
        <w:tc>
          <w:tcPr>
            <w:tcW w:w="987" w:type="pct"/>
            <w:shd w:val="clear" w:color="auto" w:fill="auto"/>
            <w:hideMark/>
          </w:tcPr>
          <w:p w14:paraId="04926FAB" w14:textId="7EB8B2F4"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tc>
        <w:tc>
          <w:tcPr>
            <w:tcW w:w="4013" w:type="pct"/>
            <w:shd w:val="clear" w:color="auto" w:fill="auto"/>
          </w:tcPr>
          <w:p w14:paraId="00D2931F" w14:textId="618D88EE" w:rsidR="006C3828" w:rsidRPr="00894D21" w:rsidRDefault="00873B9E" w:rsidP="0037089C">
            <w:pPr>
              <w:spacing w:after="120" w:line="240" w:lineRule="auto"/>
              <w:jc w:val="both"/>
              <w:rPr>
                <w:rFonts w:ascii="Times New Roman" w:eastAsia="Times New Roman" w:hAnsi="Times New Roman" w:cs="Times New Roman"/>
                <w:sz w:val="24"/>
                <w:szCs w:val="24"/>
                <w:lang w:eastAsia="lv-LV"/>
              </w:rPr>
            </w:pPr>
            <w:bookmarkStart w:id="0" w:name="_Hlk175736195"/>
            <w:r w:rsidRPr="00873B9E">
              <w:rPr>
                <w:rFonts w:ascii="Times New Roman" w:eastAsia="Times New Roman" w:hAnsi="Times New Roman" w:cs="Times New Roman"/>
                <w:sz w:val="24"/>
                <w:szCs w:val="24"/>
                <w:lang w:eastAsia="lv-LV"/>
              </w:rPr>
              <w:t>Kredītiestādei specifiskās pretcikliskās kapitāla rezerves normas aprēķināšanas noteikumi</w:t>
            </w:r>
            <w:bookmarkEnd w:id="0"/>
          </w:p>
        </w:tc>
      </w:tr>
      <w:tr w:rsidR="006C3828" w:rsidRPr="00894D21" w14:paraId="7F11A741" w14:textId="77777777" w:rsidTr="004B6ED3">
        <w:trPr>
          <w:trHeight w:val="395"/>
        </w:trPr>
        <w:tc>
          <w:tcPr>
            <w:tcW w:w="987" w:type="pct"/>
            <w:shd w:val="clear" w:color="auto" w:fill="auto"/>
            <w:hideMark/>
          </w:tcPr>
          <w:p w14:paraId="0F0B9B60" w14:textId="4F6C0997"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tc>
        <w:tc>
          <w:tcPr>
            <w:tcW w:w="4013" w:type="pct"/>
            <w:shd w:val="clear" w:color="auto" w:fill="auto"/>
          </w:tcPr>
          <w:p w14:paraId="4B5460C8" w14:textId="77777777"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4B6ED3">
        <w:trPr>
          <w:trHeight w:val="567"/>
        </w:trPr>
        <w:tc>
          <w:tcPr>
            <w:tcW w:w="987" w:type="pct"/>
            <w:shd w:val="clear" w:color="auto" w:fill="auto"/>
            <w:hideMark/>
          </w:tcPr>
          <w:p w14:paraId="360069FD" w14:textId="221309CF"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Izdošanas pamatojums</w:t>
            </w:r>
          </w:p>
        </w:tc>
        <w:tc>
          <w:tcPr>
            <w:tcW w:w="4013" w:type="pct"/>
            <w:shd w:val="clear" w:color="auto" w:fill="auto"/>
          </w:tcPr>
          <w:p w14:paraId="48EEF1AA" w14:textId="3F8185BB" w:rsidR="006C3828" w:rsidRPr="00894D21" w:rsidRDefault="008471F6" w:rsidP="0037089C">
            <w:pPr>
              <w:spacing w:after="120" w:line="240" w:lineRule="auto"/>
              <w:jc w:val="both"/>
              <w:rPr>
                <w:rFonts w:ascii="Times New Roman" w:eastAsia="Times New Roman" w:hAnsi="Times New Roman" w:cs="Times New Roman"/>
                <w:sz w:val="24"/>
                <w:szCs w:val="24"/>
                <w:lang w:eastAsia="lv-LV"/>
              </w:rPr>
            </w:pPr>
            <w:r w:rsidRPr="008471F6">
              <w:rPr>
                <w:rFonts w:ascii="Times New Roman" w:eastAsia="Times New Roman" w:hAnsi="Times New Roman" w:cs="Times New Roman"/>
                <w:sz w:val="24"/>
                <w:szCs w:val="24"/>
                <w:lang w:eastAsia="lv-LV"/>
              </w:rPr>
              <w:t>Kredītiestāžu likuma</w:t>
            </w:r>
            <w:r w:rsidR="00873B9E">
              <w:rPr>
                <w:rFonts w:ascii="Times New Roman" w:eastAsia="Times New Roman" w:hAnsi="Times New Roman" w:cs="Times New Roman"/>
                <w:sz w:val="24"/>
                <w:szCs w:val="24"/>
                <w:lang w:eastAsia="lv-LV"/>
              </w:rPr>
              <w:t xml:space="preserve"> </w:t>
            </w:r>
            <w:r w:rsidRPr="008471F6">
              <w:rPr>
                <w:rFonts w:ascii="Times New Roman" w:eastAsia="Times New Roman" w:hAnsi="Times New Roman" w:cs="Times New Roman"/>
                <w:sz w:val="24"/>
                <w:szCs w:val="24"/>
                <w:lang w:eastAsia="lv-LV"/>
              </w:rPr>
              <w:t>3</w:t>
            </w:r>
            <w:r w:rsidR="00873B9E">
              <w:rPr>
                <w:rFonts w:ascii="Times New Roman" w:eastAsia="Times New Roman" w:hAnsi="Times New Roman" w:cs="Times New Roman"/>
                <w:sz w:val="24"/>
                <w:szCs w:val="24"/>
                <w:lang w:eastAsia="lv-LV"/>
              </w:rPr>
              <w:t>5</w:t>
            </w:r>
            <w:r w:rsidRPr="008471F6">
              <w:rPr>
                <w:rFonts w:ascii="Times New Roman" w:eastAsia="Times New Roman" w:hAnsi="Times New Roman" w:cs="Times New Roman"/>
                <w:sz w:val="24"/>
                <w:szCs w:val="24"/>
                <w:lang w:eastAsia="lv-LV"/>
              </w:rPr>
              <w:t>.</w:t>
            </w:r>
            <w:r w:rsidR="00873B9E">
              <w:rPr>
                <w:rFonts w:ascii="Times New Roman" w:eastAsia="Times New Roman" w:hAnsi="Times New Roman" w:cs="Times New Roman"/>
                <w:sz w:val="24"/>
                <w:szCs w:val="24"/>
                <w:vertAlign w:val="superscript"/>
                <w:lang w:eastAsia="lv-LV"/>
              </w:rPr>
              <w:t>8</w:t>
            </w:r>
            <w:r w:rsidR="005C49E0">
              <w:rPr>
                <w:rFonts w:ascii="Times New Roman" w:eastAsia="Times New Roman" w:hAnsi="Times New Roman" w:cs="Times New Roman"/>
                <w:sz w:val="24"/>
                <w:szCs w:val="24"/>
                <w:vertAlign w:val="superscript"/>
                <w:lang w:eastAsia="lv-LV"/>
              </w:rPr>
              <w:t> </w:t>
            </w:r>
            <w:r w:rsidRPr="008471F6">
              <w:rPr>
                <w:rFonts w:ascii="Times New Roman" w:eastAsia="Times New Roman" w:hAnsi="Times New Roman" w:cs="Times New Roman"/>
                <w:sz w:val="24"/>
                <w:szCs w:val="24"/>
                <w:lang w:eastAsia="lv-LV"/>
              </w:rPr>
              <w:t>pant</w:t>
            </w:r>
            <w:r w:rsidR="00873B9E">
              <w:rPr>
                <w:rFonts w:ascii="Times New Roman" w:eastAsia="Times New Roman" w:hAnsi="Times New Roman" w:cs="Times New Roman"/>
                <w:sz w:val="24"/>
                <w:szCs w:val="24"/>
                <w:lang w:eastAsia="lv-LV"/>
              </w:rPr>
              <w:t>s</w:t>
            </w:r>
            <w:r w:rsidR="0026278A">
              <w:rPr>
                <w:rFonts w:ascii="Times New Roman" w:eastAsia="Times New Roman" w:hAnsi="Times New Roman" w:cs="Times New Roman"/>
                <w:sz w:val="24"/>
                <w:szCs w:val="24"/>
                <w:lang w:eastAsia="lv-LV"/>
              </w:rPr>
              <w:t xml:space="preserve"> </w:t>
            </w:r>
            <w:r w:rsidR="0026278A" w:rsidRPr="0026278A">
              <w:rPr>
                <w:rFonts w:ascii="Times New Roman" w:eastAsia="Times New Roman" w:hAnsi="Times New Roman" w:cs="Times New Roman"/>
                <w:sz w:val="24"/>
                <w:szCs w:val="24"/>
                <w:lang w:eastAsia="lv-LV"/>
              </w:rPr>
              <w:t>un 50.</w:t>
            </w:r>
            <w:r w:rsidR="00A74D53">
              <w:rPr>
                <w:rFonts w:ascii="Times New Roman" w:eastAsia="Times New Roman" w:hAnsi="Times New Roman" w:cs="Times New Roman"/>
                <w:sz w:val="24"/>
                <w:szCs w:val="24"/>
                <w:lang w:eastAsia="lv-LV"/>
              </w:rPr>
              <w:t> </w:t>
            </w:r>
            <w:r w:rsidR="0026278A" w:rsidRPr="0026278A">
              <w:rPr>
                <w:rFonts w:ascii="Times New Roman" w:eastAsia="Times New Roman" w:hAnsi="Times New Roman" w:cs="Times New Roman"/>
                <w:sz w:val="24"/>
                <w:szCs w:val="24"/>
                <w:lang w:eastAsia="lv-LV"/>
              </w:rPr>
              <w:t>panta otr</w:t>
            </w:r>
            <w:r w:rsidR="0026278A">
              <w:rPr>
                <w:rFonts w:ascii="Times New Roman" w:eastAsia="Times New Roman" w:hAnsi="Times New Roman" w:cs="Times New Roman"/>
                <w:sz w:val="24"/>
                <w:szCs w:val="24"/>
                <w:lang w:eastAsia="lv-LV"/>
              </w:rPr>
              <w:t>ā</w:t>
            </w:r>
            <w:r w:rsidR="0026278A" w:rsidRPr="0026278A">
              <w:rPr>
                <w:rFonts w:ascii="Times New Roman" w:eastAsia="Times New Roman" w:hAnsi="Times New Roman" w:cs="Times New Roman"/>
                <w:sz w:val="24"/>
                <w:szCs w:val="24"/>
                <w:lang w:eastAsia="lv-LV"/>
              </w:rPr>
              <w:t xml:space="preserve"> daļ</w:t>
            </w:r>
            <w:r w:rsidR="0026278A">
              <w:rPr>
                <w:rFonts w:ascii="Times New Roman" w:eastAsia="Times New Roman" w:hAnsi="Times New Roman" w:cs="Times New Roman"/>
                <w:sz w:val="24"/>
                <w:szCs w:val="24"/>
                <w:lang w:eastAsia="lv-LV"/>
              </w:rPr>
              <w:t>a</w:t>
            </w:r>
          </w:p>
        </w:tc>
      </w:tr>
      <w:tr w:rsidR="006C3828" w:rsidRPr="00894D21" w14:paraId="26D3F596" w14:textId="77777777" w:rsidTr="004B6ED3">
        <w:trPr>
          <w:trHeight w:val="567"/>
        </w:trPr>
        <w:tc>
          <w:tcPr>
            <w:tcW w:w="987" w:type="pct"/>
            <w:shd w:val="clear" w:color="auto" w:fill="auto"/>
            <w:hideMark/>
          </w:tcPr>
          <w:p w14:paraId="57C9B05B" w14:textId="7AA815A5" w:rsidR="006C3828" w:rsidRPr="005D0C40" w:rsidRDefault="006C3828" w:rsidP="00A74D53">
            <w:pPr>
              <w:spacing w:after="0" w:line="240" w:lineRule="auto"/>
              <w:rPr>
                <w:rFonts w:ascii="Times New Roman" w:eastAsia="Times New Roman" w:hAnsi="Times New Roman" w:cs="Times New Roman"/>
                <w:color w:val="000000"/>
                <w:sz w:val="24"/>
                <w:szCs w:val="24"/>
                <w:lang w:eastAsia="lv-LV"/>
              </w:rPr>
            </w:pPr>
            <w:r w:rsidRPr="00BB15E9">
              <w:rPr>
                <w:rFonts w:ascii="Times New Roman" w:eastAsia="Times New Roman" w:hAnsi="Times New Roman" w:cs="Times New Roman"/>
                <w:b/>
                <w:bCs/>
                <w:sz w:val="24"/>
                <w:szCs w:val="24"/>
                <w:lang w:eastAsia="lv-LV"/>
              </w:rPr>
              <w:t>Mērķis un būtība</w:t>
            </w:r>
          </w:p>
        </w:tc>
        <w:tc>
          <w:tcPr>
            <w:tcW w:w="4013" w:type="pct"/>
            <w:shd w:val="clear" w:color="auto" w:fill="auto"/>
          </w:tcPr>
          <w:p w14:paraId="3225D19A" w14:textId="4DF76F8F" w:rsidR="00F276A4" w:rsidRDefault="00F276A4" w:rsidP="0037089C">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w:t>
            </w:r>
            <w:r w:rsidRPr="005D0C40">
              <w:rPr>
                <w:rFonts w:ascii="Times New Roman" w:eastAsia="Times New Roman" w:hAnsi="Times New Roman" w:cs="Times New Roman"/>
                <w:color w:val="000000"/>
                <w:sz w:val="24"/>
                <w:szCs w:val="24"/>
                <w:lang w:eastAsia="lv-LV"/>
              </w:rPr>
              <w:t>oteikumu projekt</w:t>
            </w:r>
            <w:r>
              <w:rPr>
                <w:rFonts w:ascii="Times New Roman" w:eastAsia="Times New Roman" w:hAnsi="Times New Roman" w:cs="Times New Roman"/>
                <w:color w:val="000000"/>
                <w:sz w:val="24"/>
                <w:szCs w:val="24"/>
                <w:lang w:eastAsia="lv-LV"/>
              </w:rPr>
              <w:t>a</w:t>
            </w:r>
            <w:r w:rsidRPr="005D0C40">
              <w:rPr>
                <w:rFonts w:ascii="Times New Roman" w:eastAsia="Times New Roman" w:hAnsi="Times New Roman" w:cs="Times New Roman"/>
                <w:color w:val="000000"/>
                <w:sz w:val="24"/>
                <w:szCs w:val="24"/>
                <w:lang w:eastAsia="lv-LV"/>
              </w:rPr>
              <w:t xml:space="preserve"> "</w:t>
            </w:r>
            <w:r w:rsidR="00BC42FA" w:rsidRPr="00BC42FA">
              <w:rPr>
                <w:rFonts w:ascii="Times New Roman" w:eastAsia="Times New Roman" w:hAnsi="Times New Roman" w:cs="Times New Roman"/>
                <w:sz w:val="24"/>
                <w:szCs w:val="24"/>
                <w:lang w:eastAsia="lv-LV"/>
              </w:rPr>
              <w:t>Kredītiestādei specifiskās pretcikliskās kapitāla rezerves normas aprēķināšanas noteikumi</w:t>
            </w:r>
            <w:r w:rsidRPr="005D0C40">
              <w:rPr>
                <w:rFonts w:ascii="Times New Roman" w:eastAsia="Times New Roman" w:hAnsi="Times New Roman" w:cs="Times New Roman"/>
                <w:color w:val="000000"/>
                <w:sz w:val="24"/>
                <w:szCs w:val="24"/>
                <w:lang w:eastAsia="lv-LV"/>
              </w:rPr>
              <w:t>" (turpmāk – noteikumu projekts)</w:t>
            </w:r>
            <w:r w:rsidR="008471F6" w:rsidRPr="005C49E0">
              <w:rPr>
                <w:rFonts w:ascii="Times New Roman" w:eastAsia="Times New Roman" w:hAnsi="Times New Roman" w:cs="Times New Roman"/>
                <w:color w:val="000000"/>
                <w:sz w:val="24"/>
                <w:szCs w:val="24"/>
                <w:lang w:eastAsia="lv-LV"/>
              </w:rPr>
              <w:t xml:space="preserve"> </w:t>
            </w:r>
            <w:r w:rsidR="00F7192D" w:rsidRPr="005C49E0">
              <w:rPr>
                <w:rFonts w:ascii="Times New Roman" w:eastAsia="Times New Roman" w:hAnsi="Times New Roman" w:cs="Times New Roman"/>
                <w:color w:val="000000"/>
                <w:sz w:val="24"/>
                <w:szCs w:val="24"/>
                <w:lang w:eastAsia="lv-LV"/>
              </w:rPr>
              <w:t xml:space="preserve">mērķis ir izpildīt </w:t>
            </w:r>
            <w:r w:rsidR="0032076B" w:rsidRPr="005C49E0">
              <w:rPr>
                <w:rFonts w:ascii="Times New Roman" w:eastAsia="Times New Roman" w:hAnsi="Times New Roman" w:cs="Times New Roman"/>
                <w:color w:val="000000"/>
                <w:sz w:val="24"/>
                <w:szCs w:val="24"/>
                <w:lang w:eastAsia="lv-LV"/>
              </w:rPr>
              <w:t>Kredītiestāžu</w:t>
            </w:r>
            <w:r w:rsidR="00F7192D" w:rsidRPr="005C49E0">
              <w:rPr>
                <w:rFonts w:ascii="Times New Roman" w:eastAsia="Times New Roman" w:hAnsi="Times New Roman" w:cs="Times New Roman"/>
                <w:color w:val="000000"/>
                <w:sz w:val="24"/>
                <w:szCs w:val="24"/>
                <w:lang w:eastAsia="lv-LV"/>
              </w:rPr>
              <w:t xml:space="preserve"> likumā </w:t>
            </w:r>
            <w:r w:rsidR="00E95CA1">
              <w:rPr>
                <w:rFonts w:ascii="Times New Roman" w:eastAsia="Times New Roman" w:hAnsi="Times New Roman" w:cs="Times New Roman"/>
                <w:color w:val="000000"/>
                <w:sz w:val="24"/>
                <w:szCs w:val="24"/>
                <w:lang w:eastAsia="lv-LV"/>
              </w:rPr>
              <w:t>Latvijas Bankai</w:t>
            </w:r>
            <w:r w:rsidR="0032076B" w:rsidRPr="005C49E0">
              <w:rPr>
                <w:rFonts w:ascii="Times New Roman" w:eastAsia="Times New Roman" w:hAnsi="Times New Roman" w:cs="Times New Roman"/>
                <w:color w:val="000000"/>
                <w:sz w:val="24"/>
                <w:szCs w:val="24"/>
                <w:lang w:eastAsia="lv-LV"/>
              </w:rPr>
              <w:t xml:space="preserve"> </w:t>
            </w:r>
            <w:r w:rsidR="00F7192D" w:rsidRPr="005C49E0">
              <w:rPr>
                <w:rFonts w:ascii="Times New Roman" w:eastAsia="Times New Roman" w:hAnsi="Times New Roman" w:cs="Times New Roman"/>
                <w:color w:val="000000"/>
                <w:sz w:val="24"/>
                <w:szCs w:val="24"/>
                <w:lang w:eastAsia="lv-LV"/>
              </w:rPr>
              <w:t>deleģēto pienākumu</w:t>
            </w:r>
            <w:r w:rsidR="00511740">
              <w:rPr>
                <w:rFonts w:ascii="Times New Roman" w:eastAsia="Times New Roman" w:hAnsi="Times New Roman" w:cs="Times New Roman"/>
                <w:color w:val="000000"/>
                <w:sz w:val="24"/>
                <w:szCs w:val="24"/>
                <w:lang w:eastAsia="lv-LV"/>
              </w:rPr>
              <w:t xml:space="preserve"> noteikt</w:t>
            </w:r>
            <w:r w:rsidR="00E95CA1">
              <w:rPr>
                <w:rFonts w:ascii="Times New Roman" w:eastAsia="Times New Roman" w:hAnsi="Times New Roman" w:cs="Times New Roman"/>
                <w:color w:val="000000"/>
                <w:sz w:val="24"/>
                <w:szCs w:val="24"/>
                <w:lang w:eastAsia="lv-LV"/>
              </w:rPr>
              <w:t xml:space="preserve"> k</w:t>
            </w:r>
            <w:r w:rsidR="00E95CA1" w:rsidRPr="00E95CA1">
              <w:rPr>
                <w:rFonts w:ascii="Times New Roman" w:eastAsia="Times New Roman" w:hAnsi="Times New Roman" w:cs="Times New Roman"/>
                <w:color w:val="000000"/>
                <w:sz w:val="24"/>
                <w:szCs w:val="24"/>
                <w:lang w:eastAsia="lv-LV"/>
              </w:rPr>
              <w:t>redītiestādei specifiskās pretcikliskās kapitāla rezerves normas aprēķināšanas kārtību</w:t>
            </w:r>
            <w:r w:rsidR="00E95CA1">
              <w:rPr>
                <w:rFonts w:ascii="Times New Roman" w:eastAsia="Times New Roman" w:hAnsi="Times New Roman" w:cs="Times New Roman"/>
                <w:color w:val="000000"/>
                <w:sz w:val="24"/>
                <w:szCs w:val="24"/>
                <w:lang w:eastAsia="lv-LV"/>
              </w:rPr>
              <w:t>.</w:t>
            </w:r>
          </w:p>
          <w:p w14:paraId="1470A3BB" w14:textId="6D202CB2" w:rsidR="00896DBD" w:rsidRPr="005D0C40" w:rsidRDefault="00321D05" w:rsidP="0037089C">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Pašreiz minēt</w:t>
            </w:r>
            <w:r w:rsidR="00E95CA1">
              <w:rPr>
                <w:rFonts w:ascii="Times New Roman" w:eastAsia="Times New Roman" w:hAnsi="Times New Roman" w:cs="Times New Roman"/>
                <w:color w:val="000000"/>
                <w:sz w:val="24"/>
                <w:szCs w:val="24"/>
                <w:lang w:eastAsia="lv-LV"/>
              </w:rPr>
              <w:t xml:space="preserve">ā pienākuma izpildi </w:t>
            </w:r>
            <w:r>
              <w:rPr>
                <w:rFonts w:ascii="Times New Roman" w:eastAsia="Times New Roman" w:hAnsi="Times New Roman" w:cs="Times New Roman"/>
                <w:color w:val="000000"/>
                <w:sz w:val="24"/>
                <w:szCs w:val="24"/>
                <w:lang w:eastAsia="lv-LV"/>
              </w:rPr>
              <w:t xml:space="preserve">nodrošina </w:t>
            </w:r>
            <w:r w:rsidRPr="00321D05">
              <w:rPr>
                <w:rFonts w:ascii="Times New Roman" w:eastAsia="Times New Roman" w:hAnsi="Times New Roman" w:cs="Times New Roman"/>
                <w:color w:val="000000"/>
                <w:sz w:val="24"/>
                <w:szCs w:val="24"/>
                <w:lang w:eastAsia="lv-LV"/>
              </w:rPr>
              <w:t xml:space="preserve">Finanšu un kapitāla tirgus komisijas </w:t>
            </w:r>
            <w:r w:rsidR="008471F6" w:rsidRPr="008471F6">
              <w:rPr>
                <w:rFonts w:ascii="Times New Roman" w:eastAsia="Times New Roman" w:hAnsi="Times New Roman" w:cs="Times New Roman"/>
                <w:color w:val="000000"/>
                <w:sz w:val="24"/>
                <w:szCs w:val="24"/>
                <w:lang w:eastAsia="lv-LV"/>
              </w:rPr>
              <w:t>202</w:t>
            </w:r>
            <w:r w:rsidR="00913A06">
              <w:rPr>
                <w:rFonts w:ascii="Times New Roman" w:eastAsia="Times New Roman" w:hAnsi="Times New Roman" w:cs="Times New Roman"/>
                <w:color w:val="000000"/>
                <w:sz w:val="24"/>
                <w:szCs w:val="24"/>
                <w:lang w:eastAsia="lv-LV"/>
              </w:rPr>
              <w:t>0</w:t>
            </w:r>
            <w:r w:rsidR="008471F6" w:rsidRPr="008471F6">
              <w:rPr>
                <w:rFonts w:ascii="Times New Roman" w:eastAsia="Times New Roman" w:hAnsi="Times New Roman" w:cs="Times New Roman"/>
                <w:color w:val="000000"/>
                <w:sz w:val="24"/>
                <w:szCs w:val="24"/>
                <w:lang w:eastAsia="lv-LV"/>
              </w:rPr>
              <w:t>.</w:t>
            </w:r>
            <w:r w:rsidR="008471F6">
              <w:rPr>
                <w:rFonts w:ascii="Times New Roman" w:eastAsia="Times New Roman" w:hAnsi="Times New Roman" w:cs="Times New Roman"/>
                <w:color w:val="000000"/>
                <w:sz w:val="24"/>
                <w:szCs w:val="24"/>
                <w:lang w:eastAsia="lv-LV"/>
              </w:rPr>
              <w:t> </w:t>
            </w:r>
            <w:r w:rsidR="008471F6" w:rsidRPr="008471F6">
              <w:rPr>
                <w:rFonts w:ascii="Times New Roman" w:eastAsia="Times New Roman" w:hAnsi="Times New Roman" w:cs="Times New Roman"/>
                <w:color w:val="000000"/>
                <w:sz w:val="24"/>
                <w:szCs w:val="24"/>
                <w:lang w:eastAsia="lv-LV"/>
              </w:rPr>
              <w:t xml:space="preserve">gada </w:t>
            </w:r>
            <w:r w:rsidR="00913A06">
              <w:rPr>
                <w:rFonts w:ascii="Times New Roman" w:eastAsia="Times New Roman" w:hAnsi="Times New Roman" w:cs="Times New Roman"/>
                <w:color w:val="000000"/>
                <w:sz w:val="24"/>
                <w:szCs w:val="24"/>
                <w:lang w:eastAsia="lv-LV"/>
              </w:rPr>
              <w:t>25</w:t>
            </w:r>
            <w:r w:rsidR="008471F6" w:rsidRPr="008471F6">
              <w:rPr>
                <w:rFonts w:ascii="Times New Roman" w:eastAsia="Times New Roman" w:hAnsi="Times New Roman" w:cs="Times New Roman"/>
                <w:color w:val="000000"/>
                <w:sz w:val="24"/>
                <w:szCs w:val="24"/>
                <w:lang w:eastAsia="lv-LV"/>
              </w:rPr>
              <w:t>.</w:t>
            </w:r>
            <w:r w:rsidR="008471F6">
              <w:rPr>
                <w:rFonts w:ascii="Times New Roman" w:eastAsia="Times New Roman" w:hAnsi="Times New Roman" w:cs="Times New Roman"/>
                <w:color w:val="000000"/>
                <w:sz w:val="24"/>
                <w:szCs w:val="24"/>
                <w:lang w:eastAsia="lv-LV"/>
              </w:rPr>
              <w:t> </w:t>
            </w:r>
            <w:r w:rsidR="00913A06">
              <w:rPr>
                <w:rFonts w:ascii="Times New Roman" w:eastAsia="Times New Roman" w:hAnsi="Times New Roman" w:cs="Times New Roman"/>
                <w:color w:val="000000"/>
                <w:sz w:val="24"/>
                <w:szCs w:val="24"/>
                <w:lang w:eastAsia="lv-LV"/>
              </w:rPr>
              <w:t>august</w:t>
            </w:r>
            <w:r w:rsidR="008471F6">
              <w:rPr>
                <w:rFonts w:ascii="Times New Roman" w:eastAsia="Times New Roman" w:hAnsi="Times New Roman" w:cs="Times New Roman"/>
                <w:color w:val="000000"/>
                <w:sz w:val="24"/>
                <w:szCs w:val="24"/>
                <w:lang w:eastAsia="lv-LV"/>
              </w:rPr>
              <w:t>a</w:t>
            </w:r>
            <w:r w:rsidR="008471F6" w:rsidRPr="008471F6">
              <w:rPr>
                <w:rFonts w:ascii="Times New Roman" w:eastAsia="Times New Roman" w:hAnsi="Times New Roman" w:cs="Times New Roman"/>
                <w:color w:val="000000"/>
                <w:sz w:val="24"/>
                <w:szCs w:val="24"/>
                <w:lang w:eastAsia="lv-LV"/>
              </w:rPr>
              <w:t xml:space="preserve"> </w:t>
            </w:r>
            <w:r w:rsidRPr="00321D05">
              <w:rPr>
                <w:rFonts w:ascii="Times New Roman" w:eastAsia="Times New Roman" w:hAnsi="Times New Roman" w:cs="Times New Roman"/>
                <w:color w:val="000000"/>
                <w:sz w:val="24"/>
                <w:szCs w:val="24"/>
                <w:lang w:eastAsia="lv-LV"/>
              </w:rPr>
              <w:t>normatīv</w:t>
            </w:r>
            <w:r>
              <w:rPr>
                <w:rFonts w:ascii="Times New Roman" w:eastAsia="Times New Roman" w:hAnsi="Times New Roman" w:cs="Times New Roman"/>
                <w:color w:val="000000"/>
                <w:sz w:val="24"/>
                <w:szCs w:val="24"/>
                <w:lang w:eastAsia="lv-LV"/>
              </w:rPr>
              <w:t>ie</w:t>
            </w:r>
            <w:r w:rsidRPr="00321D05">
              <w:rPr>
                <w:rFonts w:ascii="Times New Roman" w:eastAsia="Times New Roman" w:hAnsi="Times New Roman" w:cs="Times New Roman"/>
                <w:color w:val="000000"/>
                <w:sz w:val="24"/>
                <w:szCs w:val="24"/>
                <w:lang w:eastAsia="lv-LV"/>
              </w:rPr>
              <w:t xml:space="preserve"> noteikum</w:t>
            </w:r>
            <w:r>
              <w:rPr>
                <w:rFonts w:ascii="Times New Roman" w:eastAsia="Times New Roman" w:hAnsi="Times New Roman" w:cs="Times New Roman"/>
                <w:color w:val="000000"/>
                <w:sz w:val="24"/>
                <w:szCs w:val="24"/>
                <w:lang w:eastAsia="lv-LV"/>
              </w:rPr>
              <w:t>i</w:t>
            </w:r>
            <w:r w:rsidRPr="00321D05">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N</w:t>
            </w:r>
            <w:r w:rsidRPr="00321D05">
              <w:rPr>
                <w:rFonts w:ascii="Times New Roman" w:eastAsia="Times New Roman" w:hAnsi="Times New Roman" w:cs="Times New Roman"/>
                <w:color w:val="000000"/>
                <w:sz w:val="24"/>
                <w:szCs w:val="24"/>
                <w:lang w:eastAsia="lv-LV"/>
              </w:rPr>
              <w:t>r.</w:t>
            </w:r>
            <w:r>
              <w:rPr>
                <w:rFonts w:ascii="Times New Roman" w:eastAsia="Times New Roman" w:hAnsi="Times New Roman" w:cs="Times New Roman"/>
                <w:color w:val="000000"/>
                <w:sz w:val="24"/>
                <w:szCs w:val="24"/>
                <w:lang w:eastAsia="lv-LV"/>
              </w:rPr>
              <w:t> </w:t>
            </w:r>
            <w:r w:rsidRPr="00321D05">
              <w:rPr>
                <w:rFonts w:ascii="Times New Roman" w:eastAsia="Times New Roman" w:hAnsi="Times New Roman" w:cs="Times New Roman"/>
                <w:color w:val="000000"/>
                <w:sz w:val="24"/>
                <w:szCs w:val="24"/>
                <w:lang w:eastAsia="lv-LV"/>
              </w:rPr>
              <w:t>1</w:t>
            </w:r>
            <w:r w:rsidR="00913A06">
              <w:rPr>
                <w:rFonts w:ascii="Times New Roman" w:eastAsia="Times New Roman" w:hAnsi="Times New Roman" w:cs="Times New Roman"/>
                <w:color w:val="000000"/>
                <w:sz w:val="24"/>
                <w:szCs w:val="24"/>
                <w:lang w:eastAsia="lv-LV"/>
              </w:rPr>
              <w:t>37</w:t>
            </w:r>
            <w:r w:rsidRPr="00321D05">
              <w:rPr>
                <w:rFonts w:ascii="Times New Roman" w:eastAsia="Times New Roman" w:hAnsi="Times New Roman" w:cs="Times New Roman"/>
                <w:color w:val="000000"/>
                <w:sz w:val="24"/>
                <w:szCs w:val="24"/>
                <w:lang w:eastAsia="lv-LV"/>
              </w:rPr>
              <w:t xml:space="preserve"> "</w:t>
            </w:r>
            <w:r w:rsidR="00913A06" w:rsidRPr="00913A06">
              <w:rPr>
                <w:rFonts w:ascii="Times New Roman" w:eastAsia="Times New Roman" w:hAnsi="Times New Roman" w:cs="Times New Roman"/>
                <w:color w:val="000000"/>
                <w:sz w:val="24"/>
                <w:szCs w:val="24"/>
                <w:lang w:eastAsia="lv-LV"/>
              </w:rPr>
              <w:t>Kredītiestādei specifiskās pretcikliskās kapitāla rezerves normas aprēķināšanas normatīvie noteikumi</w:t>
            </w:r>
            <w:r w:rsidRPr="00321D05">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 xml:space="preserve"> (turpmāk</w:t>
            </w:r>
            <w:r w:rsidR="00001188">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 1</w:t>
            </w:r>
            <w:r w:rsidR="00913A06">
              <w:rPr>
                <w:rFonts w:ascii="Times New Roman" w:eastAsia="Times New Roman" w:hAnsi="Times New Roman" w:cs="Times New Roman"/>
                <w:color w:val="000000"/>
                <w:sz w:val="24"/>
                <w:szCs w:val="24"/>
                <w:lang w:eastAsia="lv-LV"/>
              </w:rPr>
              <w:t>37</w:t>
            </w:r>
            <w:r>
              <w:rPr>
                <w:rFonts w:ascii="Times New Roman" w:eastAsia="Times New Roman" w:hAnsi="Times New Roman" w:cs="Times New Roman"/>
                <w:color w:val="000000"/>
                <w:sz w:val="24"/>
                <w:szCs w:val="24"/>
                <w:lang w:eastAsia="lv-LV"/>
              </w:rPr>
              <w:t>. noteikumi), taču s</w:t>
            </w:r>
            <w:r w:rsidR="00896DBD" w:rsidRPr="005D0C40">
              <w:rPr>
                <w:rFonts w:ascii="Times New Roman" w:eastAsia="Times New Roman" w:hAnsi="Times New Roman" w:cs="Times New Roman"/>
                <w:color w:val="000000"/>
                <w:sz w:val="24"/>
                <w:szCs w:val="24"/>
                <w:lang w:eastAsia="lv-LV"/>
              </w:rPr>
              <w:t>askaņā ar Latvijas Bankas likuma pārejas noteikumu 3.</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 xml:space="preserve">punktu Finanšu un kapitāla tirgus komisijas līdz </w:t>
            </w:r>
            <w:r>
              <w:rPr>
                <w:rFonts w:ascii="Times New Roman" w:eastAsia="Times New Roman" w:hAnsi="Times New Roman" w:cs="Times New Roman"/>
                <w:color w:val="000000"/>
                <w:sz w:val="24"/>
                <w:szCs w:val="24"/>
                <w:lang w:eastAsia="lv-LV"/>
              </w:rPr>
              <w:t>2022. gada 31. decembrim</w:t>
            </w:r>
            <w:r w:rsidRPr="005D0C40" w:rsidDel="00321D05">
              <w:rPr>
                <w:rFonts w:ascii="Times New Roman" w:eastAsia="Times New Roman" w:hAnsi="Times New Roman" w:cs="Times New Roman"/>
                <w:color w:val="000000"/>
                <w:sz w:val="24"/>
                <w:szCs w:val="24"/>
                <w:lang w:eastAsia="lv-LV"/>
              </w:rPr>
              <w:t xml:space="preserve"> </w:t>
            </w:r>
            <w:r w:rsidR="00896DBD" w:rsidRPr="005D0C40">
              <w:rPr>
                <w:rFonts w:ascii="Times New Roman" w:eastAsia="Times New Roman" w:hAnsi="Times New Roman" w:cs="Times New Roman"/>
                <w:color w:val="000000"/>
                <w:sz w:val="24"/>
                <w:szCs w:val="24"/>
                <w:lang w:eastAsia="lv-LV"/>
              </w:rPr>
              <w:t>izdotie ārējie normatīvie akti piemērojami līdz dienai, kad stājas spēkā attiecīgie Latvijas Bankas ārējie normatīvie akti, bet ne ilgāk kā līdz 2024.</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gada 31.</w:t>
            </w:r>
            <w:r w:rsidR="00882736" w:rsidRPr="005D0C40">
              <w:rPr>
                <w:rFonts w:ascii="Times New Roman" w:eastAsia="Times New Roman" w:hAnsi="Times New Roman" w:cs="Times New Roman"/>
                <w:color w:val="000000"/>
                <w:sz w:val="24"/>
                <w:szCs w:val="24"/>
                <w:lang w:eastAsia="lv-LV"/>
              </w:rPr>
              <w:t> </w:t>
            </w:r>
            <w:r w:rsidR="00896DBD" w:rsidRPr="005D0C40">
              <w:rPr>
                <w:rFonts w:ascii="Times New Roman" w:eastAsia="Times New Roman" w:hAnsi="Times New Roman" w:cs="Times New Roman"/>
                <w:color w:val="000000"/>
                <w:sz w:val="24"/>
                <w:szCs w:val="24"/>
                <w:lang w:eastAsia="lv-LV"/>
              </w:rPr>
              <w:t>decembrim.</w:t>
            </w:r>
          </w:p>
          <w:p w14:paraId="21D35A34" w14:textId="077911FC" w:rsidR="00FA4772" w:rsidRPr="004B6ED3" w:rsidRDefault="00896DBD" w:rsidP="0037089C">
            <w:pPr>
              <w:spacing w:after="120" w:line="240" w:lineRule="auto"/>
              <w:jc w:val="both"/>
              <w:rPr>
                <w:rFonts w:ascii="Times New Roman" w:eastAsia="Times New Roman" w:hAnsi="Times New Roman" w:cs="Times New Roman"/>
                <w:sz w:val="24"/>
                <w:szCs w:val="24"/>
                <w:lang w:eastAsia="lv-LV"/>
              </w:rPr>
            </w:pPr>
            <w:r w:rsidRPr="0017710C">
              <w:rPr>
                <w:rFonts w:ascii="Times New Roman" w:eastAsia="Times New Roman" w:hAnsi="Times New Roman" w:cs="Times New Roman"/>
                <w:color w:val="000000"/>
                <w:sz w:val="24"/>
                <w:szCs w:val="24"/>
                <w:lang w:eastAsia="lv-LV"/>
              </w:rPr>
              <w:t>Ņemot vērā minēto, Latvijas Banka ir izstrādājusi</w:t>
            </w:r>
            <w:r w:rsidR="00F276A4" w:rsidRPr="0017710C">
              <w:rPr>
                <w:rFonts w:ascii="Times New Roman" w:eastAsia="Times New Roman" w:hAnsi="Times New Roman" w:cs="Times New Roman"/>
                <w:color w:val="000000"/>
                <w:sz w:val="24"/>
                <w:szCs w:val="24"/>
                <w:lang w:eastAsia="lv-LV"/>
              </w:rPr>
              <w:t xml:space="preserve"> noteikumu projektu</w:t>
            </w:r>
            <w:r w:rsidRPr="0017710C">
              <w:rPr>
                <w:rFonts w:ascii="Times New Roman" w:eastAsia="Times New Roman" w:hAnsi="Times New Roman" w:cs="Times New Roman"/>
                <w:color w:val="000000"/>
                <w:sz w:val="24"/>
                <w:szCs w:val="24"/>
                <w:lang w:eastAsia="lv-LV"/>
              </w:rPr>
              <w:t>, kas</w:t>
            </w:r>
            <w:r w:rsidR="00591CBF" w:rsidRPr="0017710C">
              <w:rPr>
                <w:rFonts w:ascii="Times New Roman" w:eastAsia="Times New Roman" w:hAnsi="Times New Roman" w:cs="Times New Roman"/>
                <w:color w:val="000000"/>
                <w:sz w:val="24"/>
                <w:szCs w:val="24"/>
                <w:lang w:eastAsia="lv-LV"/>
              </w:rPr>
              <w:t xml:space="preserve"> </w:t>
            </w:r>
            <w:r w:rsidRPr="0017710C">
              <w:rPr>
                <w:rFonts w:ascii="Times New Roman" w:eastAsia="Times New Roman" w:hAnsi="Times New Roman" w:cs="Times New Roman"/>
                <w:color w:val="000000"/>
                <w:sz w:val="24"/>
                <w:szCs w:val="24"/>
                <w:lang w:eastAsia="lv-LV"/>
              </w:rPr>
              <w:t>aizstās</w:t>
            </w:r>
            <w:r w:rsidR="006A2A11" w:rsidRPr="0017710C">
              <w:rPr>
                <w:rFonts w:ascii="Times New Roman" w:eastAsia="Times New Roman" w:hAnsi="Times New Roman" w:cs="Times New Roman"/>
                <w:color w:val="000000"/>
                <w:sz w:val="24"/>
                <w:szCs w:val="24"/>
                <w:lang w:eastAsia="lv-LV"/>
              </w:rPr>
              <w:t xml:space="preserve"> </w:t>
            </w:r>
            <w:r w:rsidR="00F20807" w:rsidRPr="0017710C">
              <w:rPr>
                <w:rFonts w:ascii="Times New Roman" w:eastAsia="Times New Roman" w:hAnsi="Times New Roman" w:cs="Times New Roman"/>
                <w:color w:val="000000"/>
                <w:sz w:val="24"/>
                <w:szCs w:val="24"/>
                <w:lang w:eastAsia="lv-LV"/>
              </w:rPr>
              <w:t>1</w:t>
            </w:r>
            <w:r w:rsidR="009B2131" w:rsidRPr="0017710C">
              <w:rPr>
                <w:rFonts w:ascii="Times New Roman" w:eastAsia="Times New Roman" w:hAnsi="Times New Roman" w:cs="Times New Roman"/>
                <w:color w:val="000000"/>
                <w:sz w:val="24"/>
                <w:szCs w:val="24"/>
                <w:lang w:eastAsia="lv-LV"/>
              </w:rPr>
              <w:t>37</w:t>
            </w:r>
            <w:r w:rsidR="00F20807" w:rsidRPr="0017710C">
              <w:rPr>
                <w:rFonts w:ascii="Times New Roman" w:eastAsia="Times New Roman" w:hAnsi="Times New Roman" w:cs="Times New Roman"/>
                <w:color w:val="000000"/>
                <w:sz w:val="24"/>
                <w:szCs w:val="24"/>
                <w:lang w:eastAsia="lv-LV"/>
              </w:rPr>
              <w:t>.</w:t>
            </w:r>
            <w:r w:rsidR="00FA4772" w:rsidRPr="0017710C">
              <w:rPr>
                <w:rFonts w:ascii="Times New Roman" w:eastAsia="Times New Roman" w:hAnsi="Times New Roman" w:cs="Times New Roman"/>
                <w:color w:val="000000"/>
                <w:sz w:val="24"/>
                <w:szCs w:val="24"/>
                <w:lang w:eastAsia="lv-LV"/>
              </w:rPr>
              <w:t> </w:t>
            </w:r>
            <w:r w:rsidR="00591CBF" w:rsidRPr="0017710C">
              <w:rPr>
                <w:rFonts w:ascii="Times New Roman" w:eastAsia="Times New Roman" w:hAnsi="Times New Roman" w:cs="Times New Roman"/>
                <w:color w:val="000000"/>
                <w:sz w:val="24"/>
                <w:szCs w:val="24"/>
                <w:lang w:eastAsia="lv-LV"/>
              </w:rPr>
              <w:t>noteikumus</w:t>
            </w:r>
            <w:r w:rsidR="004F2CCA" w:rsidRPr="0017710C">
              <w:rPr>
                <w:rFonts w:ascii="Times New Roman" w:eastAsia="Times New Roman" w:hAnsi="Times New Roman" w:cs="Times New Roman"/>
                <w:color w:val="000000"/>
                <w:sz w:val="24"/>
                <w:szCs w:val="24"/>
                <w:lang w:eastAsia="lv-LV"/>
              </w:rPr>
              <w:t xml:space="preserve"> un tāpat kā pašreiz </w:t>
            </w:r>
            <w:r w:rsidR="0015193A" w:rsidRPr="0017710C">
              <w:rPr>
                <w:rFonts w:ascii="Times New Roman" w:eastAsia="Times New Roman" w:hAnsi="Times New Roman" w:cs="Times New Roman"/>
                <w:color w:val="000000"/>
                <w:sz w:val="24"/>
                <w:szCs w:val="24"/>
                <w:lang w:eastAsia="lv-LV"/>
              </w:rPr>
              <w:t>spēkā esoš</w:t>
            </w:r>
            <w:r w:rsidR="009F6E05">
              <w:rPr>
                <w:rFonts w:ascii="Times New Roman" w:eastAsia="Times New Roman" w:hAnsi="Times New Roman" w:cs="Times New Roman"/>
                <w:color w:val="000000"/>
                <w:sz w:val="24"/>
                <w:szCs w:val="24"/>
                <w:lang w:eastAsia="lv-LV"/>
              </w:rPr>
              <w:t>ie</w:t>
            </w:r>
            <w:r w:rsidR="004F2CCA" w:rsidRPr="0017710C">
              <w:rPr>
                <w:rFonts w:ascii="Times New Roman" w:eastAsia="Times New Roman" w:hAnsi="Times New Roman" w:cs="Times New Roman"/>
                <w:color w:val="000000"/>
                <w:sz w:val="24"/>
                <w:szCs w:val="24"/>
                <w:lang w:eastAsia="lv-LV"/>
              </w:rPr>
              <w:t xml:space="preserve"> noteikum</w:t>
            </w:r>
            <w:r w:rsidR="009F6E05">
              <w:rPr>
                <w:rFonts w:ascii="Times New Roman" w:eastAsia="Times New Roman" w:hAnsi="Times New Roman" w:cs="Times New Roman"/>
                <w:color w:val="000000"/>
                <w:sz w:val="24"/>
                <w:szCs w:val="24"/>
                <w:lang w:eastAsia="lv-LV"/>
              </w:rPr>
              <w:t>i</w:t>
            </w:r>
            <w:r w:rsidR="004F2CCA" w:rsidRPr="0017710C">
              <w:rPr>
                <w:rFonts w:ascii="Times New Roman" w:eastAsia="Times New Roman" w:hAnsi="Times New Roman" w:cs="Times New Roman"/>
                <w:color w:val="000000"/>
                <w:sz w:val="24"/>
                <w:szCs w:val="24"/>
                <w:lang w:eastAsia="lv-LV"/>
              </w:rPr>
              <w:t xml:space="preserve"> </w:t>
            </w:r>
            <w:r w:rsidR="00DD54AE" w:rsidRPr="0017710C">
              <w:rPr>
                <w:rFonts w:ascii="Times New Roman" w:eastAsia="Times New Roman" w:hAnsi="Times New Roman" w:cs="Times New Roman"/>
                <w:color w:val="000000"/>
                <w:sz w:val="24"/>
                <w:szCs w:val="24"/>
                <w:lang w:eastAsia="lv-LV"/>
              </w:rPr>
              <w:t>būs saistoš</w:t>
            </w:r>
            <w:r w:rsidR="009F6E05">
              <w:rPr>
                <w:rFonts w:ascii="Times New Roman" w:eastAsia="Times New Roman" w:hAnsi="Times New Roman" w:cs="Times New Roman"/>
                <w:color w:val="000000"/>
                <w:sz w:val="24"/>
                <w:szCs w:val="24"/>
                <w:lang w:eastAsia="lv-LV"/>
              </w:rPr>
              <w:t>i</w:t>
            </w:r>
            <w:r w:rsidR="00DD54AE" w:rsidRPr="0017710C">
              <w:rPr>
                <w:rFonts w:ascii="Times New Roman" w:eastAsia="Times New Roman" w:hAnsi="Times New Roman" w:cs="Times New Roman"/>
                <w:color w:val="000000"/>
                <w:sz w:val="24"/>
                <w:szCs w:val="24"/>
                <w:lang w:eastAsia="lv-LV"/>
              </w:rPr>
              <w:t xml:space="preserve"> </w:t>
            </w:r>
            <w:r w:rsidR="00FA4772" w:rsidRPr="0017710C">
              <w:rPr>
                <w:rFonts w:ascii="Times New Roman" w:eastAsia="Times New Roman" w:hAnsi="Times New Roman" w:cs="Times New Roman"/>
                <w:color w:val="000000"/>
                <w:sz w:val="24"/>
                <w:szCs w:val="24"/>
                <w:lang w:eastAsia="lv-LV"/>
              </w:rPr>
              <w:t>Latvijas Republikā reģistrētām kredītiestādēm</w:t>
            </w:r>
            <w:r w:rsidR="008F00A7" w:rsidRPr="0017710C">
              <w:rPr>
                <w:rFonts w:ascii="Times New Roman" w:eastAsia="Times New Roman" w:hAnsi="Times New Roman" w:cs="Times New Roman"/>
                <w:color w:val="000000"/>
                <w:sz w:val="24"/>
                <w:szCs w:val="24"/>
                <w:lang w:eastAsia="lv-LV"/>
              </w:rPr>
              <w:t>, Kredītiestāžu likuma 4.</w:t>
            </w:r>
            <w:r w:rsidR="008F00A7" w:rsidRPr="0017710C">
              <w:rPr>
                <w:rFonts w:ascii="Times New Roman" w:eastAsia="Times New Roman" w:hAnsi="Times New Roman" w:cs="Times New Roman"/>
                <w:color w:val="000000"/>
                <w:sz w:val="24"/>
                <w:szCs w:val="24"/>
                <w:vertAlign w:val="superscript"/>
                <w:lang w:eastAsia="lv-LV"/>
              </w:rPr>
              <w:t>1</w:t>
            </w:r>
            <w:r w:rsidR="00A74D53">
              <w:rPr>
                <w:rFonts w:ascii="Times New Roman" w:eastAsia="Times New Roman" w:hAnsi="Times New Roman" w:cs="Times New Roman"/>
                <w:color w:val="000000"/>
                <w:sz w:val="24"/>
                <w:szCs w:val="24"/>
                <w:vertAlign w:val="superscript"/>
                <w:lang w:eastAsia="lv-LV"/>
              </w:rPr>
              <w:t> </w:t>
            </w:r>
            <w:r w:rsidR="008F00A7" w:rsidRPr="0017710C">
              <w:rPr>
                <w:rFonts w:ascii="Times New Roman" w:eastAsia="Times New Roman" w:hAnsi="Times New Roman" w:cs="Times New Roman"/>
                <w:color w:val="000000"/>
                <w:sz w:val="24"/>
                <w:szCs w:val="24"/>
                <w:lang w:eastAsia="lv-LV"/>
              </w:rPr>
              <w:t>pantā minētajām sabiedrībām</w:t>
            </w:r>
            <w:r w:rsidR="00FA4772" w:rsidRPr="0017710C">
              <w:rPr>
                <w:rFonts w:ascii="Times New Roman" w:eastAsia="Times New Roman" w:hAnsi="Times New Roman" w:cs="Times New Roman"/>
                <w:color w:val="000000"/>
                <w:sz w:val="24"/>
                <w:szCs w:val="24"/>
                <w:lang w:eastAsia="lv-LV"/>
              </w:rPr>
              <w:t xml:space="preserve"> un</w:t>
            </w:r>
            <w:r w:rsidR="00A8053F" w:rsidRPr="0017710C">
              <w:rPr>
                <w:rFonts w:ascii="Times New Roman" w:eastAsia="Times New Roman" w:hAnsi="Times New Roman" w:cs="Times New Roman"/>
                <w:color w:val="000000"/>
                <w:sz w:val="24"/>
                <w:szCs w:val="24"/>
                <w:lang w:eastAsia="lv-LV"/>
              </w:rPr>
              <w:t>, pamatojoties uz Ieguldījumu brokeru sabiedrību likuma</w:t>
            </w:r>
            <w:r w:rsidR="00E24AEC" w:rsidRPr="0017710C">
              <w:rPr>
                <w:rFonts w:ascii="Times New Roman" w:eastAsia="Times New Roman" w:hAnsi="Times New Roman" w:cs="Times New Roman"/>
                <w:color w:val="000000"/>
                <w:sz w:val="24"/>
                <w:szCs w:val="24"/>
                <w:lang w:eastAsia="lv-LV"/>
              </w:rPr>
              <w:t xml:space="preserve"> 3. panta trešo </w:t>
            </w:r>
            <w:r w:rsidR="00D23A9E" w:rsidRPr="0017710C">
              <w:rPr>
                <w:rFonts w:ascii="Times New Roman" w:eastAsia="Times New Roman" w:hAnsi="Times New Roman" w:cs="Times New Roman"/>
                <w:color w:val="000000"/>
                <w:sz w:val="24"/>
                <w:szCs w:val="24"/>
                <w:lang w:eastAsia="lv-LV"/>
              </w:rPr>
              <w:t xml:space="preserve">un ceturto </w:t>
            </w:r>
            <w:r w:rsidR="00E24AEC" w:rsidRPr="0017710C">
              <w:rPr>
                <w:rFonts w:ascii="Times New Roman" w:eastAsia="Times New Roman" w:hAnsi="Times New Roman" w:cs="Times New Roman"/>
                <w:color w:val="000000"/>
                <w:sz w:val="24"/>
                <w:szCs w:val="24"/>
                <w:lang w:eastAsia="lv-LV"/>
              </w:rPr>
              <w:t>daļu,</w:t>
            </w:r>
            <w:r w:rsidR="004B6ED3" w:rsidRPr="0017710C">
              <w:rPr>
                <w:rFonts w:ascii="Times New Roman" w:eastAsia="Times New Roman" w:hAnsi="Times New Roman" w:cs="Times New Roman"/>
                <w:color w:val="000000"/>
                <w:sz w:val="24"/>
                <w:szCs w:val="24"/>
                <w:lang w:eastAsia="lv-LV"/>
              </w:rPr>
              <w:t xml:space="preserve"> </w:t>
            </w:r>
            <w:r w:rsidR="004B6ED3" w:rsidRPr="0017710C">
              <w:rPr>
                <w:rFonts w:ascii="Times New Roman" w:eastAsia="Times New Roman" w:hAnsi="Times New Roman" w:cs="Times New Roman"/>
                <w:sz w:val="24"/>
                <w:szCs w:val="24"/>
                <w:lang w:eastAsia="lv-LV"/>
              </w:rPr>
              <w:t>Kredītiestāžu likuma 11.</w:t>
            </w:r>
            <w:r w:rsidR="004B6ED3" w:rsidRPr="0017710C">
              <w:rPr>
                <w:rFonts w:ascii="Times New Roman" w:eastAsia="Times New Roman" w:hAnsi="Times New Roman" w:cs="Times New Roman"/>
                <w:sz w:val="24"/>
                <w:szCs w:val="24"/>
                <w:vertAlign w:val="superscript"/>
                <w:lang w:eastAsia="lv-LV"/>
              </w:rPr>
              <w:t>2 </w:t>
            </w:r>
            <w:r w:rsidR="004B6ED3" w:rsidRPr="0017710C">
              <w:rPr>
                <w:rFonts w:ascii="Times New Roman" w:eastAsia="Times New Roman" w:hAnsi="Times New Roman" w:cs="Times New Roman"/>
                <w:sz w:val="24"/>
                <w:szCs w:val="24"/>
                <w:lang w:eastAsia="lv-LV"/>
              </w:rPr>
              <w:t>pantā minētajām ieguldījumu brokeru sabiedrībām, respektīvi, 1. klases ieguldījumu brokeru sabiedrībām, un tām ieguldījumu brokeru sabiedrībām, kas minētas Eiropas Parlamenta un Padomes 2019. gada 27. novembra regulas (ES) 2019/2033 par prudenciālajām prasībām ieguldījumu brokeru sabiedrībām un ar ko groza regulas (ES) Nr. 1093/2010, (ES) Nr. 575/2013, (ES) Nr. 600/2014 un (ES) Nr. 806/2014</w:t>
            </w:r>
            <w:r w:rsidR="009F6E05">
              <w:rPr>
                <w:rFonts w:ascii="Times New Roman" w:eastAsia="Times New Roman" w:hAnsi="Times New Roman" w:cs="Times New Roman"/>
                <w:sz w:val="24"/>
                <w:szCs w:val="24"/>
                <w:lang w:eastAsia="lv-LV"/>
              </w:rPr>
              <w:t>,</w:t>
            </w:r>
            <w:r w:rsidR="004B6ED3" w:rsidRPr="0017710C">
              <w:rPr>
                <w:rFonts w:ascii="Times New Roman" w:eastAsia="Times New Roman" w:hAnsi="Times New Roman" w:cs="Times New Roman"/>
                <w:sz w:val="24"/>
                <w:szCs w:val="24"/>
                <w:lang w:eastAsia="lv-LV"/>
              </w:rPr>
              <w:t xml:space="preserve"> 1.</w:t>
            </w:r>
            <w:r w:rsidR="00001188" w:rsidRPr="0017710C">
              <w:rPr>
                <w:rFonts w:ascii="Times New Roman" w:eastAsia="Times New Roman" w:hAnsi="Times New Roman" w:cs="Times New Roman"/>
                <w:sz w:val="24"/>
                <w:szCs w:val="24"/>
                <w:lang w:eastAsia="lv-LV"/>
              </w:rPr>
              <w:t> </w:t>
            </w:r>
            <w:r w:rsidR="004B6ED3" w:rsidRPr="0017710C">
              <w:rPr>
                <w:rFonts w:ascii="Times New Roman" w:eastAsia="Times New Roman" w:hAnsi="Times New Roman" w:cs="Times New Roman"/>
                <w:sz w:val="24"/>
                <w:szCs w:val="24"/>
                <w:lang w:eastAsia="lv-LV"/>
              </w:rPr>
              <w:t>panta 2.</w:t>
            </w:r>
            <w:r w:rsidR="009F6E05">
              <w:rPr>
                <w:rFonts w:ascii="Times New Roman" w:eastAsia="Times New Roman" w:hAnsi="Times New Roman" w:cs="Times New Roman"/>
                <w:sz w:val="24"/>
                <w:szCs w:val="24"/>
                <w:lang w:eastAsia="lv-LV"/>
              </w:rPr>
              <w:t> </w:t>
            </w:r>
            <w:r w:rsidR="004B6ED3" w:rsidRPr="0017710C">
              <w:rPr>
                <w:rFonts w:ascii="Times New Roman" w:eastAsia="Times New Roman" w:hAnsi="Times New Roman" w:cs="Times New Roman"/>
                <w:sz w:val="24"/>
                <w:szCs w:val="24"/>
                <w:lang w:eastAsia="lv-LV"/>
              </w:rPr>
              <w:t>un 5. punktā, respektīvi, 1."–" klases ieguldījumu brokeru sabiedrībām (turpmāk kopā – iestāde). Šobrīd nav tādu Latvijas Republikā reģistrētu ieguldījumu brokeru sabiedrību, kuras norādītas Kredītiestāžu likuma 11.</w:t>
            </w:r>
            <w:r w:rsidR="004B6ED3" w:rsidRPr="0017710C">
              <w:rPr>
                <w:rFonts w:ascii="Times New Roman" w:eastAsia="Times New Roman" w:hAnsi="Times New Roman" w:cs="Times New Roman"/>
                <w:sz w:val="24"/>
                <w:szCs w:val="24"/>
                <w:vertAlign w:val="superscript"/>
                <w:lang w:eastAsia="lv-LV"/>
              </w:rPr>
              <w:t>2</w:t>
            </w:r>
            <w:r w:rsidR="004B6ED3" w:rsidRPr="0017710C">
              <w:rPr>
                <w:rFonts w:ascii="Times New Roman" w:eastAsia="Times New Roman" w:hAnsi="Times New Roman" w:cs="Times New Roman"/>
                <w:sz w:val="24"/>
                <w:szCs w:val="24"/>
                <w:lang w:eastAsia="lv-LV"/>
              </w:rPr>
              <w:t> pantā un minētās regulas (ES)</w:t>
            </w:r>
            <w:r w:rsidR="005C49E0" w:rsidRPr="0017710C">
              <w:rPr>
                <w:rFonts w:ascii="Times New Roman" w:eastAsia="Times New Roman" w:hAnsi="Times New Roman" w:cs="Times New Roman"/>
                <w:sz w:val="24"/>
                <w:szCs w:val="24"/>
                <w:lang w:eastAsia="lv-LV"/>
              </w:rPr>
              <w:t> </w:t>
            </w:r>
            <w:r w:rsidR="004B6ED3" w:rsidRPr="0017710C">
              <w:rPr>
                <w:rFonts w:ascii="Times New Roman" w:eastAsia="Times New Roman" w:hAnsi="Times New Roman" w:cs="Times New Roman"/>
                <w:sz w:val="24"/>
                <w:szCs w:val="24"/>
                <w:lang w:eastAsia="lv-LV"/>
              </w:rPr>
              <w:t>2019/2033 1. panta 2. un 5. punktā.</w:t>
            </w:r>
          </w:p>
          <w:p w14:paraId="6F8AAF4F" w14:textId="415E186F" w:rsidR="006C3828" w:rsidRPr="005D0C40" w:rsidRDefault="006C3828" w:rsidP="0037089C">
            <w:pPr>
              <w:pStyle w:val="Heading2"/>
              <w:numPr>
                <w:ilvl w:val="0"/>
                <w:numId w:val="0"/>
              </w:numPr>
              <w:spacing w:after="120"/>
              <w:rPr>
                <w:rFonts w:eastAsia="Times New Roman"/>
                <w:lang w:val="lv-LV" w:eastAsia="lv-LV"/>
              </w:rPr>
            </w:pPr>
            <w:r w:rsidRPr="005D0C40">
              <w:rPr>
                <w:rFonts w:eastAsia="Times New Roman"/>
                <w:lang w:val="lv-LV" w:eastAsia="lv-LV"/>
              </w:rPr>
              <w:t>Noteikumu projekts</w:t>
            </w:r>
            <w:r w:rsidR="003F7A1F" w:rsidRPr="005D0C40">
              <w:rPr>
                <w:rFonts w:eastAsia="Times New Roman"/>
                <w:lang w:val="lv-LV" w:eastAsia="lv-LV"/>
              </w:rPr>
              <w:t xml:space="preserve"> </w:t>
            </w:r>
            <w:r w:rsidRPr="005D0C40">
              <w:rPr>
                <w:rFonts w:eastAsia="Times New Roman"/>
                <w:lang w:val="lv-LV" w:eastAsia="lv-LV"/>
              </w:rPr>
              <w:t>nosaka:</w:t>
            </w:r>
          </w:p>
          <w:p w14:paraId="128A1856" w14:textId="4DF6BFC5" w:rsidR="0017710C" w:rsidRDefault="006E334C" w:rsidP="002C2F57">
            <w:pPr>
              <w:pStyle w:val="ListParagraph"/>
              <w:numPr>
                <w:ilvl w:val="0"/>
                <w:numId w:val="1"/>
              </w:numPr>
              <w:tabs>
                <w:tab w:val="left" w:pos="312"/>
              </w:tabs>
              <w:spacing w:after="120"/>
              <w:jc w:val="both"/>
              <w:rPr>
                <w:rFonts w:ascii="Times New Roman" w:eastAsia="Times New Roman" w:hAnsi="Times New Roman" w:cs="Times New Roman"/>
                <w:color w:val="000000"/>
                <w:sz w:val="24"/>
                <w:szCs w:val="24"/>
                <w:lang w:eastAsia="lv-LV"/>
              </w:rPr>
            </w:pPr>
            <w:r w:rsidRPr="0017710C">
              <w:rPr>
                <w:rFonts w:ascii="Times New Roman" w:eastAsia="Times New Roman" w:hAnsi="Times New Roman" w:cs="Times New Roman"/>
                <w:color w:val="000000"/>
                <w:sz w:val="24"/>
                <w:szCs w:val="24"/>
                <w:lang w:eastAsia="lv-LV"/>
              </w:rPr>
              <w:t xml:space="preserve">kredītiestādei specifiskās pretcikliskās kapitāla rezerves normas aprēķināšanas </w:t>
            </w:r>
            <w:r w:rsidR="008D61BF">
              <w:rPr>
                <w:rFonts w:ascii="Times New Roman" w:eastAsia="Times New Roman" w:hAnsi="Times New Roman" w:cs="Times New Roman"/>
                <w:color w:val="000000"/>
                <w:sz w:val="24"/>
                <w:szCs w:val="24"/>
                <w:lang w:eastAsia="lv-LV"/>
              </w:rPr>
              <w:t>kārtību</w:t>
            </w:r>
            <w:r w:rsidR="0017710C" w:rsidRPr="0017710C">
              <w:rPr>
                <w:rFonts w:ascii="Times New Roman" w:eastAsia="Times New Roman" w:hAnsi="Times New Roman" w:cs="Times New Roman"/>
                <w:color w:val="000000"/>
                <w:sz w:val="24"/>
                <w:szCs w:val="24"/>
                <w:lang w:eastAsia="lv-LV"/>
              </w:rPr>
              <w:t>;</w:t>
            </w:r>
          </w:p>
          <w:p w14:paraId="1442481F" w14:textId="0EFB0E87" w:rsidR="006E334C" w:rsidRPr="0017710C" w:rsidRDefault="006E334C" w:rsidP="002C2F57">
            <w:pPr>
              <w:pStyle w:val="ListParagraph"/>
              <w:numPr>
                <w:ilvl w:val="0"/>
                <w:numId w:val="1"/>
              </w:numPr>
              <w:tabs>
                <w:tab w:val="left" w:pos="312"/>
              </w:tabs>
              <w:spacing w:after="120"/>
              <w:jc w:val="both"/>
              <w:rPr>
                <w:rFonts w:ascii="Times New Roman" w:eastAsia="Times New Roman" w:hAnsi="Times New Roman" w:cs="Times New Roman"/>
                <w:color w:val="000000"/>
                <w:sz w:val="24"/>
                <w:szCs w:val="24"/>
                <w:lang w:eastAsia="lv-LV"/>
              </w:rPr>
            </w:pPr>
            <w:bookmarkStart w:id="1" w:name="_Hlk179798270"/>
            <w:r w:rsidRPr="0017710C">
              <w:rPr>
                <w:rFonts w:ascii="Times New Roman" w:eastAsia="Times New Roman" w:hAnsi="Times New Roman" w:cs="Times New Roman"/>
                <w:color w:val="000000"/>
                <w:sz w:val="24"/>
                <w:szCs w:val="24"/>
                <w:lang w:eastAsia="lv-LV"/>
              </w:rPr>
              <w:t>kredītriskam pakļaut</w:t>
            </w:r>
            <w:r>
              <w:rPr>
                <w:rFonts w:ascii="Times New Roman" w:eastAsia="Times New Roman" w:hAnsi="Times New Roman" w:cs="Times New Roman"/>
                <w:color w:val="000000"/>
                <w:sz w:val="24"/>
                <w:szCs w:val="24"/>
                <w:lang w:eastAsia="lv-LV"/>
              </w:rPr>
              <w:t>o</w:t>
            </w:r>
            <w:r w:rsidRPr="0017710C">
              <w:rPr>
                <w:rFonts w:ascii="Times New Roman" w:eastAsia="Times New Roman" w:hAnsi="Times New Roman" w:cs="Times New Roman"/>
                <w:color w:val="000000"/>
                <w:sz w:val="24"/>
                <w:szCs w:val="24"/>
                <w:lang w:eastAsia="lv-LV"/>
              </w:rPr>
              <w:t xml:space="preserve">s </w:t>
            </w:r>
            <w:r>
              <w:rPr>
                <w:rFonts w:ascii="Times New Roman" w:eastAsia="Times New Roman" w:hAnsi="Times New Roman" w:cs="Times New Roman"/>
                <w:color w:val="000000"/>
                <w:sz w:val="24"/>
                <w:szCs w:val="24"/>
                <w:lang w:eastAsia="lv-LV"/>
              </w:rPr>
              <w:t xml:space="preserve">riska </w:t>
            </w:r>
            <w:r w:rsidRPr="0017710C">
              <w:rPr>
                <w:rFonts w:ascii="Times New Roman" w:eastAsia="Times New Roman" w:hAnsi="Times New Roman" w:cs="Times New Roman"/>
                <w:color w:val="000000"/>
                <w:sz w:val="24"/>
                <w:szCs w:val="24"/>
                <w:lang w:eastAsia="lv-LV"/>
              </w:rPr>
              <w:t>darījumus</w:t>
            </w:r>
            <w:bookmarkEnd w:id="1"/>
            <w:r w:rsidRPr="0017710C">
              <w:rPr>
                <w:rFonts w:ascii="Times New Roman" w:eastAsia="Times New Roman" w:hAnsi="Times New Roman" w:cs="Times New Roman"/>
                <w:color w:val="000000"/>
                <w:sz w:val="24"/>
                <w:szCs w:val="24"/>
                <w:lang w:eastAsia="lv-LV"/>
              </w:rPr>
              <w:t>, kuriem</w:t>
            </w:r>
            <w:r w:rsidR="00446BF4">
              <w:rPr>
                <w:rFonts w:ascii="Times New Roman" w:eastAsia="Times New Roman" w:hAnsi="Times New Roman" w:cs="Times New Roman"/>
                <w:color w:val="000000"/>
                <w:sz w:val="24"/>
                <w:szCs w:val="24"/>
                <w:lang w:eastAsia="lv-LV"/>
              </w:rPr>
              <w:t xml:space="preserve"> aprēķina ietvaros</w:t>
            </w:r>
            <w:r w:rsidRPr="0017710C">
              <w:rPr>
                <w:rFonts w:ascii="Times New Roman" w:eastAsia="Times New Roman" w:hAnsi="Times New Roman" w:cs="Times New Roman"/>
                <w:color w:val="000000"/>
                <w:sz w:val="24"/>
                <w:szCs w:val="24"/>
                <w:lang w:eastAsia="lv-LV"/>
              </w:rPr>
              <w:t xml:space="preserve"> piemērojama pretcikliskās kapitāla rezerves norma</w:t>
            </w:r>
            <w:r w:rsidR="00593355">
              <w:rPr>
                <w:rFonts w:ascii="Times New Roman" w:eastAsia="Times New Roman" w:hAnsi="Times New Roman" w:cs="Times New Roman"/>
                <w:color w:val="000000"/>
                <w:sz w:val="24"/>
                <w:szCs w:val="24"/>
                <w:lang w:eastAsia="lv-LV"/>
              </w:rPr>
              <w:t>;</w:t>
            </w:r>
          </w:p>
          <w:p w14:paraId="46463754" w14:textId="37358D94" w:rsidR="00556D06" w:rsidRDefault="0017710C" w:rsidP="002C2F57">
            <w:pPr>
              <w:pStyle w:val="ListParagraph"/>
              <w:numPr>
                <w:ilvl w:val="0"/>
                <w:numId w:val="1"/>
              </w:numPr>
              <w:tabs>
                <w:tab w:val="left" w:pos="312"/>
              </w:tabs>
              <w:spacing w:after="120" w:line="240" w:lineRule="auto"/>
              <w:jc w:val="both"/>
              <w:rPr>
                <w:rFonts w:ascii="Times New Roman" w:eastAsia="Times New Roman" w:hAnsi="Times New Roman" w:cs="Times New Roman"/>
                <w:color w:val="000000"/>
                <w:sz w:val="24"/>
                <w:szCs w:val="24"/>
                <w:lang w:eastAsia="lv-LV"/>
              </w:rPr>
            </w:pPr>
            <w:r w:rsidRPr="0017710C">
              <w:rPr>
                <w:rFonts w:ascii="Times New Roman" w:eastAsia="Times New Roman" w:hAnsi="Times New Roman" w:cs="Times New Roman"/>
                <w:color w:val="000000"/>
                <w:sz w:val="24"/>
                <w:szCs w:val="24"/>
                <w:lang w:eastAsia="lv-LV"/>
              </w:rPr>
              <w:t>kredītriskam pakļaut</w:t>
            </w:r>
            <w:r w:rsidR="000E3D67">
              <w:rPr>
                <w:rFonts w:ascii="Times New Roman" w:eastAsia="Times New Roman" w:hAnsi="Times New Roman" w:cs="Times New Roman"/>
                <w:color w:val="000000"/>
                <w:sz w:val="24"/>
                <w:szCs w:val="24"/>
                <w:lang w:eastAsia="lv-LV"/>
              </w:rPr>
              <w:t>aj</w:t>
            </w:r>
            <w:r w:rsidRPr="0017710C">
              <w:rPr>
                <w:rFonts w:ascii="Times New Roman" w:eastAsia="Times New Roman" w:hAnsi="Times New Roman" w:cs="Times New Roman"/>
                <w:color w:val="000000"/>
                <w:sz w:val="24"/>
                <w:szCs w:val="24"/>
                <w:lang w:eastAsia="lv-LV"/>
              </w:rPr>
              <w:t xml:space="preserve">iem </w:t>
            </w:r>
            <w:r w:rsidR="00254EC0">
              <w:rPr>
                <w:rFonts w:ascii="Times New Roman" w:eastAsia="Times New Roman" w:hAnsi="Times New Roman" w:cs="Times New Roman"/>
                <w:color w:val="000000"/>
                <w:sz w:val="24"/>
                <w:szCs w:val="24"/>
                <w:lang w:eastAsia="lv-LV"/>
              </w:rPr>
              <w:t xml:space="preserve">riska </w:t>
            </w:r>
            <w:r w:rsidRPr="0017710C">
              <w:rPr>
                <w:rFonts w:ascii="Times New Roman" w:eastAsia="Times New Roman" w:hAnsi="Times New Roman" w:cs="Times New Roman"/>
                <w:color w:val="000000"/>
                <w:sz w:val="24"/>
                <w:szCs w:val="24"/>
                <w:lang w:eastAsia="lv-LV"/>
              </w:rPr>
              <w:t xml:space="preserve">darījumiem ar Latvijas, dalībvalsts un ārvalsts rezidentiem </w:t>
            </w:r>
            <w:r w:rsidR="00446BF4">
              <w:rPr>
                <w:rFonts w:ascii="Times New Roman" w:eastAsia="Times New Roman" w:hAnsi="Times New Roman" w:cs="Times New Roman"/>
                <w:color w:val="000000"/>
                <w:sz w:val="24"/>
                <w:szCs w:val="24"/>
                <w:lang w:eastAsia="lv-LV"/>
              </w:rPr>
              <w:t xml:space="preserve">aprēķina ietvaros </w:t>
            </w:r>
            <w:r w:rsidRPr="0017710C">
              <w:rPr>
                <w:rFonts w:ascii="Times New Roman" w:eastAsia="Times New Roman" w:hAnsi="Times New Roman" w:cs="Times New Roman"/>
                <w:color w:val="000000"/>
                <w:sz w:val="24"/>
                <w:szCs w:val="24"/>
                <w:lang w:eastAsia="lv-LV"/>
              </w:rPr>
              <w:t>piemērojam</w:t>
            </w:r>
            <w:r w:rsidR="000E3D67">
              <w:rPr>
                <w:rFonts w:ascii="Times New Roman" w:eastAsia="Times New Roman" w:hAnsi="Times New Roman" w:cs="Times New Roman"/>
                <w:color w:val="000000"/>
                <w:sz w:val="24"/>
                <w:szCs w:val="24"/>
                <w:lang w:eastAsia="lv-LV"/>
              </w:rPr>
              <w:t>ā</w:t>
            </w:r>
            <w:r w:rsidRPr="0017710C">
              <w:rPr>
                <w:rFonts w:ascii="Times New Roman" w:eastAsia="Times New Roman" w:hAnsi="Times New Roman" w:cs="Times New Roman"/>
                <w:color w:val="000000"/>
                <w:sz w:val="24"/>
                <w:szCs w:val="24"/>
                <w:lang w:eastAsia="lv-LV"/>
              </w:rPr>
              <w:t xml:space="preserve">s </w:t>
            </w:r>
            <w:bookmarkStart w:id="2" w:name="_Hlk179798299"/>
            <w:r w:rsidRPr="0017710C">
              <w:rPr>
                <w:rFonts w:ascii="Times New Roman" w:eastAsia="Times New Roman" w:hAnsi="Times New Roman" w:cs="Times New Roman"/>
                <w:color w:val="000000"/>
                <w:sz w:val="24"/>
                <w:szCs w:val="24"/>
                <w:lang w:eastAsia="lv-LV"/>
              </w:rPr>
              <w:t xml:space="preserve">pretcikliskās kapitāla rezerves normas </w:t>
            </w:r>
            <w:bookmarkEnd w:id="2"/>
            <w:r w:rsidRPr="0017710C">
              <w:rPr>
                <w:rFonts w:ascii="Times New Roman" w:eastAsia="Times New Roman" w:hAnsi="Times New Roman" w:cs="Times New Roman"/>
                <w:color w:val="000000"/>
                <w:sz w:val="24"/>
                <w:szCs w:val="24"/>
                <w:lang w:eastAsia="lv-LV"/>
              </w:rPr>
              <w:t>noteikšanas kārtību</w:t>
            </w:r>
            <w:r>
              <w:rPr>
                <w:rFonts w:ascii="Times New Roman" w:eastAsia="Times New Roman" w:hAnsi="Times New Roman" w:cs="Times New Roman"/>
                <w:color w:val="000000"/>
                <w:sz w:val="24"/>
                <w:szCs w:val="24"/>
                <w:lang w:eastAsia="lv-LV"/>
              </w:rPr>
              <w:t>;</w:t>
            </w:r>
          </w:p>
          <w:p w14:paraId="5B4EF550" w14:textId="224BB6A0" w:rsidR="0017710C" w:rsidRPr="005D0C40" w:rsidRDefault="0017710C" w:rsidP="002C2F57">
            <w:pPr>
              <w:pStyle w:val="ListParagraph"/>
              <w:numPr>
                <w:ilvl w:val="0"/>
                <w:numId w:val="1"/>
              </w:numPr>
              <w:tabs>
                <w:tab w:val="left" w:pos="312"/>
              </w:tabs>
              <w:spacing w:after="120" w:line="240" w:lineRule="auto"/>
              <w:jc w:val="both"/>
              <w:rPr>
                <w:rFonts w:ascii="Times New Roman" w:eastAsia="Times New Roman" w:hAnsi="Times New Roman" w:cs="Times New Roman"/>
                <w:color w:val="000000"/>
                <w:sz w:val="24"/>
                <w:szCs w:val="24"/>
                <w:lang w:eastAsia="lv-LV"/>
              </w:rPr>
            </w:pPr>
            <w:r w:rsidRPr="0017710C">
              <w:rPr>
                <w:rFonts w:ascii="Times New Roman" w:eastAsia="Times New Roman" w:hAnsi="Times New Roman" w:cs="Times New Roman"/>
                <w:color w:val="000000"/>
                <w:sz w:val="24"/>
                <w:szCs w:val="24"/>
                <w:lang w:eastAsia="lv-LV"/>
              </w:rPr>
              <w:lastRenderedPageBreak/>
              <w:t xml:space="preserve">datuma, no kura </w:t>
            </w:r>
            <w:r w:rsidR="00446BF4">
              <w:rPr>
                <w:rFonts w:ascii="Times New Roman" w:eastAsia="Times New Roman" w:hAnsi="Times New Roman" w:cs="Times New Roman"/>
                <w:color w:val="000000"/>
                <w:sz w:val="24"/>
                <w:szCs w:val="24"/>
                <w:lang w:eastAsia="lv-LV"/>
              </w:rPr>
              <w:t xml:space="preserve">aprēķina ietvaros </w:t>
            </w:r>
            <w:r w:rsidRPr="0017710C">
              <w:rPr>
                <w:rFonts w:ascii="Times New Roman" w:eastAsia="Times New Roman" w:hAnsi="Times New Roman" w:cs="Times New Roman"/>
                <w:color w:val="000000"/>
                <w:sz w:val="24"/>
                <w:szCs w:val="24"/>
                <w:lang w:eastAsia="lv-LV"/>
              </w:rPr>
              <w:t>piemēro attiecīgo pretciklisko kapitāla rezerves normu, noteikšanas kārtību</w:t>
            </w:r>
            <w:r>
              <w:rPr>
                <w:rFonts w:ascii="Times New Roman" w:eastAsia="Times New Roman" w:hAnsi="Times New Roman" w:cs="Times New Roman"/>
                <w:color w:val="000000"/>
                <w:sz w:val="24"/>
                <w:szCs w:val="24"/>
                <w:lang w:eastAsia="lv-LV"/>
              </w:rPr>
              <w:t>;</w:t>
            </w:r>
          </w:p>
          <w:p w14:paraId="1B9F7D21" w14:textId="50902817" w:rsidR="002C2F57" w:rsidRDefault="002C2F57" w:rsidP="0037089C">
            <w:pPr>
              <w:keepLines/>
              <w:tabs>
                <w:tab w:val="left" w:pos="5114"/>
              </w:tabs>
              <w:spacing w:after="120" w:line="240" w:lineRule="auto"/>
              <w:jc w:val="both"/>
              <w:outlineLvl w:val="1"/>
              <w:rPr>
                <w:rFonts w:ascii="Times New Roman" w:eastAsia="Times New Roman" w:hAnsi="Times New Roman" w:cs="Times New Roman"/>
                <w:iCs/>
                <w:sz w:val="24"/>
                <w:szCs w:val="24"/>
              </w:rPr>
            </w:pPr>
            <w:r w:rsidRPr="002C2F57">
              <w:rPr>
                <w:rFonts w:ascii="Times New Roman" w:eastAsia="Times New Roman" w:hAnsi="Times New Roman" w:cs="Times New Roman"/>
                <w:iCs/>
                <w:sz w:val="24"/>
                <w:szCs w:val="24"/>
              </w:rPr>
              <w:t>Informācija par aktuāl</w:t>
            </w:r>
            <w:r>
              <w:rPr>
                <w:rFonts w:ascii="Times New Roman" w:eastAsia="Times New Roman" w:hAnsi="Times New Roman" w:cs="Times New Roman"/>
                <w:iCs/>
                <w:sz w:val="24"/>
                <w:szCs w:val="24"/>
              </w:rPr>
              <w:t>ajām dalībvalstu un ārvalstu</w:t>
            </w:r>
            <w:r w:rsidRPr="002C2F57">
              <w:rPr>
                <w:rFonts w:ascii="Times New Roman" w:eastAsia="Times New Roman" w:hAnsi="Times New Roman" w:cs="Times New Roman"/>
                <w:iCs/>
                <w:sz w:val="24"/>
                <w:szCs w:val="24"/>
              </w:rPr>
              <w:t xml:space="preserve"> pretcikliskās kapitāla rezerves norm</w:t>
            </w:r>
            <w:r>
              <w:rPr>
                <w:rFonts w:ascii="Times New Roman" w:eastAsia="Times New Roman" w:hAnsi="Times New Roman" w:cs="Times New Roman"/>
                <w:iCs/>
                <w:sz w:val="24"/>
                <w:szCs w:val="24"/>
              </w:rPr>
              <w:t>ām</w:t>
            </w:r>
            <w:r w:rsidRPr="002C2F57">
              <w:rPr>
                <w:rFonts w:ascii="Times New Roman" w:eastAsia="Times New Roman" w:hAnsi="Times New Roman" w:cs="Times New Roman"/>
                <w:iCs/>
                <w:sz w:val="24"/>
                <w:szCs w:val="24"/>
              </w:rPr>
              <w:t xml:space="preserve"> ir atrodama Eiropas Sistēmisko risku kolēģijas</w:t>
            </w:r>
            <w:r>
              <w:rPr>
                <w:rFonts w:ascii="Times New Roman" w:eastAsia="Times New Roman" w:hAnsi="Times New Roman" w:cs="Times New Roman"/>
                <w:iCs/>
                <w:sz w:val="24"/>
                <w:szCs w:val="24"/>
              </w:rPr>
              <w:t>,</w:t>
            </w:r>
            <w:r>
              <w:t xml:space="preserve"> </w:t>
            </w:r>
            <w:r w:rsidRPr="002C2F57">
              <w:rPr>
                <w:rFonts w:ascii="Times New Roman" w:eastAsia="Times New Roman" w:hAnsi="Times New Roman" w:cs="Times New Roman"/>
                <w:iCs/>
                <w:sz w:val="24"/>
                <w:szCs w:val="24"/>
              </w:rPr>
              <w:t>Starptautisko norēķinu bankas un Bāzeles Banku uzraudzības komitejas tīmekļvietnē</w:t>
            </w:r>
            <w:r>
              <w:rPr>
                <w:rFonts w:ascii="Times New Roman" w:eastAsia="Times New Roman" w:hAnsi="Times New Roman" w:cs="Times New Roman"/>
                <w:iCs/>
                <w:sz w:val="24"/>
                <w:szCs w:val="24"/>
              </w:rPr>
              <w:t>s</w:t>
            </w:r>
            <w:r w:rsidRPr="002C2F57">
              <w:rPr>
                <w:rFonts w:ascii="Times New Roman" w:eastAsia="Times New Roman" w:hAnsi="Times New Roman" w:cs="Times New Roman"/>
                <w:iCs/>
                <w:sz w:val="24"/>
                <w:szCs w:val="24"/>
              </w:rPr>
              <w:t>.</w:t>
            </w:r>
          </w:p>
          <w:p w14:paraId="6CBBCF3C" w14:textId="69DA4692" w:rsidR="002C2F57" w:rsidRDefault="002C2F57" w:rsidP="0037089C">
            <w:pPr>
              <w:keepLines/>
              <w:tabs>
                <w:tab w:val="left" w:pos="5114"/>
              </w:tabs>
              <w:spacing w:after="120" w:line="240" w:lineRule="auto"/>
              <w:jc w:val="both"/>
              <w:outlineLvl w:val="1"/>
              <w:rPr>
                <w:rFonts w:ascii="Times New Roman" w:eastAsia="Times New Roman" w:hAnsi="Times New Roman" w:cs="Times New Roman"/>
                <w:iCs/>
                <w:sz w:val="24"/>
                <w:szCs w:val="24"/>
              </w:rPr>
            </w:pPr>
            <w:r w:rsidRPr="002C2F57">
              <w:rPr>
                <w:rFonts w:ascii="Times New Roman" w:eastAsia="Times New Roman" w:hAnsi="Times New Roman" w:cs="Times New Roman"/>
                <w:iCs/>
                <w:sz w:val="24"/>
                <w:szCs w:val="24"/>
              </w:rPr>
              <w:t xml:space="preserve">Kredītiestāde informāciju par tai specifiskās pretcikliskās kapitāla rezerves prasības izpildi atklāj saskaņā ar </w:t>
            </w:r>
            <w:r w:rsidR="00F46677" w:rsidRPr="00F46677">
              <w:rPr>
                <w:rFonts w:ascii="Times New Roman" w:eastAsia="Times New Roman" w:hAnsi="Times New Roman" w:cs="Times New Roman"/>
                <w:iCs/>
                <w:sz w:val="24"/>
                <w:szCs w:val="24"/>
              </w:rPr>
              <w:t>Eiropas Parlamenta un Padomes</w:t>
            </w:r>
            <w:r w:rsidR="00F46677">
              <w:rPr>
                <w:rFonts w:ascii="Times New Roman" w:eastAsia="Times New Roman" w:hAnsi="Times New Roman" w:cs="Times New Roman"/>
                <w:iCs/>
                <w:sz w:val="24"/>
                <w:szCs w:val="24"/>
              </w:rPr>
              <w:t xml:space="preserve"> </w:t>
            </w:r>
            <w:r w:rsidR="00F46677" w:rsidRPr="00F46677">
              <w:rPr>
                <w:rFonts w:ascii="Times New Roman" w:eastAsia="Times New Roman" w:hAnsi="Times New Roman" w:cs="Times New Roman"/>
                <w:iCs/>
                <w:sz w:val="24"/>
                <w:szCs w:val="24"/>
              </w:rPr>
              <w:t>2013.</w:t>
            </w:r>
            <w:r w:rsidR="00F46677">
              <w:rPr>
                <w:rFonts w:ascii="Times New Roman" w:eastAsia="Times New Roman" w:hAnsi="Times New Roman" w:cs="Times New Roman"/>
                <w:iCs/>
                <w:sz w:val="24"/>
                <w:szCs w:val="24"/>
              </w:rPr>
              <w:t> </w:t>
            </w:r>
            <w:r w:rsidR="00F46677" w:rsidRPr="00F46677">
              <w:rPr>
                <w:rFonts w:ascii="Times New Roman" w:eastAsia="Times New Roman" w:hAnsi="Times New Roman" w:cs="Times New Roman"/>
                <w:iCs/>
                <w:sz w:val="24"/>
                <w:szCs w:val="24"/>
              </w:rPr>
              <w:t>gada 26.</w:t>
            </w:r>
            <w:r w:rsidR="00F46677">
              <w:rPr>
                <w:rFonts w:ascii="Times New Roman" w:eastAsia="Times New Roman" w:hAnsi="Times New Roman" w:cs="Times New Roman"/>
                <w:iCs/>
                <w:sz w:val="24"/>
                <w:szCs w:val="24"/>
              </w:rPr>
              <w:t> </w:t>
            </w:r>
            <w:r w:rsidR="00F46677" w:rsidRPr="00F46677">
              <w:rPr>
                <w:rFonts w:ascii="Times New Roman" w:eastAsia="Times New Roman" w:hAnsi="Times New Roman" w:cs="Times New Roman"/>
                <w:iCs/>
                <w:sz w:val="24"/>
                <w:szCs w:val="24"/>
              </w:rPr>
              <w:t>jūnij</w:t>
            </w:r>
            <w:r w:rsidR="00F46677">
              <w:rPr>
                <w:rFonts w:ascii="Times New Roman" w:eastAsia="Times New Roman" w:hAnsi="Times New Roman" w:cs="Times New Roman"/>
                <w:iCs/>
                <w:sz w:val="24"/>
                <w:szCs w:val="24"/>
              </w:rPr>
              <w:t>a</w:t>
            </w:r>
            <w:r w:rsidR="00F46677" w:rsidRPr="00F46677">
              <w:rPr>
                <w:rFonts w:ascii="Times New Roman" w:eastAsia="Times New Roman" w:hAnsi="Times New Roman" w:cs="Times New Roman"/>
                <w:iCs/>
                <w:sz w:val="24"/>
                <w:szCs w:val="24"/>
              </w:rPr>
              <w:t xml:space="preserve"> </w:t>
            </w:r>
            <w:r w:rsidR="00F46677">
              <w:rPr>
                <w:rFonts w:ascii="Times New Roman" w:eastAsia="Times New Roman" w:hAnsi="Times New Roman" w:cs="Times New Roman"/>
                <w:iCs/>
                <w:sz w:val="24"/>
                <w:szCs w:val="24"/>
              </w:rPr>
              <w:t>r</w:t>
            </w:r>
            <w:r w:rsidR="00F46677" w:rsidRPr="00F46677">
              <w:rPr>
                <w:rFonts w:ascii="Times New Roman" w:eastAsia="Times New Roman" w:hAnsi="Times New Roman" w:cs="Times New Roman"/>
                <w:iCs/>
                <w:sz w:val="24"/>
                <w:szCs w:val="24"/>
              </w:rPr>
              <w:t>egula</w:t>
            </w:r>
            <w:r w:rsidR="00F46677">
              <w:rPr>
                <w:rFonts w:ascii="Times New Roman" w:eastAsia="Times New Roman" w:hAnsi="Times New Roman" w:cs="Times New Roman"/>
                <w:iCs/>
                <w:sz w:val="24"/>
                <w:szCs w:val="24"/>
              </w:rPr>
              <w:t>s</w:t>
            </w:r>
            <w:r w:rsidR="00F46677" w:rsidRPr="00F46677">
              <w:rPr>
                <w:rFonts w:ascii="Times New Roman" w:eastAsia="Times New Roman" w:hAnsi="Times New Roman" w:cs="Times New Roman"/>
                <w:iCs/>
                <w:sz w:val="24"/>
                <w:szCs w:val="24"/>
              </w:rPr>
              <w:t xml:space="preserve"> (ES) Nr.</w:t>
            </w:r>
            <w:r w:rsidR="00F46677">
              <w:rPr>
                <w:rFonts w:ascii="Times New Roman" w:eastAsia="Times New Roman" w:hAnsi="Times New Roman" w:cs="Times New Roman"/>
                <w:iCs/>
                <w:sz w:val="24"/>
                <w:szCs w:val="24"/>
              </w:rPr>
              <w:t> </w:t>
            </w:r>
            <w:r w:rsidR="00F46677" w:rsidRPr="00F46677">
              <w:rPr>
                <w:rFonts w:ascii="Times New Roman" w:eastAsia="Times New Roman" w:hAnsi="Times New Roman" w:cs="Times New Roman"/>
                <w:iCs/>
                <w:sz w:val="24"/>
                <w:szCs w:val="24"/>
              </w:rPr>
              <w:t xml:space="preserve">575/2013 par prudenciālajām prasībām attiecībā uz kredītiestādēm, un ar ko groza </w:t>
            </w:r>
            <w:r w:rsidR="00F46677">
              <w:rPr>
                <w:rFonts w:ascii="Times New Roman" w:eastAsia="Times New Roman" w:hAnsi="Times New Roman" w:cs="Times New Roman"/>
                <w:iCs/>
                <w:sz w:val="24"/>
                <w:szCs w:val="24"/>
              </w:rPr>
              <w:t>r</w:t>
            </w:r>
            <w:r w:rsidR="00F46677" w:rsidRPr="00F46677">
              <w:rPr>
                <w:rFonts w:ascii="Times New Roman" w:eastAsia="Times New Roman" w:hAnsi="Times New Roman" w:cs="Times New Roman"/>
                <w:iCs/>
                <w:sz w:val="24"/>
                <w:szCs w:val="24"/>
              </w:rPr>
              <w:t>egulu (ES) Nr.</w:t>
            </w:r>
            <w:r w:rsidR="00F46677">
              <w:rPr>
                <w:rFonts w:ascii="Times New Roman" w:eastAsia="Times New Roman" w:hAnsi="Times New Roman" w:cs="Times New Roman"/>
                <w:iCs/>
                <w:sz w:val="24"/>
                <w:szCs w:val="24"/>
              </w:rPr>
              <w:t> </w:t>
            </w:r>
            <w:r w:rsidR="00F46677" w:rsidRPr="00F46677">
              <w:rPr>
                <w:rFonts w:ascii="Times New Roman" w:eastAsia="Times New Roman" w:hAnsi="Times New Roman" w:cs="Times New Roman"/>
                <w:iCs/>
                <w:sz w:val="24"/>
                <w:szCs w:val="24"/>
              </w:rPr>
              <w:t>648/2012</w:t>
            </w:r>
            <w:r w:rsidR="00F46677">
              <w:rPr>
                <w:rFonts w:ascii="Times New Roman" w:eastAsia="Times New Roman" w:hAnsi="Times New Roman" w:cs="Times New Roman"/>
                <w:iCs/>
                <w:sz w:val="24"/>
                <w:szCs w:val="24"/>
              </w:rPr>
              <w:t xml:space="preserve"> (turpmāk – </w:t>
            </w:r>
            <w:r w:rsidRPr="002C2F57">
              <w:rPr>
                <w:rFonts w:ascii="Times New Roman" w:eastAsia="Times New Roman" w:hAnsi="Times New Roman" w:cs="Times New Roman"/>
                <w:iCs/>
                <w:sz w:val="24"/>
                <w:szCs w:val="24"/>
              </w:rPr>
              <w:t>Regula Nr. 575/2013</w:t>
            </w:r>
            <w:r w:rsidR="00F46677">
              <w:rPr>
                <w:rFonts w:ascii="Times New Roman" w:eastAsia="Times New Roman" w:hAnsi="Times New Roman" w:cs="Times New Roman"/>
                <w:iCs/>
                <w:sz w:val="24"/>
                <w:szCs w:val="24"/>
              </w:rPr>
              <w:t>)</w:t>
            </w:r>
            <w:r w:rsidRPr="002C2F57">
              <w:rPr>
                <w:rFonts w:ascii="Times New Roman" w:eastAsia="Times New Roman" w:hAnsi="Times New Roman" w:cs="Times New Roman"/>
                <w:iCs/>
                <w:sz w:val="24"/>
                <w:szCs w:val="24"/>
              </w:rPr>
              <w:t xml:space="preserve"> 440. pantu un Komisijas 2021. gada 15. marta īstenošanas regulu (ES) 2021/637, ar ko nosaka īstenošanas tehniskos standartus attiecībā uz to, kā iestādes publisko informāciju, kura minēta Eiropas Parlamenta un Padomes regulas (ES) Nr. 575/2013 astotās daļas II</w:t>
            </w:r>
            <w:r w:rsidR="009F6E05">
              <w:rPr>
                <w:rFonts w:ascii="Times New Roman" w:eastAsia="Times New Roman" w:hAnsi="Times New Roman" w:cs="Times New Roman"/>
                <w:iCs/>
                <w:sz w:val="24"/>
                <w:szCs w:val="24"/>
              </w:rPr>
              <w:t> </w:t>
            </w:r>
            <w:r w:rsidRPr="002C2F57">
              <w:rPr>
                <w:rFonts w:ascii="Times New Roman" w:eastAsia="Times New Roman" w:hAnsi="Times New Roman" w:cs="Times New Roman"/>
                <w:iCs/>
                <w:sz w:val="24"/>
                <w:szCs w:val="24"/>
              </w:rPr>
              <w:t>un III sadaļā, un ar ko atceļ Komisijas īstenošanas regulu (ES) Nr. 1423/2013, Komisijas deleģēto regulu (ES) 2015/1555, Komisijas īstenošanas regulu (ES) 2016/200 un Komisijas deleģēto regulu (ES) 2017/2295</w:t>
            </w:r>
            <w:r w:rsidR="00026635">
              <w:rPr>
                <w:rFonts w:ascii="Times New Roman" w:eastAsia="Times New Roman" w:hAnsi="Times New Roman" w:cs="Times New Roman"/>
                <w:iCs/>
                <w:sz w:val="24"/>
                <w:szCs w:val="24"/>
              </w:rPr>
              <w:t xml:space="preserve"> (turpmāk – Īstenošanas regula Nr. </w:t>
            </w:r>
            <w:r w:rsidR="00026635" w:rsidRPr="002C2F57">
              <w:rPr>
                <w:rFonts w:ascii="Times New Roman" w:eastAsia="Times New Roman" w:hAnsi="Times New Roman" w:cs="Times New Roman"/>
                <w:iCs/>
                <w:sz w:val="24"/>
                <w:szCs w:val="24"/>
              </w:rPr>
              <w:t>2021/637</w:t>
            </w:r>
            <w:r w:rsidR="00026635">
              <w:rPr>
                <w:rFonts w:ascii="Times New Roman" w:eastAsia="Times New Roman" w:hAnsi="Times New Roman" w:cs="Times New Roman"/>
                <w:iCs/>
                <w:sz w:val="24"/>
                <w:szCs w:val="24"/>
              </w:rPr>
              <w:t>)</w:t>
            </w:r>
            <w:r w:rsidRPr="002C2F57">
              <w:rPr>
                <w:rFonts w:ascii="Times New Roman" w:eastAsia="Times New Roman" w:hAnsi="Times New Roman" w:cs="Times New Roman"/>
                <w:iCs/>
                <w:sz w:val="24"/>
                <w:szCs w:val="24"/>
              </w:rPr>
              <w:t>.</w:t>
            </w:r>
          </w:p>
          <w:p w14:paraId="2C8D180D" w14:textId="692B518C" w:rsidR="008A4936" w:rsidRDefault="008A4936" w:rsidP="0037089C">
            <w:pPr>
              <w:keepLines/>
              <w:tabs>
                <w:tab w:val="left" w:pos="5114"/>
              </w:tabs>
              <w:spacing w:after="120" w:line="240" w:lineRule="auto"/>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Noteikum</w:t>
            </w:r>
            <w:r w:rsidR="00310C59">
              <w:rPr>
                <w:rFonts w:ascii="Times New Roman" w:eastAsia="Times New Roman" w:hAnsi="Times New Roman" w:cs="Times New Roman"/>
                <w:iCs/>
                <w:sz w:val="24"/>
                <w:szCs w:val="24"/>
              </w:rPr>
              <w:t xml:space="preserve">u projektā ir ietvertas </w:t>
            </w:r>
            <w:r>
              <w:rPr>
                <w:rFonts w:ascii="Times New Roman" w:eastAsia="Times New Roman" w:hAnsi="Times New Roman" w:cs="Times New Roman"/>
                <w:iCs/>
                <w:sz w:val="24"/>
                <w:szCs w:val="24"/>
              </w:rPr>
              <w:t>tiesību normas attiecībā</w:t>
            </w:r>
            <w:r w:rsidR="00BC42FA">
              <w:rPr>
                <w:rFonts w:ascii="Times New Roman" w:eastAsia="Times New Roman" w:hAnsi="Times New Roman" w:cs="Times New Roman"/>
                <w:iCs/>
                <w:sz w:val="24"/>
                <w:szCs w:val="24"/>
              </w:rPr>
              <w:t xml:space="preserve"> uz</w:t>
            </w:r>
            <w:r>
              <w:rPr>
                <w:rFonts w:ascii="Times New Roman" w:eastAsia="Times New Roman" w:hAnsi="Times New Roman" w:cs="Times New Roman"/>
                <w:iCs/>
                <w:sz w:val="24"/>
                <w:szCs w:val="24"/>
              </w:rPr>
              <w:t xml:space="preserve"> </w:t>
            </w:r>
            <w:r w:rsidR="00E05679" w:rsidRPr="00E05679">
              <w:rPr>
                <w:rFonts w:ascii="Times New Roman" w:eastAsia="Times New Roman" w:hAnsi="Times New Roman" w:cs="Times New Roman"/>
                <w:iCs/>
                <w:sz w:val="24"/>
                <w:szCs w:val="24"/>
              </w:rPr>
              <w:t xml:space="preserve">kredītiestādei specifiskās pretcikliskās kapitāla rezerves normas </w:t>
            </w:r>
            <w:r w:rsidR="00E05679">
              <w:rPr>
                <w:rFonts w:ascii="Times New Roman" w:eastAsia="Times New Roman" w:hAnsi="Times New Roman" w:cs="Times New Roman"/>
                <w:iCs/>
                <w:sz w:val="24"/>
                <w:szCs w:val="24"/>
              </w:rPr>
              <w:t>aprēķina kārtību</w:t>
            </w:r>
            <w:r>
              <w:rPr>
                <w:rFonts w:ascii="Times New Roman" w:eastAsia="Times New Roman" w:hAnsi="Times New Roman" w:cs="Times New Roman"/>
                <w:iCs/>
                <w:sz w:val="24"/>
                <w:szCs w:val="24"/>
              </w:rPr>
              <w:t xml:space="preserve">, kas </w:t>
            </w:r>
            <w:r w:rsidRPr="001A247C">
              <w:rPr>
                <w:rFonts w:ascii="Times New Roman" w:eastAsia="Times New Roman" w:hAnsi="Times New Roman" w:cs="Times New Roman"/>
                <w:iCs/>
                <w:sz w:val="24"/>
                <w:szCs w:val="24"/>
              </w:rPr>
              <w:t>izriet no:</w:t>
            </w:r>
          </w:p>
          <w:p w14:paraId="0F9C9BB7" w14:textId="4BEF5600" w:rsidR="001A247C" w:rsidRPr="001A247C" w:rsidRDefault="001A247C" w:rsidP="001A247C">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1A247C">
              <w:rPr>
                <w:rFonts w:ascii="Times New Roman" w:eastAsia="Times New Roman" w:hAnsi="Times New Roman" w:cs="Times New Roman"/>
                <w:iCs/>
                <w:sz w:val="24"/>
                <w:szCs w:val="24"/>
              </w:rPr>
              <w:t xml:space="preserve">1) Eiropas Parlamenta un Padomes 2013. gada 26. jūnija </w:t>
            </w:r>
            <w:r w:rsidR="00310C59">
              <w:rPr>
                <w:rFonts w:ascii="Times New Roman" w:eastAsia="Times New Roman" w:hAnsi="Times New Roman" w:cs="Times New Roman"/>
                <w:iCs/>
                <w:sz w:val="24"/>
                <w:szCs w:val="24"/>
              </w:rPr>
              <w:t>d</w:t>
            </w:r>
            <w:r w:rsidRPr="001A247C">
              <w:rPr>
                <w:rFonts w:ascii="Times New Roman" w:eastAsia="Times New Roman" w:hAnsi="Times New Roman" w:cs="Times New Roman"/>
                <w:iCs/>
                <w:sz w:val="24"/>
                <w:szCs w:val="24"/>
              </w:rPr>
              <w:t xml:space="preserve">irektīvas 2013/36/ES par piekļuvi kredītiestāžu darbībai un kredītiestāžu prudenciālo uzraudzību, ar ko groza </w:t>
            </w:r>
            <w:r w:rsidR="00310C59">
              <w:rPr>
                <w:rFonts w:ascii="Times New Roman" w:eastAsia="Times New Roman" w:hAnsi="Times New Roman" w:cs="Times New Roman"/>
                <w:iCs/>
                <w:sz w:val="24"/>
                <w:szCs w:val="24"/>
              </w:rPr>
              <w:t>d</w:t>
            </w:r>
            <w:r w:rsidRPr="001A247C">
              <w:rPr>
                <w:rFonts w:ascii="Times New Roman" w:eastAsia="Times New Roman" w:hAnsi="Times New Roman" w:cs="Times New Roman"/>
                <w:iCs/>
                <w:sz w:val="24"/>
                <w:szCs w:val="24"/>
              </w:rPr>
              <w:t xml:space="preserve">irektīvu 2002/87/EK un atceļ </w:t>
            </w:r>
            <w:r w:rsidR="00310C59">
              <w:rPr>
                <w:rFonts w:ascii="Times New Roman" w:eastAsia="Times New Roman" w:hAnsi="Times New Roman" w:cs="Times New Roman"/>
                <w:iCs/>
                <w:sz w:val="24"/>
                <w:szCs w:val="24"/>
              </w:rPr>
              <w:t>d</w:t>
            </w:r>
            <w:r w:rsidRPr="001A247C">
              <w:rPr>
                <w:rFonts w:ascii="Times New Roman" w:eastAsia="Times New Roman" w:hAnsi="Times New Roman" w:cs="Times New Roman"/>
                <w:iCs/>
                <w:sz w:val="24"/>
                <w:szCs w:val="24"/>
              </w:rPr>
              <w:t>irektīvas 2006/48/EK un 2006/49/EK;</w:t>
            </w:r>
          </w:p>
          <w:p w14:paraId="060E624C" w14:textId="0855387C" w:rsidR="001A247C" w:rsidRPr="001A247C" w:rsidRDefault="001A247C" w:rsidP="001A247C">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1A247C">
              <w:rPr>
                <w:rFonts w:ascii="Times New Roman" w:eastAsia="Times New Roman" w:hAnsi="Times New Roman" w:cs="Times New Roman"/>
                <w:iCs/>
                <w:sz w:val="24"/>
                <w:szCs w:val="24"/>
              </w:rPr>
              <w:t>2)</w:t>
            </w:r>
            <w:r w:rsidR="00F46677" w:rsidRPr="002C2F57">
              <w:rPr>
                <w:rFonts w:ascii="Times New Roman" w:eastAsia="Times New Roman" w:hAnsi="Times New Roman" w:cs="Times New Roman"/>
                <w:iCs/>
                <w:sz w:val="24"/>
                <w:szCs w:val="24"/>
              </w:rPr>
              <w:t xml:space="preserve"> Regula</w:t>
            </w:r>
            <w:r w:rsidR="00F46677">
              <w:rPr>
                <w:rFonts w:ascii="Times New Roman" w:eastAsia="Times New Roman" w:hAnsi="Times New Roman" w:cs="Times New Roman"/>
                <w:iCs/>
                <w:sz w:val="24"/>
                <w:szCs w:val="24"/>
              </w:rPr>
              <w:t>s</w:t>
            </w:r>
            <w:r w:rsidR="00F46677" w:rsidRPr="002C2F57">
              <w:rPr>
                <w:rFonts w:ascii="Times New Roman" w:eastAsia="Times New Roman" w:hAnsi="Times New Roman" w:cs="Times New Roman"/>
                <w:iCs/>
                <w:sz w:val="24"/>
                <w:szCs w:val="24"/>
              </w:rPr>
              <w:t xml:space="preserve"> Nr. 575/2013</w:t>
            </w:r>
            <w:r w:rsidRPr="001A247C">
              <w:rPr>
                <w:rFonts w:ascii="Times New Roman" w:eastAsia="Times New Roman" w:hAnsi="Times New Roman" w:cs="Times New Roman"/>
                <w:iCs/>
                <w:sz w:val="24"/>
                <w:szCs w:val="24"/>
              </w:rPr>
              <w:t>;</w:t>
            </w:r>
          </w:p>
          <w:p w14:paraId="70DDB487" w14:textId="6D781027" w:rsidR="001A247C" w:rsidRPr="001A247C" w:rsidRDefault="001A247C" w:rsidP="001A247C">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1A247C">
              <w:rPr>
                <w:rFonts w:ascii="Times New Roman" w:eastAsia="Times New Roman" w:hAnsi="Times New Roman" w:cs="Times New Roman"/>
                <w:iCs/>
                <w:sz w:val="24"/>
                <w:szCs w:val="24"/>
              </w:rPr>
              <w:t xml:space="preserve">3) Komisijas 2014. gada 4. jūnija </w:t>
            </w:r>
            <w:r w:rsidR="00D71F85">
              <w:rPr>
                <w:rFonts w:ascii="Times New Roman" w:eastAsia="Times New Roman" w:hAnsi="Times New Roman" w:cs="Times New Roman"/>
                <w:iCs/>
                <w:sz w:val="24"/>
                <w:szCs w:val="24"/>
              </w:rPr>
              <w:t>d</w:t>
            </w:r>
            <w:r w:rsidRPr="001A247C">
              <w:rPr>
                <w:rFonts w:ascii="Times New Roman" w:eastAsia="Times New Roman" w:hAnsi="Times New Roman" w:cs="Times New Roman"/>
                <w:iCs/>
                <w:sz w:val="24"/>
                <w:szCs w:val="24"/>
              </w:rPr>
              <w:t xml:space="preserve">eleģētās regulas (ES) Nr. 1152/2014, ar ko papildina Eiropas Parlamenta un Padomes </w:t>
            </w:r>
            <w:r w:rsidR="00D71F85">
              <w:rPr>
                <w:rFonts w:ascii="Times New Roman" w:eastAsia="Times New Roman" w:hAnsi="Times New Roman" w:cs="Times New Roman"/>
                <w:iCs/>
                <w:sz w:val="24"/>
                <w:szCs w:val="24"/>
              </w:rPr>
              <w:t>d</w:t>
            </w:r>
            <w:r w:rsidRPr="001A247C">
              <w:rPr>
                <w:rFonts w:ascii="Times New Roman" w:eastAsia="Times New Roman" w:hAnsi="Times New Roman" w:cs="Times New Roman"/>
                <w:iCs/>
                <w:sz w:val="24"/>
                <w:szCs w:val="24"/>
              </w:rPr>
              <w:t>irektīvu 2013/36/ES attiecībā uz regulatīvajiem tehniskajiem standartiem par attiecīgo kredītriska darījumu ģeogrāfiskās atrašanās vietas noteikšanu iestādes specifisko pretciklisko kapitāla rezervju aprēķināšanai;</w:t>
            </w:r>
          </w:p>
          <w:p w14:paraId="0463A4B8" w14:textId="660A2291" w:rsidR="001A247C" w:rsidRPr="001A247C" w:rsidRDefault="001A247C" w:rsidP="001A247C">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1A247C">
              <w:rPr>
                <w:rFonts w:ascii="Times New Roman" w:eastAsia="Times New Roman" w:hAnsi="Times New Roman" w:cs="Times New Roman"/>
                <w:iCs/>
                <w:sz w:val="24"/>
                <w:szCs w:val="24"/>
              </w:rPr>
              <w:t xml:space="preserve">4) </w:t>
            </w:r>
            <w:r w:rsidR="00026635">
              <w:rPr>
                <w:rFonts w:ascii="Times New Roman" w:eastAsia="Times New Roman" w:hAnsi="Times New Roman" w:cs="Times New Roman"/>
                <w:iCs/>
                <w:sz w:val="24"/>
                <w:szCs w:val="24"/>
              </w:rPr>
              <w:t>Īstenošanas regulas Nr. </w:t>
            </w:r>
            <w:r w:rsidR="00026635" w:rsidRPr="002C2F57">
              <w:rPr>
                <w:rFonts w:ascii="Times New Roman" w:eastAsia="Times New Roman" w:hAnsi="Times New Roman" w:cs="Times New Roman"/>
                <w:iCs/>
                <w:sz w:val="24"/>
                <w:szCs w:val="24"/>
              </w:rPr>
              <w:t>2021/637</w:t>
            </w:r>
            <w:r w:rsidRPr="001A247C">
              <w:rPr>
                <w:rFonts w:ascii="Times New Roman" w:eastAsia="Times New Roman" w:hAnsi="Times New Roman" w:cs="Times New Roman"/>
                <w:iCs/>
                <w:sz w:val="24"/>
                <w:szCs w:val="24"/>
              </w:rPr>
              <w:t>;</w:t>
            </w:r>
          </w:p>
          <w:p w14:paraId="2868A2CE" w14:textId="197642D0" w:rsidR="001A247C" w:rsidRDefault="001A247C" w:rsidP="00C05F95">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1A247C">
              <w:rPr>
                <w:rFonts w:ascii="Times New Roman" w:eastAsia="Times New Roman" w:hAnsi="Times New Roman" w:cs="Times New Roman"/>
                <w:iCs/>
                <w:sz w:val="24"/>
                <w:szCs w:val="24"/>
              </w:rPr>
              <w:t xml:space="preserve">5) Eiropas Parlamenta un Padomes 2019. gada 27. novembra </w:t>
            </w:r>
            <w:r w:rsidR="00A64762">
              <w:rPr>
                <w:rFonts w:ascii="Times New Roman" w:eastAsia="Times New Roman" w:hAnsi="Times New Roman" w:cs="Times New Roman"/>
                <w:iCs/>
                <w:sz w:val="24"/>
                <w:szCs w:val="24"/>
              </w:rPr>
              <w:t>r</w:t>
            </w:r>
            <w:r w:rsidRPr="001A247C">
              <w:rPr>
                <w:rFonts w:ascii="Times New Roman" w:eastAsia="Times New Roman" w:hAnsi="Times New Roman" w:cs="Times New Roman"/>
                <w:iCs/>
                <w:sz w:val="24"/>
                <w:szCs w:val="24"/>
              </w:rPr>
              <w:t xml:space="preserve">egulas (ES) 2019/2033 par prudenciālajām prasībām ieguldījumu brokeru sabiedrībām un ar ko groza </w:t>
            </w:r>
            <w:r w:rsidR="00A64762">
              <w:rPr>
                <w:rFonts w:ascii="Times New Roman" w:eastAsia="Times New Roman" w:hAnsi="Times New Roman" w:cs="Times New Roman"/>
                <w:iCs/>
                <w:sz w:val="24"/>
                <w:szCs w:val="24"/>
              </w:rPr>
              <w:t>r</w:t>
            </w:r>
            <w:r w:rsidRPr="001A247C">
              <w:rPr>
                <w:rFonts w:ascii="Times New Roman" w:eastAsia="Times New Roman" w:hAnsi="Times New Roman" w:cs="Times New Roman"/>
                <w:iCs/>
                <w:sz w:val="24"/>
                <w:szCs w:val="24"/>
              </w:rPr>
              <w:t>egulas (ES) Nr. 1093/2010, (ES) Nr. 575/2013, (ES) Nr. 600/2014 un (ES) Nr. 806/2014.</w:t>
            </w:r>
          </w:p>
          <w:p w14:paraId="0D704356" w14:textId="74326231" w:rsidR="006C3828" w:rsidRPr="005D0C40" w:rsidRDefault="00420E5E" w:rsidP="0037089C">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Kopumā n</w:t>
            </w:r>
            <w:r w:rsidR="006C3828" w:rsidRPr="005D0C40">
              <w:rPr>
                <w:rFonts w:ascii="Times New Roman" w:eastAsia="Times New Roman" w:hAnsi="Times New Roman" w:cs="Times New Roman"/>
                <w:color w:val="000000"/>
                <w:sz w:val="24"/>
                <w:szCs w:val="24"/>
                <w:lang w:eastAsia="lv-LV"/>
              </w:rPr>
              <w:t xml:space="preserve">oteikumu projekts satur </w:t>
            </w:r>
            <w:r>
              <w:rPr>
                <w:rFonts w:ascii="Times New Roman" w:eastAsia="Times New Roman" w:hAnsi="Times New Roman" w:cs="Times New Roman"/>
                <w:color w:val="000000"/>
                <w:sz w:val="24"/>
                <w:szCs w:val="24"/>
                <w:lang w:eastAsia="lv-LV"/>
              </w:rPr>
              <w:t xml:space="preserve">prasības, kas ir </w:t>
            </w:r>
            <w:r w:rsidR="006C3828" w:rsidRPr="005D0C40">
              <w:rPr>
                <w:rFonts w:ascii="Times New Roman" w:eastAsia="Times New Roman" w:hAnsi="Times New Roman" w:cs="Times New Roman"/>
                <w:color w:val="000000"/>
                <w:sz w:val="24"/>
                <w:szCs w:val="24"/>
                <w:lang w:eastAsia="lv-LV"/>
              </w:rPr>
              <w:t xml:space="preserve">identiskas </w:t>
            </w:r>
            <w:r>
              <w:rPr>
                <w:rFonts w:ascii="Times New Roman" w:eastAsia="Times New Roman" w:hAnsi="Times New Roman" w:cs="Times New Roman"/>
                <w:color w:val="000000"/>
                <w:sz w:val="24"/>
                <w:szCs w:val="24"/>
                <w:lang w:eastAsia="lv-LV"/>
              </w:rPr>
              <w:t>1</w:t>
            </w:r>
            <w:r w:rsidR="001A247C">
              <w:rPr>
                <w:rFonts w:ascii="Times New Roman" w:eastAsia="Times New Roman" w:hAnsi="Times New Roman" w:cs="Times New Roman"/>
                <w:color w:val="000000"/>
                <w:sz w:val="24"/>
                <w:szCs w:val="24"/>
                <w:lang w:eastAsia="lv-LV"/>
              </w:rPr>
              <w:t>37</w:t>
            </w:r>
            <w:r>
              <w:rPr>
                <w:rFonts w:ascii="Times New Roman" w:eastAsia="Times New Roman" w:hAnsi="Times New Roman" w:cs="Times New Roman"/>
                <w:color w:val="000000"/>
                <w:sz w:val="24"/>
                <w:szCs w:val="24"/>
                <w:lang w:eastAsia="lv-LV"/>
              </w:rPr>
              <w:t>. </w:t>
            </w:r>
            <w:r w:rsidR="00E9512C" w:rsidRPr="005D0C40">
              <w:rPr>
                <w:rFonts w:ascii="Times New Roman" w:eastAsia="Times New Roman" w:hAnsi="Times New Roman" w:cs="Times New Roman"/>
                <w:color w:val="000000"/>
                <w:sz w:val="24"/>
                <w:szCs w:val="24"/>
                <w:lang w:eastAsia="lv-LV"/>
              </w:rPr>
              <w:t>noteikum</w:t>
            </w:r>
            <w:r w:rsidR="001E22CE">
              <w:rPr>
                <w:rFonts w:ascii="Times New Roman" w:eastAsia="Times New Roman" w:hAnsi="Times New Roman" w:cs="Times New Roman"/>
                <w:color w:val="000000"/>
                <w:sz w:val="24"/>
                <w:szCs w:val="24"/>
                <w:lang w:eastAsia="lv-LV"/>
              </w:rPr>
              <w:t>u prasībām</w:t>
            </w:r>
            <w:r w:rsidR="001A247C">
              <w:rPr>
                <w:rFonts w:ascii="Times New Roman" w:eastAsia="Times New Roman" w:hAnsi="Times New Roman" w:cs="Times New Roman"/>
                <w:color w:val="000000"/>
                <w:sz w:val="24"/>
                <w:szCs w:val="24"/>
                <w:lang w:eastAsia="lv-LV"/>
              </w:rPr>
              <w:t xml:space="preserve">. Tās </w:t>
            </w:r>
            <w:r w:rsidR="006C3828" w:rsidRPr="005D0C40">
              <w:rPr>
                <w:rFonts w:ascii="Times New Roman" w:eastAsia="Times New Roman" w:hAnsi="Times New Roman" w:cs="Times New Roman"/>
                <w:color w:val="000000"/>
                <w:sz w:val="24"/>
                <w:szCs w:val="24"/>
                <w:lang w:eastAsia="lv-LV"/>
              </w:rPr>
              <w:t>noteikumu projekta normas, kuras atšķiras</w:t>
            </w:r>
            <w:r w:rsidR="00071E26" w:rsidRPr="005D0C40">
              <w:rPr>
                <w:rFonts w:ascii="Times New Roman" w:eastAsia="Times New Roman" w:hAnsi="Times New Roman" w:cs="Times New Roman"/>
                <w:color w:val="000000"/>
                <w:sz w:val="24"/>
                <w:szCs w:val="24"/>
                <w:lang w:eastAsia="lv-LV"/>
              </w:rPr>
              <w:t xml:space="preserve"> </w:t>
            </w:r>
            <w:r w:rsidR="00C948CA" w:rsidRPr="005D0C40">
              <w:rPr>
                <w:rFonts w:ascii="Times New Roman" w:eastAsia="Times New Roman" w:hAnsi="Times New Roman" w:cs="Times New Roman"/>
                <w:color w:val="000000"/>
                <w:sz w:val="24"/>
                <w:szCs w:val="24"/>
                <w:lang w:eastAsia="lv-LV"/>
              </w:rPr>
              <w:t xml:space="preserve">no </w:t>
            </w:r>
            <w:r w:rsidR="00071E26" w:rsidRPr="005D0C40">
              <w:rPr>
                <w:rFonts w:ascii="Times New Roman" w:eastAsia="Times New Roman" w:hAnsi="Times New Roman" w:cs="Times New Roman"/>
                <w:color w:val="000000"/>
                <w:sz w:val="24"/>
                <w:szCs w:val="24"/>
                <w:lang w:eastAsia="lv-LV"/>
              </w:rPr>
              <w:t xml:space="preserve">pašlaik spēkā esošo </w:t>
            </w:r>
            <w:r w:rsidR="002A1170">
              <w:rPr>
                <w:rFonts w:ascii="Times New Roman" w:eastAsia="Times New Roman" w:hAnsi="Times New Roman" w:cs="Times New Roman"/>
                <w:color w:val="000000"/>
                <w:sz w:val="24"/>
                <w:szCs w:val="24"/>
                <w:lang w:eastAsia="lv-LV"/>
              </w:rPr>
              <w:t>1</w:t>
            </w:r>
            <w:r w:rsidR="001A247C">
              <w:rPr>
                <w:rFonts w:ascii="Times New Roman" w:eastAsia="Times New Roman" w:hAnsi="Times New Roman" w:cs="Times New Roman"/>
                <w:color w:val="000000"/>
                <w:sz w:val="24"/>
                <w:szCs w:val="24"/>
                <w:lang w:eastAsia="lv-LV"/>
              </w:rPr>
              <w:t>37</w:t>
            </w:r>
            <w:r w:rsidR="002A1170">
              <w:rPr>
                <w:rFonts w:ascii="Times New Roman" w:eastAsia="Times New Roman" w:hAnsi="Times New Roman" w:cs="Times New Roman"/>
                <w:color w:val="000000"/>
                <w:sz w:val="24"/>
                <w:szCs w:val="24"/>
                <w:lang w:eastAsia="lv-LV"/>
              </w:rPr>
              <w:t>. </w:t>
            </w:r>
            <w:r w:rsidR="00071E26" w:rsidRPr="005D0C40">
              <w:rPr>
                <w:rFonts w:ascii="Times New Roman" w:eastAsia="Times New Roman" w:hAnsi="Times New Roman" w:cs="Times New Roman"/>
                <w:color w:val="000000"/>
                <w:sz w:val="24"/>
                <w:szCs w:val="24"/>
                <w:lang w:eastAsia="lv-LV"/>
              </w:rPr>
              <w:t xml:space="preserve">noteikumu </w:t>
            </w:r>
            <w:r w:rsidR="006C3828" w:rsidRPr="005D0C40">
              <w:rPr>
                <w:rFonts w:ascii="Times New Roman" w:eastAsia="Times New Roman" w:hAnsi="Times New Roman" w:cs="Times New Roman"/>
                <w:color w:val="000000"/>
                <w:sz w:val="24"/>
                <w:szCs w:val="24"/>
                <w:lang w:eastAsia="lv-LV"/>
              </w:rPr>
              <w:t xml:space="preserve">atbilstošajām normām, paredz </w:t>
            </w:r>
            <w:r w:rsidR="002A1170">
              <w:rPr>
                <w:rFonts w:ascii="Times New Roman" w:eastAsia="Times New Roman" w:hAnsi="Times New Roman" w:cs="Times New Roman"/>
                <w:color w:val="000000"/>
                <w:sz w:val="24"/>
                <w:szCs w:val="24"/>
                <w:lang w:eastAsia="lv-LV"/>
              </w:rPr>
              <w:t xml:space="preserve">redakcionāla vai </w:t>
            </w:r>
            <w:r w:rsidR="006C3828" w:rsidRPr="005D0C40">
              <w:rPr>
                <w:rFonts w:ascii="Times New Roman" w:eastAsia="Times New Roman" w:hAnsi="Times New Roman" w:cs="Times New Roman"/>
                <w:color w:val="000000"/>
                <w:sz w:val="24"/>
                <w:szCs w:val="24"/>
                <w:lang w:eastAsia="lv-LV"/>
              </w:rPr>
              <w:t>tehniska rakstura precizējumus un pamatā ir saistītas ar numerācijas maiņu un ar to saistīto atsauču precizēšanu un terminu aktualizēšanu.</w:t>
            </w:r>
          </w:p>
        </w:tc>
      </w:tr>
      <w:tr w:rsidR="006C3828" w:rsidRPr="00894D21" w14:paraId="1068B2B5" w14:textId="77777777" w:rsidTr="004B6ED3">
        <w:trPr>
          <w:trHeight w:val="567"/>
        </w:trPr>
        <w:tc>
          <w:tcPr>
            <w:tcW w:w="987" w:type="pct"/>
            <w:shd w:val="clear" w:color="auto" w:fill="auto"/>
            <w:hideMark/>
          </w:tcPr>
          <w:p w14:paraId="77E478DC" w14:textId="45EA62AD"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tc>
        <w:tc>
          <w:tcPr>
            <w:tcW w:w="4013" w:type="pct"/>
            <w:shd w:val="clear" w:color="auto" w:fill="auto"/>
          </w:tcPr>
          <w:p w14:paraId="12FD857D" w14:textId="7A469F2F"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77777777"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pamattiesību aizsardzību Latvijas Banka īsteno, nodrošinot finanšu tirgus uzraudzību, kurai ir vitāla nozīme finanšu sistēmas un </w:t>
            </w:r>
            <w:r w:rsidRPr="00894D21">
              <w:rPr>
                <w:rFonts w:ascii="Times New Roman" w:eastAsia="Times New Roman" w:hAnsi="Times New Roman" w:cs="Times New Roman"/>
                <w:sz w:val="24"/>
                <w:szCs w:val="24"/>
                <w:lang w:eastAsia="lv-LV"/>
              </w:rPr>
              <w:lastRenderedPageBreak/>
              <w:t>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20BF953" w14:textId="572620BD" w:rsidR="007D4BE3" w:rsidRPr="00BC0CBB" w:rsidRDefault="006C3828" w:rsidP="0037089C">
            <w:pPr>
              <w:keepLines/>
              <w:tabs>
                <w:tab w:val="left" w:pos="5114"/>
              </w:tabs>
              <w:spacing w:after="120" w:line="240" w:lineRule="auto"/>
              <w:jc w:val="both"/>
              <w:outlineLvl w:val="1"/>
              <w:rPr>
                <w:rFonts w:ascii="Times New Roman" w:eastAsia="Times New Roman" w:hAnsi="Times New Roman" w:cs="Times New Roman"/>
                <w:iCs/>
                <w:sz w:val="24"/>
                <w:szCs w:val="24"/>
              </w:rPr>
            </w:pPr>
            <w:r w:rsidRPr="00894D21">
              <w:rPr>
                <w:rFonts w:ascii="Times New Roman" w:eastAsia="Times New Roman" w:hAnsi="Times New Roman" w:cs="Times New Roman"/>
                <w:sz w:val="24"/>
                <w:szCs w:val="24"/>
                <w:lang w:eastAsia="lv-LV"/>
              </w:rPr>
              <w:t>Nosakot finanšu tirgus dalībniekiem prasības un veicot to ievērošanas pārbaudes, Latvijas Banka nodrošina tai Latvijas Bankas likumā noteikt</w:t>
            </w:r>
            <w:r w:rsidR="00CF4849">
              <w:rPr>
                <w:rFonts w:ascii="Times New Roman" w:eastAsia="Times New Roman" w:hAnsi="Times New Roman" w:cs="Times New Roman"/>
                <w:sz w:val="24"/>
                <w:szCs w:val="24"/>
                <w:lang w:eastAsia="lv-LV"/>
              </w:rPr>
              <w:t>ā</w:t>
            </w:r>
            <w:r w:rsidRPr="00894D21">
              <w:rPr>
                <w:rFonts w:ascii="Times New Roman" w:eastAsia="Times New Roman" w:hAnsi="Times New Roman" w:cs="Times New Roman"/>
                <w:sz w:val="24"/>
                <w:szCs w:val="24"/>
                <w:lang w:eastAsia="lv-LV"/>
              </w:rPr>
              <w:t xml:space="preserve"> pienākum</w:t>
            </w:r>
            <w:r w:rsidR="00CF4849">
              <w:rPr>
                <w:rFonts w:ascii="Times New Roman" w:eastAsia="Times New Roman" w:hAnsi="Times New Roman" w:cs="Times New Roman"/>
                <w:sz w:val="24"/>
                <w:szCs w:val="24"/>
                <w:lang w:eastAsia="lv-LV"/>
              </w:rPr>
              <w:t>a</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r w:rsidR="00056B91" w:rsidRPr="00894D21">
              <w:rPr>
                <w:rFonts w:ascii="Times New Roman" w:eastAsia="Times New Roman" w:hAnsi="Times New Roman" w:cs="Times New Roman"/>
                <w:sz w:val="24"/>
                <w:szCs w:val="24"/>
                <w:lang w:eastAsia="lv-LV"/>
              </w:rPr>
              <w:t xml:space="preserve">Līdz ar to </w:t>
            </w:r>
            <w:r w:rsidR="00A35C14" w:rsidRPr="00894D21">
              <w:rPr>
                <w:rFonts w:ascii="Times New Roman" w:eastAsia="Times New Roman" w:hAnsi="Times New Roman" w:cs="Times New Roman"/>
                <w:sz w:val="24"/>
                <w:szCs w:val="24"/>
                <w:lang w:eastAsia="lv-LV"/>
              </w:rPr>
              <w:t>n</w:t>
            </w:r>
            <w:r w:rsidR="007D4BE3" w:rsidRPr="00894D21">
              <w:rPr>
                <w:rFonts w:ascii="Times New Roman" w:eastAsia="Times New Roman" w:hAnsi="Times New Roman" w:cs="Times New Roman"/>
                <w:sz w:val="24"/>
                <w:szCs w:val="24"/>
                <w:lang w:eastAsia="lv-LV"/>
              </w:rPr>
              <w:t>oteikum</w:t>
            </w:r>
            <w:r w:rsidR="00056B91" w:rsidRPr="00894D21">
              <w:rPr>
                <w:rFonts w:ascii="Times New Roman" w:eastAsia="Times New Roman" w:hAnsi="Times New Roman" w:cs="Times New Roman"/>
                <w:sz w:val="24"/>
                <w:szCs w:val="24"/>
                <w:lang w:eastAsia="lv-LV"/>
              </w:rPr>
              <w:t>u projekts</w:t>
            </w:r>
            <w:r w:rsidR="007D4BE3" w:rsidRPr="00894D21">
              <w:rPr>
                <w:rFonts w:ascii="Times New Roman" w:eastAsia="Times New Roman" w:hAnsi="Times New Roman" w:cs="Times New Roman"/>
                <w:sz w:val="24"/>
                <w:szCs w:val="24"/>
                <w:lang w:eastAsia="lv-LV"/>
              </w:rPr>
              <w:t xml:space="preserve"> ir nepieciešam</w:t>
            </w:r>
            <w:r w:rsidR="00056B91" w:rsidRPr="00894D21">
              <w:rPr>
                <w:rFonts w:ascii="Times New Roman" w:eastAsia="Times New Roman" w:hAnsi="Times New Roman" w:cs="Times New Roman"/>
                <w:sz w:val="24"/>
                <w:szCs w:val="24"/>
                <w:lang w:eastAsia="lv-LV"/>
              </w:rPr>
              <w:t>s</w:t>
            </w:r>
            <w:r w:rsidR="007D4BE3" w:rsidRPr="00894D21">
              <w:rPr>
                <w:rFonts w:ascii="Times New Roman" w:eastAsia="Times New Roman" w:hAnsi="Times New Roman" w:cs="Times New Roman"/>
                <w:sz w:val="24"/>
                <w:szCs w:val="24"/>
                <w:lang w:eastAsia="lv-LV"/>
              </w:rPr>
              <w:t xml:space="preserve">, lai </w:t>
            </w:r>
            <w:r w:rsidR="00746B48" w:rsidRPr="00894D21">
              <w:rPr>
                <w:rFonts w:ascii="Times New Roman" w:eastAsia="Times New Roman" w:hAnsi="Times New Roman" w:cs="Times New Roman"/>
                <w:sz w:val="24"/>
                <w:szCs w:val="24"/>
                <w:lang w:eastAsia="lv-LV"/>
              </w:rPr>
              <w:t xml:space="preserve">Latvijas Banka </w:t>
            </w:r>
            <w:r w:rsidR="00482DA3" w:rsidRPr="00482DA3">
              <w:rPr>
                <w:rFonts w:ascii="Times New Roman" w:eastAsia="Times New Roman" w:hAnsi="Times New Roman" w:cs="Times New Roman"/>
                <w:sz w:val="24"/>
                <w:szCs w:val="24"/>
                <w:lang w:eastAsia="lv-LV"/>
              </w:rPr>
              <w:t xml:space="preserve">noteiktu </w:t>
            </w:r>
            <w:r w:rsidR="000E3D67" w:rsidRPr="000E3D67">
              <w:rPr>
                <w:rFonts w:ascii="Times New Roman" w:eastAsia="Times New Roman" w:hAnsi="Times New Roman" w:cs="Times New Roman"/>
                <w:iCs/>
                <w:sz w:val="24"/>
                <w:szCs w:val="24"/>
              </w:rPr>
              <w:t>kredītiestādei specifiskās pretcikliskās kapitāla rezerves normas aprēķināšanas kārtību</w:t>
            </w:r>
            <w:r w:rsidR="00BC42FA">
              <w:rPr>
                <w:rFonts w:ascii="Times New Roman" w:eastAsia="Times New Roman" w:hAnsi="Times New Roman" w:cs="Times New Roman"/>
                <w:iCs/>
                <w:sz w:val="24"/>
                <w:szCs w:val="24"/>
              </w:rPr>
              <w:t xml:space="preserve"> un</w:t>
            </w:r>
            <w:r w:rsidR="00BC0CBB">
              <w:rPr>
                <w:rFonts w:ascii="Times New Roman" w:eastAsia="Times New Roman" w:hAnsi="Times New Roman" w:cs="Times New Roman"/>
                <w:sz w:val="24"/>
                <w:szCs w:val="24"/>
                <w:lang w:eastAsia="lv-LV"/>
              </w:rPr>
              <w:t xml:space="preserve"> nodrošinātu, ka </w:t>
            </w:r>
            <w:r w:rsidR="000E3D67">
              <w:rPr>
                <w:rFonts w:ascii="Times New Roman" w:eastAsia="Times New Roman" w:hAnsi="Times New Roman" w:cs="Times New Roman"/>
                <w:sz w:val="24"/>
                <w:szCs w:val="24"/>
                <w:lang w:eastAsia="lv-LV"/>
              </w:rPr>
              <w:t xml:space="preserve">šī norma tiek piemērota attiecībā uz atbilstošiem kredītriskam pakļautajiem </w:t>
            </w:r>
            <w:r w:rsidR="00254EC0">
              <w:rPr>
                <w:rFonts w:ascii="Times New Roman" w:eastAsia="Times New Roman" w:hAnsi="Times New Roman" w:cs="Times New Roman"/>
                <w:sz w:val="24"/>
                <w:szCs w:val="24"/>
                <w:lang w:eastAsia="lv-LV"/>
              </w:rPr>
              <w:t xml:space="preserve">riska </w:t>
            </w:r>
            <w:r w:rsidR="000E3D67">
              <w:rPr>
                <w:rFonts w:ascii="Times New Roman" w:eastAsia="Times New Roman" w:hAnsi="Times New Roman" w:cs="Times New Roman"/>
                <w:sz w:val="24"/>
                <w:szCs w:val="24"/>
                <w:lang w:eastAsia="lv-LV"/>
              </w:rPr>
              <w:t xml:space="preserve">darījumiem un aprēķināta pēc vienota algoritma, </w:t>
            </w:r>
            <w:r w:rsidR="00BC42FA">
              <w:rPr>
                <w:rFonts w:ascii="Times New Roman" w:eastAsia="Times New Roman" w:hAnsi="Times New Roman" w:cs="Times New Roman"/>
                <w:sz w:val="24"/>
                <w:szCs w:val="24"/>
                <w:lang w:eastAsia="lv-LV"/>
              </w:rPr>
              <w:t xml:space="preserve">tajā izmantojot </w:t>
            </w:r>
            <w:r w:rsidR="000E3D67">
              <w:rPr>
                <w:rFonts w:ascii="Times New Roman" w:eastAsia="Times New Roman" w:hAnsi="Times New Roman" w:cs="Times New Roman"/>
                <w:sz w:val="24"/>
                <w:szCs w:val="24"/>
                <w:lang w:eastAsia="lv-LV"/>
              </w:rPr>
              <w:t>atbilstoš</w:t>
            </w:r>
            <w:r w:rsidR="00BC42FA">
              <w:rPr>
                <w:rFonts w:ascii="Times New Roman" w:eastAsia="Times New Roman" w:hAnsi="Times New Roman" w:cs="Times New Roman"/>
                <w:sz w:val="24"/>
                <w:szCs w:val="24"/>
                <w:lang w:eastAsia="lv-LV"/>
              </w:rPr>
              <w:t>u</w:t>
            </w:r>
            <w:r w:rsidR="000E3D67">
              <w:rPr>
                <w:rFonts w:ascii="Times New Roman" w:eastAsia="Times New Roman" w:hAnsi="Times New Roman" w:cs="Times New Roman"/>
                <w:sz w:val="24"/>
                <w:szCs w:val="24"/>
                <w:lang w:eastAsia="lv-LV"/>
              </w:rPr>
              <w:t xml:space="preserve"> </w:t>
            </w:r>
            <w:r w:rsidR="000E3D67" w:rsidRPr="000E3D67">
              <w:rPr>
                <w:rFonts w:ascii="Times New Roman" w:eastAsia="Times New Roman" w:hAnsi="Times New Roman" w:cs="Times New Roman"/>
                <w:sz w:val="24"/>
                <w:szCs w:val="24"/>
                <w:lang w:eastAsia="lv-LV"/>
              </w:rPr>
              <w:t xml:space="preserve">kredītriskam pakļautajiem </w:t>
            </w:r>
            <w:r w:rsidR="00254EC0">
              <w:rPr>
                <w:rFonts w:ascii="Times New Roman" w:eastAsia="Times New Roman" w:hAnsi="Times New Roman" w:cs="Times New Roman"/>
                <w:sz w:val="24"/>
                <w:szCs w:val="24"/>
                <w:lang w:eastAsia="lv-LV"/>
              </w:rPr>
              <w:t xml:space="preserve">riska </w:t>
            </w:r>
            <w:r w:rsidR="000E3D67" w:rsidRPr="000E3D67">
              <w:rPr>
                <w:rFonts w:ascii="Times New Roman" w:eastAsia="Times New Roman" w:hAnsi="Times New Roman" w:cs="Times New Roman"/>
                <w:sz w:val="24"/>
                <w:szCs w:val="24"/>
                <w:lang w:eastAsia="lv-LV"/>
              </w:rPr>
              <w:t>darījumiem ar Latvijas, dalībvalsts un ārvalsts rezidentiem piemērojam</w:t>
            </w:r>
            <w:r w:rsidR="00BC42FA">
              <w:rPr>
                <w:rFonts w:ascii="Times New Roman" w:eastAsia="Times New Roman" w:hAnsi="Times New Roman" w:cs="Times New Roman"/>
                <w:sz w:val="24"/>
                <w:szCs w:val="24"/>
                <w:lang w:eastAsia="lv-LV"/>
              </w:rPr>
              <w:t>o</w:t>
            </w:r>
            <w:r w:rsidR="000E3D67" w:rsidRPr="000E3D67">
              <w:rPr>
                <w:rFonts w:ascii="Times New Roman" w:eastAsia="Times New Roman" w:hAnsi="Times New Roman" w:cs="Times New Roman"/>
                <w:sz w:val="24"/>
                <w:szCs w:val="24"/>
                <w:lang w:eastAsia="lv-LV"/>
              </w:rPr>
              <w:t xml:space="preserve"> pretcikliskās kapitāla rezerves norm</w:t>
            </w:r>
            <w:r w:rsidR="00BC42FA">
              <w:rPr>
                <w:rFonts w:ascii="Times New Roman" w:eastAsia="Times New Roman" w:hAnsi="Times New Roman" w:cs="Times New Roman"/>
                <w:sz w:val="24"/>
                <w:szCs w:val="24"/>
                <w:lang w:eastAsia="lv-LV"/>
              </w:rPr>
              <w:t>u</w:t>
            </w:r>
            <w:r w:rsidR="000E3D67">
              <w:rPr>
                <w:rFonts w:ascii="Times New Roman" w:eastAsia="Times New Roman" w:hAnsi="Times New Roman" w:cs="Times New Roman"/>
                <w:sz w:val="24"/>
                <w:szCs w:val="24"/>
                <w:lang w:eastAsia="lv-LV"/>
              </w:rPr>
              <w:t xml:space="preserve"> un tās piemērošanas datum</w:t>
            </w:r>
            <w:r w:rsidR="00BC42FA">
              <w:rPr>
                <w:rFonts w:ascii="Times New Roman" w:eastAsia="Times New Roman" w:hAnsi="Times New Roman" w:cs="Times New Roman"/>
                <w:sz w:val="24"/>
                <w:szCs w:val="24"/>
                <w:lang w:eastAsia="lv-LV"/>
              </w:rPr>
              <w:t>u</w:t>
            </w:r>
            <w:r w:rsidR="000E3D67">
              <w:rPr>
                <w:rFonts w:ascii="Times New Roman" w:eastAsia="Times New Roman" w:hAnsi="Times New Roman" w:cs="Times New Roman"/>
                <w:sz w:val="24"/>
                <w:szCs w:val="24"/>
                <w:lang w:eastAsia="lv-LV"/>
              </w:rPr>
              <w:t xml:space="preserve">, tādējādi </w:t>
            </w:r>
            <w:r w:rsidR="00934E6C">
              <w:rPr>
                <w:rFonts w:ascii="Times New Roman" w:eastAsia="Times New Roman" w:hAnsi="Times New Roman" w:cs="Times New Roman"/>
                <w:sz w:val="24"/>
                <w:szCs w:val="24"/>
                <w:lang w:eastAsia="lv-LV"/>
              </w:rPr>
              <w:t>sekmējot</w:t>
            </w:r>
            <w:r w:rsidR="000E3D67">
              <w:rPr>
                <w:rFonts w:ascii="Times New Roman" w:eastAsia="Times New Roman" w:hAnsi="Times New Roman" w:cs="Times New Roman"/>
                <w:sz w:val="24"/>
                <w:szCs w:val="24"/>
                <w:lang w:eastAsia="lv-LV"/>
              </w:rPr>
              <w:t>, ka iestāžu nodrošināt</w:t>
            </w:r>
            <w:r w:rsidR="00934E6C">
              <w:rPr>
                <w:rFonts w:ascii="Times New Roman" w:eastAsia="Times New Roman" w:hAnsi="Times New Roman" w:cs="Times New Roman"/>
                <w:sz w:val="24"/>
                <w:szCs w:val="24"/>
                <w:lang w:eastAsia="lv-LV"/>
              </w:rPr>
              <w:t>ās tām specifiskās pretcikliskās</w:t>
            </w:r>
            <w:r w:rsidR="000E3D67">
              <w:rPr>
                <w:rFonts w:ascii="Times New Roman" w:eastAsia="Times New Roman" w:hAnsi="Times New Roman" w:cs="Times New Roman"/>
                <w:sz w:val="24"/>
                <w:szCs w:val="24"/>
                <w:lang w:eastAsia="lv-LV"/>
              </w:rPr>
              <w:t xml:space="preserve"> kapitāla rezerv</w:t>
            </w:r>
            <w:r w:rsidR="00934E6C">
              <w:rPr>
                <w:rFonts w:ascii="Times New Roman" w:eastAsia="Times New Roman" w:hAnsi="Times New Roman" w:cs="Times New Roman"/>
                <w:sz w:val="24"/>
                <w:szCs w:val="24"/>
                <w:lang w:eastAsia="lv-LV"/>
              </w:rPr>
              <w:t>es</w:t>
            </w:r>
            <w:r w:rsidR="000E3D67">
              <w:rPr>
                <w:rFonts w:ascii="Times New Roman" w:eastAsia="Times New Roman" w:hAnsi="Times New Roman" w:cs="Times New Roman"/>
                <w:sz w:val="24"/>
                <w:szCs w:val="24"/>
                <w:lang w:eastAsia="lv-LV"/>
              </w:rPr>
              <w:t xml:space="preserve"> ir pietiekam</w:t>
            </w:r>
            <w:r w:rsidR="00934E6C">
              <w:rPr>
                <w:rFonts w:ascii="Times New Roman" w:eastAsia="Times New Roman" w:hAnsi="Times New Roman" w:cs="Times New Roman"/>
                <w:sz w:val="24"/>
                <w:szCs w:val="24"/>
                <w:lang w:eastAsia="lv-LV"/>
              </w:rPr>
              <w:t>a</w:t>
            </w:r>
            <w:r w:rsidR="000E3D67">
              <w:rPr>
                <w:rFonts w:ascii="Times New Roman" w:eastAsia="Times New Roman" w:hAnsi="Times New Roman" w:cs="Times New Roman"/>
                <w:sz w:val="24"/>
                <w:szCs w:val="24"/>
                <w:lang w:eastAsia="lv-LV"/>
              </w:rPr>
              <w:t>s</w:t>
            </w:r>
            <w:r w:rsidR="00934E6C">
              <w:rPr>
                <w:rFonts w:ascii="Times New Roman" w:eastAsia="Times New Roman" w:hAnsi="Times New Roman" w:cs="Times New Roman"/>
                <w:sz w:val="24"/>
                <w:szCs w:val="24"/>
                <w:lang w:eastAsia="lv-LV"/>
              </w:rPr>
              <w:t xml:space="preserve"> noturība</w:t>
            </w:r>
            <w:r w:rsidR="00BC42FA">
              <w:rPr>
                <w:rFonts w:ascii="Times New Roman" w:eastAsia="Times New Roman" w:hAnsi="Times New Roman" w:cs="Times New Roman"/>
                <w:sz w:val="24"/>
                <w:szCs w:val="24"/>
                <w:lang w:eastAsia="lv-LV"/>
              </w:rPr>
              <w:t>s</w:t>
            </w:r>
            <w:r w:rsidR="00934E6C">
              <w:rPr>
                <w:rFonts w:ascii="Times New Roman" w:eastAsia="Times New Roman" w:hAnsi="Times New Roman" w:cs="Times New Roman"/>
                <w:sz w:val="24"/>
                <w:szCs w:val="24"/>
                <w:lang w:eastAsia="lv-LV"/>
              </w:rPr>
              <w:t xml:space="preserve"> pret ciklisko sistēmisko risku</w:t>
            </w:r>
            <w:r w:rsidR="00BC42FA">
              <w:rPr>
                <w:rFonts w:ascii="Times New Roman" w:eastAsia="Times New Roman" w:hAnsi="Times New Roman" w:cs="Times New Roman"/>
                <w:sz w:val="24"/>
                <w:szCs w:val="24"/>
                <w:lang w:eastAsia="lv-LV"/>
              </w:rPr>
              <w:t xml:space="preserve"> nodrošināšanai</w:t>
            </w:r>
            <w:r w:rsidR="00934E6C">
              <w:rPr>
                <w:rFonts w:ascii="Times New Roman" w:eastAsia="Times New Roman" w:hAnsi="Times New Roman" w:cs="Times New Roman"/>
                <w:sz w:val="24"/>
                <w:szCs w:val="24"/>
                <w:lang w:eastAsia="lv-LV"/>
              </w:rPr>
              <w:t>.</w:t>
            </w:r>
          </w:p>
        </w:tc>
      </w:tr>
      <w:tr w:rsidR="006C3828" w:rsidRPr="00894D21" w14:paraId="1C6D72DB" w14:textId="77777777" w:rsidTr="004B6ED3">
        <w:trPr>
          <w:trHeight w:val="567"/>
        </w:trPr>
        <w:tc>
          <w:tcPr>
            <w:tcW w:w="987" w:type="pct"/>
            <w:shd w:val="clear" w:color="auto" w:fill="auto"/>
            <w:hideMark/>
          </w:tcPr>
          <w:p w14:paraId="5D7A323C" w14:textId="4BD853F3"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tc>
        <w:tc>
          <w:tcPr>
            <w:tcW w:w="4013" w:type="pct"/>
            <w:shd w:val="clear" w:color="auto" w:fill="auto"/>
          </w:tcPr>
          <w:p w14:paraId="7C9C2B96" w14:textId="1B2B1756" w:rsidR="00482DA3" w:rsidRPr="00214E91" w:rsidRDefault="00482DA3" w:rsidP="0037089C">
            <w:pPr>
              <w:spacing w:after="120" w:line="240" w:lineRule="auto"/>
              <w:jc w:val="both"/>
              <w:rPr>
                <w:rFonts w:ascii="Times New Roman" w:eastAsia="Times New Roman" w:hAnsi="Times New Roman" w:cs="Times New Roman"/>
                <w:sz w:val="24"/>
                <w:szCs w:val="24"/>
                <w:lang w:eastAsia="lv-LV"/>
              </w:rPr>
            </w:pPr>
            <w:r w:rsidRPr="00214E91">
              <w:rPr>
                <w:rFonts w:ascii="Times New Roman" w:eastAsia="Times New Roman" w:hAnsi="Times New Roman" w:cs="Times New Roman"/>
                <w:sz w:val="24"/>
                <w:szCs w:val="24"/>
                <w:lang w:eastAsia="lv-LV"/>
              </w:rPr>
              <w:t xml:space="preserve">Nosakot prasības </w:t>
            </w:r>
            <w:r w:rsidR="00934E6C" w:rsidRPr="00934E6C">
              <w:rPr>
                <w:rFonts w:ascii="Times New Roman" w:eastAsia="Times New Roman" w:hAnsi="Times New Roman" w:cs="Times New Roman"/>
                <w:iCs/>
                <w:sz w:val="24"/>
                <w:szCs w:val="24"/>
              </w:rPr>
              <w:t>kredītiestādei specifiskās pretcikliskās kapitāla rezerves normas aprēķināšanas kārtīb</w:t>
            </w:r>
            <w:r w:rsidR="00934E6C">
              <w:rPr>
                <w:rFonts w:ascii="Times New Roman" w:eastAsia="Times New Roman" w:hAnsi="Times New Roman" w:cs="Times New Roman"/>
                <w:iCs/>
                <w:sz w:val="24"/>
                <w:szCs w:val="24"/>
              </w:rPr>
              <w:t>ai</w:t>
            </w:r>
            <w:r w:rsidR="00022061">
              <w:rPr>
                <w:rFonts w:ascii="Times New Roman" w:eastAsia="Times New Roman" w:hAnsi="Times New Roman" w:cs="Times New Roman"/>
                <w:iCs/>
                <w:sz w:val="24"/>
                <w:szCs w:val="24"/>
              </w:rPr>
              <w:t>,</w:t>
            </w:r>
            <w:r w:rsidRPr="00214E91">
              <w:rPr>
                <w:rFonts w:ascii="Times New Roman" w:eastAsia="Times New Roman" w:hAnsi="Times New Roman" w:cs="Times New Roman"/>
                <w:sz w:val="24"/>
                <w:szCs w:val="24"/>
                <w:lang w:eastAsia="lv-LV"/>
              </w:rPr>
              <w:t xml:space="preserve"> tiek nodrošināta vienota </w:t>
            </w:r>
            <w:r w:rsidR="00A64762">
              <w:rPr>
                <w:rFonts w:ascii="Times New Roman" w:eastAsia="Times New Roman" w:hAnsi="Times New Roman" w:cs="Times New Roman"/>
                <w:sz w:val="24"/>
                <w:szCs w:val="24"/>
                <w:lang w:eastAsia="lv-LV"/>
              </w:rPr>
              <w:t xml:space="preserve">finanšu </w:t>
            </w:r>
            <w:r w:rsidRPr="00214E91">
              <w:rPr>
                <w:rFonts w:ascii="Times New Roman" w:eastAsia="Times New Roman" w:hAnsi="Times New Roman" w:cs="Times New Roman"/>
                <w:sz w:val="24"/>
                <w:szCs w:val="24"/>
                <w:lang w:eastAsia="lv-LV"/>
              </w:rPr>
              <w:t>tirgus dalībnieku izpratne un pieeja regulējošo prasību interpretācijā un piemērošanā.</w:t>
            </w:r>
          </w:p>
          <w:p w14:paraId="1A66758D" w14:textId="539BBAB4"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Līdz ar to atbilstošākais veids, kā noteikt finanšu tirgus dalībniekiem vienotas </w:t>
            </w:r>
            <w:r w:rsidR="00BC0CBB">
              <w:rPr>
                <w:rFonts w:ascii="Times New Roman" w:eastAsia="Times New Roman" w:hAnsi="Times New Roman" w:cs="Times New Roman"/>
                <w:iCs/>
                <w:sz w:val="24"/>
                <w:szCs w:val="24"/>
              </w:rPr>
              <w:t xml:space="preserve">prasības </w:t>
            </w:r>
            <w:r w:rsidR="00934E6C" w:rsidRPr="00934E6C">
              <w:rPr>
                <w:rFonts w:ascii="Times New Roman" w:eastAsia="Times New Roman" w:hAnsi="Times New Roman" w:cs="Times New Roman"/>
                <w:iCs/>
                <w:sz w:val="24"/>
                <w:szCs w:val="24"/>
              </w:rPr>
              <w:t>kredītiestādei specifiskās pretcikliskās kapitāla rezerves normas aprēķināšanas kārtīb</w:t>
            </w:r>
            <w:r w:rsidR="00934E6C">
              <w:rPr>
                <w:rFonts w:ascii="Times New Roman" w:eastAsia="Times New Roman" w:hAnsi="Times New Roman" w:cs="Times New Roman"/>
                <w:iCs/>
                <w:sz w:val="24"/>
                <w:szCs w:val="24"/>
              </w:rPr>
              <w:t>ai</w:t>
            </w:r>
            <w:r w:rsidRPr="00894D21">
              <w:rPr>
                <w:rFonts w:ascii="Times New Roman" w:eastAsia="Times New Roman" w:hAnsi="Times New Roman" w:cs="Times New Roman"/>
                <w:sz w:val="24"/>
                <w:szCs w:val="24"/>
                <w:lang w:eastAsia="lv-LV"/>
              </w:rPr>
              <w:t>, ir izdot tiem saistošus noteikumus. Citas alternatīvas jautājuma noregulēšanai un vienotu prasību noteikšanai nebūtu efektīvas un nesasniegtu izvirzīto mērķi, jo nenodrošinātu vienveidīgu piemērošanu.</w:t>
            </w:r>
          </w:p>
          <w:p w14:paraId="67B8717F" w14:textId="303D6E7A"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A64762">
              <w:rPr>
                <w:rFonts w:ascii="Times New Roman" w:eastAsia="Times New Roman" w:hAnsi="Times New Roman" w:cs="Times New Roman"/>
                <w:sz w:val="24"/>
                <w:szCs w:val="24"/>
                <w:lang w:eastAsia="lv-LV"/>
              </w:rPr>
              <w:t xml:space="preserve">finanšu </w:t>
            </w:r>
            <w:r w:rsidRPr="00894D21">
              <w:rPr>
                <w:rFonts w:ascii="Times New Roman" w:eastAsia="Times New Roman" w:hAnsi="Times New Roman" w:cs="Times New Roman"/>
                <w:sz w:val="24"/>
                <w:szCs w:val="24"/>
                <w:lang w:eastAsia="lv-LV"/>
              </w:rPr>
              <w:t>tirgus dalībniekam juridiski saistoši. Vienlaikus ar noteikumu projektu tiek noteiktas prasības, kuras Latvijas Banka uzraudzības ietvaros var kontrolēt un nepieciešamības gadījumā par konkrētu prasību pārkāpumu piemērot finanšu tirgus dalībniekam korektīvos pasākumus vai sankcijas.</w:t>
            </w:r>
          </w:p>
          <w:p w14:paraId="29E6F5B9" w14:textId="43F57D89" w:rsidR="00BC0CBB"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Respektīvi, </w:t>
            </w:r>
            <w:r w:rsidR="001E715B">
              <w:rPr>
                <w:rFonts w:ascii="Times New Roman" w:eastAsia="Times New Roman" w:hAnsi="Times New Roman" w:cs="Times New Roman"/>
                <w:sz w:val="24"/>
                <w:szCs w:val="24"/>
                <w:lang w:eastAsia="lv-LV"/>
              </w:rPr>
              <w:t>noteikumu projekts</w:t>
            </w:r>
            <w:r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un, otrkārt,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w:t>
            </w:r>
            <w:r w:rsidR="671264DD" w:rsidRPr="00894D21">
              <w:rPr>
                <w:rFonts w:ascii="Times New Roman" w:eastAsia="Times New Roman" w:hAnsi="Times New Roman" w:cs="Times New Roman"/>
                <w:sz w:val="24"/>
                <w:szCs w:val="24"/>
                <w:lang w:eastAsia="lv-LV"/>
              </w:rPr>
              <w:lastRenderedPageBreak/>
              <w:t>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894D21" w14:paraId="1B86501B" w14:textId="77777777" w:rsidTr="004B6ED3">
        <w:trPr>
          <w:trHeight w:val="952"/>
        </w:trPr>
        <w:tc>
          <w:tcPr>
            <w:tcW w:w="987" w:type="pct"/>
            <w:shd w:val="clear" w:color="auto" w:fill="auto"/>
            <w:hideMark/>
          </w:tcPr>
          <w:p w14:paraId="6B4568BB" w14:textId="0EB63753" w:rsidR="006C3828" w:rsidRPr="00894D21" w:rsidRDefault="006C3828" w:rsidP="00A74D53">
            <w:pPr>
              <w:spacing w:after="0" w:line="240" w:lineRule="auto"/>
              <w:rPr>
                <w:rFonts w:ascii="Times New Roman" w:eastAsia="Times New Roman" w:hAnsi="Times New Roman" w:cs="Times New Roman"/>
                <w:b/>
                <w:bCs/>
                <w:sz w:val="24"/>
                <w:szCs w:val="24"/>
                <w:lang w:eastAsia="lv-LV"/>
              </w:rPr>
            </w:pPr>
            <w:bookmarkStart w:id="3" w:name="_Hlk129966404"/>
            <w:r w:rsidRPr="00894D21">
              <w:rPr>
                <w:rFonts w:ascii="Times New Roman" w:eastAsia="Times New Roman" w:hAnsi="Times New Roman" w:cs="Times New Roman"/>
                <w:b/>
                <w:bCs/>
                <w:sz w:val="24"/>
                <w:szCs w:val="24"/>
                <w:lang w:eastAsia="lv-LV"/>
              </w:rPr>
              <w:lastRenderedPageBreak/>
              <w:t>Spēkā stāšanās</w:t>
            </w:r>
            <w:bookmarkEnd w:id="3"/>
          </w:p>
        </w:tc>
        <w:tc>
          <w:tcPr>
            <w:tcW w:w="4013" w:type="pct"/>
            <w:shd w:val="clear" w:color="auto" w:fill="auto"/>
          </w:tcPr>
          <w:p w14:paraId="60CFB602" w14:textId="78FE7079"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projekts stāsies spēkā 202</w:t>
            </w:r>
            <w:r w:rsidR="00BB15E9">
              <w:rPr>
                <w:rFonts w:ascii="Times New Roman" w:eastAsia="Times New Roman" w:hAnsi="Times New Roman" w:cs="Times New Roman"/>
                <w:sz w:val="24"/>
                <w:szCs w:val="24"/>
                <w:lang w:eastAsia="lv-LV"/>
              </w:rPr>
              <w:t>5.</w:t>
            </w:r>
            <w:r w:rsidR="00001188">
              <w:rPr>
                <w:rFonts w:ascii="Times New Roman" w:eastAsia="Times New Roman" w:hAnsi="Times New Roman" w:cs="Times New Roman"/>
                <w:sz w:val="24"/>
                <w:szCs w:val="24"/>
                <w:lang w:eastAsia="lv-LV"/>
              </w:rPr>
              <w:t> </w:t>
            </w:r>
            <w:r w:rsidR="00BB15E9">
              <w:rPr>
                <w:rFonts w:ascii="Times New Roman" w:eastAsia="Times New Roman" w:hAnsi="Times New Roman" w:cs="Times New Roman"/>
                <w:sz w:val="24"/>
                <w:szCs w:val="24"/>
                <w:lang w:eastAsia="lv-LV"/>
              </w:rPr>
              <w:t>gada 1.</w:t>
            </w:r>
            <w:r w:rsidR="00001188">
              <w:rPr>
                <w:rFonts w:ascii="Times New Roman" w:eastAsia="Times New Roman" w:hAnsi="Times New Roman" w:cs="Times New Roman"/>
                <w:sz w:val="24"/>
                <w:szCs w:val="24"/>
                <w:lang w:eastAsia="lv-LV"/>
              </w:rPr>
              <w:t> </w:t>
            </w:r>
            <w:r w:rsidR="00BB15E9">
              <w:rPr>
                <w:rFonts w:ascii="Times New Roman" w:eastAsia="Times New Roman" w:hAnsi="Times New Roman" w:cs="Times New Roman"/>
                <w:sz w:val="24"/>
                <w:szCs w:val="24"/>
                <w:lang w:eastAsia="lv-LV"/>
              </w:rPr>
              <w:t>janvārī.</w:t>
            </w:r>
          </w:p>
        </w:tc>
      </w:tr>
      <w:tr w:rsidR="006C3828" w:rsidRPr="00894D21" w14:paraId="0DEA2EE8" w14:textId="77777777" w:rsidTr="004B6ED3">
        <w:trPr>
          <w:trHeight w:val="567"/>
        </w:trPr>
        <w:tc>
          <w:tcPr>
            <w:tcW w:w="987" w:type="pct"/>
            <w:shd w:val="clear" w:color="auto" w:fill="auto"/>
            <w:hideMark/>
          </w:tcPr>
          <w:p w14:paraId="666A22E2" w14:textId="44457671"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tc>
        <w:tc>
          <w:tcPr>
            <w:tcW w:w="4013" w:type="pct"/>
            <w:shd w:val="clear" w:color="auto" w:fill="auto"/>
          </w:tcPr>
          <w:p w14:paraId="10C919A9" w14:textId="77777777" w:rsidR="006C3828" w:rsidRPr="00894D21" w:rsidRDefault="006C3828" w:rsidP="0037089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4B6ED3">
        <w:trPr>
          <w:trHeight w:val="567"/>
        </w:trPr>
        <w:tc>
          <w:tcPr>
            <w:tcW w:w="987" w:type="pct"/>
            <w:shd w:val="clear" w:color="auto" w:fill="auto"/>
            <w:hideMark/>
          </w:tcPr>
          <w:p w14:paraId="29762232" w14:textId="37DD9A28" w:rsidR="006C3828" w:rsidRPr="00894D21" w:rsidRDefault="006C3828" w:rsidP="00A74D53">
            <w:pPr>
              <w:spacing w:after="0" w:line="240" w:lineRule="auto"/>
              <w:rPr>
                <w:rFonts w:ascii="Times New Roman" w:eastAsia="Times New Roman" w:hAnsi="Times New Roman" w:cs="Times New Roman"/>
                <w:b/>
                <w:bCs/>
                <w:sz w:val="24"/>
                <w:szCs w:val="24"/>
                <w:lang w:eastAsia="lv-LV"/>
              </w:rPr>
            </w:pPr>
            <w:bookmarkStart w:id="4" w:name="_Hlk129966385"/>
            <w:r w:rsidRPr="00894D21">
              <w:rPr>
                <w:rFonts w:ascii="Times New Roman" w:eastAsia="Times New Roman" w:hAnsi="Times New Roman" w:cs="Times New Roman"/>
                <w:b/>
                <w:bCs/>
                <w:sz w:val="24"/>
                <w:szCs w:val="24"/>
                <w:lang w:eastAsia="lv-LV"/>
              </w:rPr>
              <w:t>Administratīvā sloga un izmaksu novērtējums (tirgus dalībniekiem)</w:t>
            </w:r>
            <w:bookmarkEnd w:id="4"/>
          </w:p>
        </w:tc>
        <w:tc>
          <w:tcPr>
            <w:tcW w:w="4013" w:type="pct"/>
            <w:shd w:val="clear" w:color="auto" w:fill="auto"/>
          </w:tcPr>
          <w:p w14:paraId="7FDE5294" w14:textId="26281732" w:rsidR="006C3828" w:rsidRPr="00894D21" w:rsidRDefault="00CD3E16" w:rsidP="0037089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Kopumā noteikumu </w:t>
            </w:r>
            <w:r w:rsidRPr="005C6BEA">
              <w:rPr>
                <w:rFonts w:ascii="Times New Roman" w:eastAsia="Times New Roman" w:hAnsi="Times New Roman" w:cs="Times New Roman"/>
                <w:sz w:val="24"/>
                <w:szCs w:val="24"/>
                <w:lang w:eastAsia="lv-LV"/>
              </w:rPr>
              <w:t xml:space="preserve">projekts neparedz būtiskas izmaiņas. </w:t>
            </w:r>
            <w:r w:rsidR="006C3828" w:rsidRPr="005C6BEA">
              <w:rPr>
                <w:rFonts w:ascii="Times New Roman" w:eastAsia="Times New Roman" w:hAnsi="Times New Roman" w:cs="Times New Roman"/>
                <w:sz w:val="24"/>
                <w:szCs w:val="24"/>
                <w:lang w:eastAsia="lv-LV"/>
              </w:rPr>
              <w:t xml:space="preserve">Noteikumu projektā ietvertās </w:t>
            </w:r>
            <w:r w:rsidRPr="005C6BEA">
              <w:rPr>
                <w:rFonts w:ascii="Times New Roman" w:eastAsia="Times New Roman" w:hAnsi="Times New Roman" w:cs="Times New Roman"/>
                <w:sz w:val="24"/>
                <w:szCs w:val="24"/>
                <w:lang w:eastAsia="lv-LV"/>
              </w:rPr>
              <w:t>izmaiņas</w:t>
            </w:r>
            <w:r w:rsidR="006C3828" w:rsidRPr="005C6BEA">
              <w:rPr>
                <w:rFonts w:ascii="Times New Roman" w:eastAsia="Times New Roman" w:hAnsi="Times New Roman" w:cs="Times New Roman"/>
                <w:sz w:val="24"/>
                <w:szCs w:val="24"/>
                <w:lang w:eastAsia="lv-LV"/>
              </w:rPr>
              <w:t xml:space="preserve">, t. sk. prasības saistībā ar pārmaiņām iekšējos procesos, </w:t>
            </w:r>
            <w:r w:rsidR="005C6BEA" w:rsidRPr="005C6BEA">
              <w:rPr>
                <w:rFonts w:ascii="Times New Roman" w:eastAsia="Times New Roman" w:hAnsi="Times New Roman" w:cs="Times New Roman"/>
                <w:sz w:val="24"/>
                <w:szCs w:val="24"/>
                <w:lang w:eastAsia="lv-LV"/>
              </w:rPr>
              <w:t>ne</w:t>
            </w:r>
            <w:r w:rsidR="006C3828" w:rsidRPr="005C6BEA">
              <w:rPr>
                <w:rFonts w:ascii="Times New Roman" w:eastAsia="Times New Roman" w:hAnsi="Times New Roman" w:cs="Times New Roman"/>
                <w:sz w:val="24"/>
                <w:szCs w:val="24"/>
                <w:lang w:eastAsia="lv-LV"/>
              </w:rPr>
              <w:t xml:space="preserve">radīs papildu administratīvo slogu </w:t>
            </w:r>
            <w:r w:rsidR="00A372E9" w:rsidRPr="005C6BEA">
              <w:rPr>
                <w:rFonts w:ascii="Times New Roman" w:eastAsia="Times New Roman" w:hAnsi="Times New Roman" w:cs="Times New Roman"/>
                <w:sz w:val="24"/>
                <w:szCs w:val="24"/>
                <w:lang w:eastAsia="lv-LV"/>
              </w:rPr>
              <w:t xml:space="preserve">un izmaksas </w:t>
            </w:r>
            <w:r w:rsidR="006C3828" w:rsidRPr="005C6BEA">
              <w:rPr>
                <w:rFonts w:ascii="Times New Roman" w:eastAsia="Times New Roman" w:hAnsi="Times New Roman" w:cs="Times New Roman"/>
                <w:sz w:val="24"/>
                <w:szCs w:val="24"/>
                <w:lang w:eastAsia="lv-LV"/>
              </w:rPr>
              <w:t>finanšu tirgus dalībniekiem, uz kuriem ir attiecināmas noteikumu projekta prasības.</w:t>
            </w:r>
          </w:p>
        </w:tc>
      </w:tr>
      <w:tr w:rsidR="006C3828" w:rsidRPr="00894D21" w14:paraId="7C375F90" w14:textId="77777777" w:rsidTr="004B6ED3">
        <w:trPr>
          <w:trHeight w:val="567"/>
        </w:trPr>
        <w:tc>
          <w:tcPr>
            <w:tcW w:w="987" w:type="pct"/>
            <w:shd w:val="clear" w:color="auto" w:fill="auto"/>
            <w:hideMark/>
          </w:tcPr>
          <w:p w14:paraId="5BE3B739" w14:textId="26A4745C"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tc>
        <w:tc>
          <w:tcPr>
            <w:tcW w:w="4013" w:type="pct"/>
            <w:shd w:val="clear" w:color="auto" w:fill="auto"/>
          </w:tcPr>
          <w:p w14:paraId="7E3550BE" w14:textId="637F123F" w:rsidR="00894D21" w:rsidRPr="00DE4723" w:rsidRDefault="00894D21" w:rsidP="0037089C">
            <w:pPr>
              <w:spacing w:after="120" w:line="240" w:lineRule="auto"/>
              <w:jc w:val="both"/>
              <w:rPr>
                <w:rFonts w:ascii="Times New Roman" w:hAnsi="Times New Roman" w:cs="Times New Roman"/>
                <w:sz w:val="24"/>
                <w:szCs w:val="24"/>
              </w:rPr>
            </w:pPr>
            <w:r w:rsidRPr="00DE4723">
              <w:rPr>
                <w:rFonts w:ascii="Times New Roman" w:hAnsi="Times New Roman" w:cs="Times New Roman"/>
                <w:sz w:val="24"/>
                <w:szCs w:val="24"/>
              </w:rPr>
              <w:t>Ar noteikumu projektu saistītie dokumenti:</w:t>
            </w:r>
          </w:p>
          <w:p w14:paraId="4235199F" w14:textId="74E0159D" w:rsidR="006A1E74" w:rsidRPr="00DE4723" w:rsidRDefault="00450D45"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DE4723">
              <w:rPr>
                <w:rFonts w:ascii="Times New Roman" w:eastAsia="Times New Roman" w:hAnsi="Times New Roman" w:cs="Times New Roman"/>
                <w:sz w:val="24"/>
                <w:szCs w:val="24"/>
                <w:lang w:eastAsia="lv-LV"/>
              </w:rPr>
              <w:t>Kredītiestāžu likums</w:t>
            </w:r>
            <w:r w:rsidR="006A1E74" w:rsidRPr="00DE4723">
              <w:rPr>
                <w:rFonts w:ascii="Times New Roman" w:eastAsia="Times New Roman" w:hAnsi="Times New Roman" w:cs="Times New Roman"/>
                <w:sz w:val="24"/>
                <w:szCs w:val="24"/>
                <w:lang w:eastAsia="lv-LV"/>
              </w:rPr>
              <w:t>;</w:t>
            </w:r>
          </w:p>
          <w:p w14:paraId="16665D64" w14:textId="4B0A9D8E" w:rsidR="00001188" w:rsidRPr="00DE4723" w:rsidRDefault="001E715B" w:rsidP="00FF78B1">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lv-LV"/>
              </w:rPr>
              <w:t>137. </w:t>
            </w:r>
            <w:r w:rsidR="00934E6C" w:rsidRPr="00DE4723">
              <w:rPr>
                <w:rFonts w:ascii="Times New Roman" w:eastAsia="Times New Roman" w:hAnsi="Times New Roman" w:cs="Times New Roman"/>
                <w:color w:val="000000"/>
                <w:sz w:val="24"/>
                <w:szCs w:val="24"/>
                <w:lang w:eastAsia="lv-LV"/>
              </w:rPr>
              <w:t>n</w:t>
            </w:r>
            <w:r w:rsidR="00001188" w:rsidRPr="00DE4723">
              <w:rPr>
                <w:rFonts w:ascii="Times New Roman" w:eastAsia="Times New Roman" w:hAnsi="Times New Roman" w:cs="Times New Roman"/>
                <w:color w:val="000000"/>
                <w:sz w:val="24"/>
                <w:szCs w:val="24"/>
                <w:lang w:eastAsia="lv-LV"/>
              </w:rPr>
              <w:t>oteikumi;</w:t>
            </w:r>
          </w:p>
          <w:p w14:paraId="7374AB90" w14:textId="77777777" w:rsidR="00934E6C" w:rsidRPr="005C6BEA" w:rsidRDefault="00C32023" w:rsidP="00934E6C">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5C6BEA">
              <w:rPr>
                <w:rFonts w:ascii="Times New Roman" w:hAnsi="Times New Roman" w:cs="Times New Roman"/>
                <w:sz w:val="24"/>
                <w:szCs w:val="24"/>
              </w:rPr>
              <w:t xml:space="preserve">Latvijas Bankas </w:t>
            </w:r>
            <w:r w:rsidR="008E1212" w:rsidRPr="005C6BEA">
              <w:rPr>
                <w:rFonts w:ascii="Times New Roman" w:hAnsi="Times New Roman" w:cs="Times New Roman"/>
                <w:sz w:val="24"/>
                <w:szCs w:val="24"/>
              </w:rPr>
              <w:t>2022.</w:t>
            </w:r>
            <w:r w:rsidR="00C86378" w:rsidRPr="005C6BEA">
              <w:rPr>
                <w:rFonts w:ascii="Times New Roman" w:hAnsi="Times New Roman" w:cs="Times New Roman"/>
                <w:sz w:val="24"/>
                <w:szCs w:val="24"/>
              </w:rPr>
              <w:t> </w:t>
            </w:r>
            <w:r w:rsidR="008E1212" w:rsidRPr="005C6BEA">
              <w:rPr>
                <w:rFonts w:ascii="Times New Roman" w:hAnsi="Times New Roman" w:cs="Times New Roman"/>
                <w:sz w:val="24"/>
                <w:szCs w:val="24"/>
              </w:rPr>
              <w:t>gada 24.</w:t>
            </w:r>
            <w:r w:rsidR="00C86378" w:rsidRPr="005C6BEA">
              <w:rPr>
                <w:rFonts w:ascii="Times New Roman" w:hAnsi="Times New Roman" w:cs="Times New Roman"/>
                <w:sz w:val="24"/>
                <w:szCs w:val="24"/>
              </w:rPr>
              <w:t> </w:t>
            </w:r>
            <w:r w:rsidR="008E1212" w:rsidRPr="005C6BEA">
              <w:rPr>
                <w:rFonts w:ascii="Times New Roman" w:hAnsi="Times New Roman" w:cs="Times New Roman"/>
                <w:sz w:val="24"/>
                <w:szCs w:val="24"/>
              </w:rPr>
              <w:t>oktobra</w:t>
            </w:r>
            <w:r w:rsidR="00F700C0" w:rsidRPr="005C6BEA">
              <w:rPr>
                <w:rFonts w:ascii="Times New Roman" w:hAnsi="Times New Roman" w:cs="Times New Roman"/>
                <w:sz w:val="24"/>
                <w:szCs w:val="24"/>
              </w:rPr>
              <w:t xml:space="preserve"> noteikumi Nr</w:t>
            </w:r>
            <w:r w:rsidR="006064AD" w:rsidRPr="005C6BEA">
              <w:rPr>
                <w:rFonts w:ascii="Times New Roman" w:hAnsi="Times New Roman" w:cs="Times New Roman"/>
                <w:sz w:val="24"/>
                <w:szCs w:val="24"/>
              </w:rPr>
              <w:t>.</w:t>
            </w:r>
            <w:r w:rsidR="00C86378" w:rsidRPr="005C6BEA">
              <w:rPr>
                <w:rFonts w:ascii="Times New Roman" w:hAnsi="Times New Roman" w:cs="Times New Roman"/>
                <w:sz w:val="24"/>
                <w:szCs w:val="24"/>
              </w:rPr>
              <w:t> </w:t>
            </w:r>
            <w:r w:rsidR="006064AD" w:rsidRPr="005C6BEA">
              <w:rPr>
                <w:rFonts w:ascii="Times New Roman" w:hAnsi="Times New Roman" w:cs="Times New Roman"/>
                <w:sz w:val="24"/>
                <w:szCs w:val="24"/>
              </w:rPr>
              <w:t>226 "Noteikumi par elektronisko informācijas apmaiņu ar Latvijas Banku"</w:t>
            </w:r>
            <w:r w:rsidR="0030716B" w:rsidRPr="005C6BEA">
              <w:rPr>
                <w:rFonts w:ascii="Times New Roman" w:hAnsi="Times New Roman" w:cs="Times New Roman"/>
                <w:sz w:val="24"/>
                <w:szCs w:val="24"/>
              </w:rPr>
              <w:t>;</w:t>
            </w:r>
          </w:p>
          <w:p w14:paraId="7C1D5150" w14:textId="4016D3F5" w:rsidR="00934E6C" w:rsidRPr="00DE4723" w:rsidRDefault="00934E6C" w:rsidP="00934E6C">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DE4723">
              <w:rPr>
                <w:rFonts w:ascii="Times New Roman" w:eastAsia="Times New Roman" w:hAnsi="Times New Roman" w:cs="Times New Roman"/>
                <w:iCs/>
                <w:sz w:val="24"/>
                <w:szCs w:val="24"/>
              </w:rPr>
              <w:t xml:space="preserve">Eiropas Parlamenta un Padomes 2013. gada 26. jūnija </w:t>
            </w:r>
            <w:r w:rsidR="001E715B">
              <w:rPr>
                <w:rFonts w:ascii="Times New Roman" w:eastAsia="Times New Roman" w:hAnsi="Times New Roman" w:cs="Times New Roman"/>
                <w:iCs/>
                <w:sz w:val="24"/>
                <w:szCs w:val="24"/>
              </w:rPr>
              <w:t>d</w:t>
            </w:r>
            <w:r w:rsidRPr="00DE4723">
              <w:rPr>
                <w:rFonts w:ascii="Times New Roman" w:eastAsia="Times New Roman" w:hAnsi="Times New Roman" w:cs="Times New Roman"/>
                <w:iCs/>
                <w:sz w:val="24"/>
                <w:szCs w:val="24"/>
              </w:rPr>
              <w:t xml:space="preserve">irektīva 2013/36/ES par piekļuvi kredītiestāžu darbībai un kredītiestāžu prudenciālo uzraudzību, ar ko groza </w:t>
            </w:r>
            <w:r w:rsidR="001E715B">
              <w:rPr>
                <w:rFonts w:ascii="Times New Roman" w:eastAsia="Times New Roman" w:hAnsi="Times New Roman" w:cs="Times New Roman"/>
                <w:iCs/>
                <w:sz w:val="24"/>
                <w:szCs w:val="24"/>
              </w:rPr>
              <w:t>d</w:t>
            </w:r>
            <w:r w:rsidRPr="00DE4723">
              <w:rPr>
                <w:rFonts w:ascii="Times New Roman" w:eastAsia="Times New Roman" w:hAnsi="Times New Roman" w:cs="Times New Roman"/>
                <w:iCs/>
                <w:sz w:val="24"/>
                <w:szCs w:val="24"/>
              </w:rPr>
              <w:t xml:space="preserve">irektīvu 2002/87/EK un atceļ </w:t>
            </w:r>
            <w:r w:rsidR="001E715B">
              <w:rPr>
                <w:rFonts w:ascii="Times New Roman" w:eastAsia="Times New Roman" w:hAnsi="Times New Roman" w:cs="Times New Roman"/>
                <w:iCs/>
                <w:sz w:val="24"/>
                <w:szCs w:val="24"/>
              </w:rPr>
              <w:t>d</w:t>
            </w:r>
            <w:r w:rsidRPr="00DE4723">
              <w:rPr>
                <w:rFonts w:ascii="Times New Roman" w:eastAsia="Times New Roman" w:hAnsi="Times New Roman" w:cs="Times New Roman"/>
                <w:iCs/>
                <w:sz w:val="24"/>
                <w:szCs w:val="24"/>
              </w:rPr>
              <w:t>irektīvas 2006/48/EK un 2006/49/EK;</w:t>
            </w:r>
          </w:p>
          <w:p w14:paraId="1D8C6A24" w14:textId="3D858C14" w:rsidR="00934E6C" w:rsidRPr="00DE4723" w:rsidRDefault="00F46677" w:rsidP="00934E6C">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2C2F57">
              <w:rPr>
                <w:rFonts w:ascii="Times New Roman" w:eastAsia="Times New Roman" w:hAnsi="Times New Roman" w:cs="Times New Roman"/>
                <w:iCs/>
                <w:sz w:val="24"/>
                <w:szCs w:val="24"/>
              </w:rPr>
              <w:t>Regula Nr. 575/2013</w:t>
            </w:r>
            <w:r w:rsidR="00934E6C" w:rsidRPr="00DE4723">
              <w:rPr>
                <w:rFonts w:ascii="Times New Roman" w:eastAsia="Times New Roman" w:hAnsi="Times New Roman" w:cs="Times New Roman"/>
                <w:iCs/>
                <w:sz w:val="24"/>
                <w:szCs w:val="24"/>
              </w:rPr>
              <w:t>;</w:t>
            </w:r>
          </w:p>
          <w:p w14:paraId="1D85EE45" w14:textId="76C5698E" w:rsidR="00934E6C" w:rsidRPr="00DE4723" w:rsidRDefault="00934E6C" w:rsidP="00934E6C">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DE4723">
              <w:rPr>
                <w:rFonts w:ascii="Times New Roman" w:eastAsia="Times New Roman" w:hAnsi="Times New Roman" w:cs="Times New Roman"/>
                <w:iCs/>
                <w:sz w:val="24"/>
                <w:szCs w:val="24"/>
              </w:rPr>
              <w:t xml:space="preserve">Komisijas 2014. gada 4. jūnija </w:t>
            </w:r>
            <w:r w:rsidR="001E715B">
              <w:rPr>
                <w:rFonts w:ascii="Times New Roman" w:eastAsia="Times New Roman" w:hAnsi="Times New Roman" w:cs="Times New Roman"/>
                <w:iCs/>
                <w:sz w:val="24"/>
                <w:szCs w:val="24"/>
              </w:rPr>
              <w:t>d</w:t>
            </w:r>
            <w:r w:rsidRPr="00DE4723">
              <w:rPr>
                <w:rFonts w:ascii="Times New Roman" w:eastAsia="Times New Roman" w:hAnsi="Times New Roman" w:cs="Times New Roman"/>
                <w:iCs/>
                <w:sz w:val="24"/>
                <w:szCs w:val="24"/>
              </w:rPr>
              <w:t xml:space="preserve">eleģētā regula (ES) Nr. 1152/2014, ar ko papildina Eiropas Parlamenta un Padomes </w:t>
            </w:r>
            <w:r w:rsidR="001E715B">
              <w:rPr>
                <w:rFonts w:ascii="Times New Roman" w:eastAsia="Times New Roman" w:hAnsi="Times New Roman" w:cs="Times New Roman"/>
                <w:iCs/>
                <w:sz w:val="24"/>
                <w:szCs w:val="24"/>
              </w:rPr>
              <w:t>d</w:t>
            </w:r>
            <w:r w:rsidRPr="00DE4723">
              <w:rPr>
                <w:rFonts w:ascii="Times New Roman" w:eastAsia="Times New Roman" w:hAnsi="Times New Roman" w:cs="Times New Roman"/>
                <w:iCs/>
                <w:sz w:val="24"/>
                <w:szCs w:val="24"/>
              </w:rPr>
              <w:t>irektīvu 2013/36/ES attiecībā uz regulatīvajiem tehniskajiem standartiem par attiecīgo kredītriska darījumu ģeogrāfiskās atrašanās vietas noteikšanu iestādes specifisko pretciklisko kapitāla rezervju aprēķināšanai;</w:t>
            </w:r>
          </w:p>
          <w:p w14:paraId="679985F5" w14:textId="57740C35" w:rsidR="00934E6C" w:rsidRPr="00DE4723" w:rsidRDefault="00026635" w:rsidP="00934E6C">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 Īstenošanas regula Nr. </w:t>
            </w:r>
            <w:r w:rsidRPr="002C2F57">
              <w:rPr>
                <w:rFonts w:ascii="Times New Roman" w:eastAsia="Times New Roman" w:hAnsi="Times New Roman" w:cs="Times New Roman"/>
                <w:iCs/>
                <w:sz w:val="24"/>
                <w:szCs w:val="24"/>
              </w:rPr>
              <w:t>2021/637</w:t>
            </w:r>
            <w:r w:rsidR="00934E6C" w:rsidRPr="00DE4723">
              <w:rPr>
                <w:rFonts w:ascii="Times New Roman" w:eastAsia="Times New Roman" w:hAnsi="Times New Roman" w:cs="Times New Roman"/>
                <w:iCs/>
                <w:sz w:val="24"/>
                <w:szCs w:val="24"/>
              </w:rPr>
              <w:t>;</w:t>
            </w:r>
          </w:p>
          <w:p w14:paraId="37E58BF7" w14:textId="0306BBF0" w:rsidR="00355FC3" w:rsidRPr="00DE4723" w:rsidRDefault="00934E6C" w:rsidP="00934E6C">
            <w:pPr>
              <w:pStyle w:val="ListParagraph"/>
              <w:numPr>
                <w:ilvl w:val="0"/>
                <w:numId w:val="6"/>
              </w:numPr>
              <w:tabs>
                <w:tab w:val="left" w:pos="364"/>
              </w:tabs>
              <w:spacing w:after="120" w:line="240" w:lineRule="auto"/>
              <w:ind w:left="28" w:firstLine="0"/>
              <w:contextualSpacing w:val="0"/>
              <w:jc w:val="both"/>
              <w:rPr>
                <w:rFonts w:ascii="Times New Roman" w:hAnsi="Times New Roman" w:cs="Times New Roman"/>
                <w:sz w:val="24"/>
                <w:szCs w:val="24"/>
              </w:rPr>
            </w:pPr>
            <w:r w:rsidRPr="00DE4723">
              <w:rPr>
                <w:rFonts w:ascii="Times New Roman" w:eastAsia="Times New Roman" w:hAnsi="Times New Roman" w:cs="Times New Roman"/>
                <w:iCs/>
                <w:sz w:val="24"/>
                <w:szCs w:val="24"/>
              </w:rPr>
              <w:t xml:space="preserve">Eiropas Parlamenta un Padomes 2019. gada 27. novembra </w:t>
            </w:r>
            <w:r w:rsidR="001E715B">
              <w:rPr>
                <w:rFonts w:ascii="Times New Roman" w:eastAsia="Times New Roman" w:hAnsi="Times New Roman" w:cs="Times New Roman"/>
                <w:iCs/>
                <w:sz w:val="24"/>
                <w:szCs w:val="24"/>
              </w:rPr>
              <w:t>r</w:t>
            </w:r>
            <w:r w:rsidRPr="00DE4723">
              <w:rPr>
                <w:rFonts w:ascii="Times New Roman" w:eastAsia="Times New Roman" w:hAnsi="Times New Roman" w:cs="Times New Roman"/>
                <w:iCs/>
                <w:sz w:val="24"/>
                <w:szCs w:val="24"/>
              </w:rPr>
              <w:t xml:space="preserve">egula (ES) 2019/2033 par prudenciālajām prasībām ieguldījumu brokeru sabiedrībām un ar ko groza </w:t>
            </w:r>
            <w:r w:rsidR="003C6E18">
              <w:rPr>
                <w:rFonts w:ascii="Times New Roman" w:eastAsia="Times New Roman" w:hAnsi="Times New Roman" w:cs="Times New Roman"/>
                <w:iCs/>
                <w:sz w:val="24"/>
                <w:szCs w:val="24"/>
              </w:rPr>
              <w:t>r</w:t>
            </w:r>
            <w:r w:rsidRPr="00DE4723">
              <w:rPr>
                <w:rFonts w:ascii="Times New Roman" w:eastAsia="Times New Roman" w:hAnsi="Times New Roman" w:cs="Times New Roman"/>
                <w:iCs/>
                <w:sz w:val="24"/>
                <w:szCs w:val="24"/>
              </w:rPr>
              <w:t>egulas (ES) Nr. 1093/2010, (ES) Nr. 575/2013, (ES) Nr. 600/2014 un (ES) Nr. 806/2014.</w:t>
            </w:r>
          </w:p>
        </w:tc>
      </w:tr>
      <w:tr w:rsidR="006C3828" w:rsidRPr="00894D21" w14:paraId="40B6FA4E" w14:textId="77777777" w:rsidTr="004B6ED3">
        <w:trPr>
          <w:trHeight w:val="567"/>
        </w:trPr>
        <w:tc>
          <w:tcPr>
            <w:tcW w:w="987" w:type="pct"/>
            <w:shd w:val="clear" w:color="auto" w:fill="auto"/>
            <w:hideMark/>
          </w:tcPr>
          <w:p w14:paraId="62929148" w14:textId="0E10BE46"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tc>
        <w:tc>
          <w:tcPr>
            <w:tcW w:w="4013" w:type="pct"/>
            <w:shd w:val="clear" w:color="auto" w:fill="auto"/>
          </w:tcPr>
          <w:p w14:paraId="2BDC6261" w14:textId="3CCFC56B" w:rsidR="006C3828" w:rsidRPr="00DE4723" w:rsidRDefault="006C3828" w:rsidP="0037089C">
            <w:pPr>
              <w:spacing w:after="120" w:line="240" w:lineRule="auto"/>
              <w:jc w:val="both"/>
              <w:rPr>
                <w:rFonts w:ascii="Times New Roman" w:eastAsia="Times New Roman" w:hAnsi="Times New Roman" w:cs="Times New Roman"/>
                <w:sz w:val="24"/>
                <w:szCs w:val="24"/>
                <w:lang w:eastAsia="lv-LV"/>
              </w:rPr>
            </w:pPr>
            <w:r w:rsidRPr="00DE4723">
              <w:rPr>
                <w:rFonts w:ascii="Times New Roman" w:eastAsia="Times New Roman" w:hAnsi="Times New Roman" w:cs="Times New Roman"/>
                <w:sz w:val="24"/>
                <w:szCs w:val="24"/>
                <w:lang w:eastAsia="lv-LV"/>
              </w:rPr>
              <w:t xml:space="preserve">Noteikumu projektu nav nepieciešams saskaņot ar </w:t>
            </w:r>
            <w:r w:rsidR="000C0126" w:rsidRPr="00DE4723">
              <w:rPr>
                <w:rFonts w:ascii="Times New Roman" w:eastAsia="Times New Roman" w:hAnsi="Times New Roman" w:cs="Times New Roman"/>
                <w:sz w:val="24"/>
                <w:szCs w:val="24"/>
                <w:lang w:eastAsia="lv-LV"/>
              </w:rPr>
              <w:t>E</w:t>
            </w:r>
            <w:r w:rsidR="00894D21" w:rsidRPr="00DE4723">
              <w:rPr>
                <w:rFonts w:ascii="Times New Roman" w:eastAsia="Times New Roman" w:hAnsi="Times New Roman" w:cs="Times New Roman"/>
                <w:sz w:val="24"/>
                <w:szCs w:val="24"/>
                <w:lang w:eastAsia="lv-LV"/>
              </w:rPr>
              <w:t xml:space="preserve">iropas </w:t>
            </w:r>
            <w:r w:rsidR="000C0126" w:rsidRPr="00DE4723">
              <w:rPr>
                <w:rFonts w:ascii="Times New Roman" w:eastAsia="Times New Roman" w:hAnsi="Times New Roman" w:cs="Times New Roman"/>
                <w:sz w:val="24"/>
                <w:szCs w:val="24"/>
                <w:lang w:eastAsia="lv-LV"/>
              </w:rPr>
              <w:t>C</w:t>
            </w:r>
            <w:r w:rsidR="00894D21" w:rsidRPr="00DE4723">
              <w:rPr>
                <w:rFonts w:ascii="Times New Roman" w:eastAsia="Times New Roman" w:hAnsi="Times New Roman" w:cs="Times New Roman"/>
                <w:sz w:val="24"/>
                <w:szCs w:val="24"/>
                <w:lang w:eastAsia="lv-LV"/>
              </w:rPr>
              <w:t>entrālo banku</w:t>
            </w:r>
            <w:r w:rsidRPr="00DE4723">
              <w:rPr>
                <w:rFonts w:ascii="Times New Roman" w:eastAsia="Times New Roman" w:hAnsi="Times New Roman" w:cs="Times New Roman"/>
                <w:sz w:val="24"/>
                <w:szCs w:val="24"/>
                <w:lang w:eastAsia="lv-LV"/>
              </w:rPr>
              <w:t>.</w:t>
            </w:r>
          </w:p>
        </w:tc>
      </w:tr>
      <w:tr w:rsidR="006C3828" w:rsidRPr="00894D21" w14:paraId="496F44FB" w14:textId="77777777" w:rsidTr="004B6ED3">
        <w:trPr>
          <w:trHeight w:val="567"/>
        </w:trPr>
        <w:tc>
          <w:tcPr>
            <w:tcW w:w="987" w:type="pct"/>
            <w:shd w:val="clear" w:color="auto" w:fill="auto"/>
            <w:hideMark/>
          </w:tcPr>
          <w:p w14:paraId="0417B7A0" w14:textId="33603688"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tc>
        <w:tc>
          <w:tcPr>
            <w:tcW w:w="4013" w:type="pct"/>
            <w:shd w:val="clear" w:color="auto" w:fill="auto"/>
          </w:tcPr>
          <w:p w14:paraId="013739A9" w14:textId="34A9BAEA" w:rsidR="007D7DBA" w:rsidRPr="007D7DBA" w:rsidRDefault="007D7DBA" w:rsidP="007D7DBA">
            <w:pPr>
              <w:spacing w:after="120" w:line="240" w:lineRule="auto"/>
              <w:jc w:val="both"/>
              <w:rPr>
                <w:rFonts w:ascii="Times New Roman" w:eastAsia="Times New Roman" w:hAnsi="Times New Roman" w:cs="Times New Roman"/>
                <w:sz w:val="24"/>
                <w:szCs w:val="24"/>
                <w:lang w:eastAsia="lv-LV"/>
              </w:rPr>
            </w:pPr>
            <w:r w:rsidRPr="007D7DBA">
              <w:rPr>
                <w:rFonts w:ascii="Times New Roman" w:eastAsia="Times New Roman" w:hAnsi="Times New Roman" w:cs="Times New Roman"/>
                <w:sz w:val="24"/>
                <w:szCs w:val="24"/>
                <w:lang w:eastAsia="lv-LV"/>
              </w:rPr>
              <w:t xml:space="preserve">Noteikumu projekts 2024. gada 30. oktobrī tika publicēts Latvijas Bankas tīmekļvietnes </w:t>
            </w:r>
            <w:hyperlink r:id="rId11" w:history="1">
              <w:r w:rsidRPr="00840853">
                <w:rPr>
                  <w:rStyle w:val="Hyperlink"/>
                  <w:rFonts w:ascii="Times New Roman" w:eastAsia="Times New Roman" w:hAnsi="Times New Roman" w:cs="Times New Roman"/>
                  <w:sz w:val="24"/>
                  <w:szCs w:val="24"/>
                  <w:lang w:eastAsia="lv-LV"/>
                </w:rPr>
                <w:t>www.bank.lv</w:t>
              </w:r>
            </w:hyperlink>
            <w:r>
              <w:rPr>
                <w:rFonts w:ascii="Times New Roman" w:eastAsia="Times New Roman" w:hAnsi="Times New Roman" w:cs="Times New Roman"/>
                <w:sz w:val="24"/>
                <w:szCs w:val="24"/>
                <w:lang w:eastAsia="lv-LV"/>
              </w:rPr>
              <w:t xml:space="preserve"> </w:t>
            </w:r>
            <w:r w:rsidRPr="007D7DBA">
              <w:rPr>
                <w:rFonts w:ascii="Times New Roman" w:eastAsia="Times New Roman" w:hAnsi="Times New Roman" w:cs="Times New Roman"/>
                <w:sz w:val="24"/>
                <w:szCs w:val="24"/>
                <w:lang w:eastAsia="lv-LV"/>
              </w:rPr>
              <w:t xml:space="preserve">sadaļas "Tiesību akti" </w:t>
            </w:r>
            <w:proofErr w:type="spellStart"/>
            <w:r w:rsidRPr="007D7DBA">
              <w:rPr>
                <w:rFonts w:ascii="Times New Roman" w:eastAsia="Times New Roman" w:hAnsi="Times New Roman" w:cs="Times New Roman"/>
                <w:sz w:val="24"/>
                <w:szCs w:val="24"/>
                <w:lang w:eastAsia="lv-LV"/>
              </w:rPr>
              <w:t>apakšsadaļā</w:t>
            </w:r>
            <w:proofErr w:type="spellEnd"/>
            <w:r w:rsidRPr="007D7DBA">
              <w:rPr>
                <w:rFonts w:ascii="Times New Roman" w:eastAsia="Times New Roman" w:hAnsi="Times New Roman" w:cs="Times New Roman"/>
                <w:sz w:val="24"/>
                <w:szCs w:val="24"/>
                <w:lang w:eastAsia="lv-LV"/>
              </w:rPr>
              <w:t xml:space="preserve"> "Sabiedrības līdzdalība", aicinot iesniegt priekšlikumus līdz 2024. gada 13. novembrim.</w:t>
            </w:r>
          </w:p>
          <w:p w14:paraId="3EABB128" w14:textId="5C939B90" w:rsidR="007D7DBA" w:rsidRPr="007D7DBA" w:rsidRDefault="007D7DBA" w:rsidP="007D7DBA">
            <w:pPr>
              <w:spacing w:after="120" w:line="240" w:lineRule="auto"/>
              <w:jc w:val="both"/>
              <w:rPr>
                <w:rFonts w:ascii="Times New Roman" w:eastAsia="Times New Roman" w:hAnsi="Times New Roman" w:cs="Times New Roman"/>
                <w:sz w:val="24"/>
                <w:szCs w:val="24"/>
                <w:lang w:eastAsia="lv-LV"/>
              </w:rPr>
            </w:pPr>
            <w:r w:rsidRPr="007D7DBA">
              <w:rPr>
                <w:rFonts w:ascii="Times New Roman" w:eastAsia="Times New Roman" w:hAnsi="Times New Roman" w:cs="Times New Roman"/>
                <w:sz w:val="24"/>
                <w:szCs w:val="24"/>
                <w:lang w:eastAsia="lv-LV"/>
              </w:rPr>
              <w:lastRenderedPageBreak/>
              <w:t>Vienlaikus par noteikumu projektu un notiekošo sabiedrības līdzdalību individuāli tika informēta Latvijas Finanšu nozares asociācija</w:t>
            </w:r>
            <w:r>
              <w:rPr>
                <w:rFonts w:ascii="Times New Roman" w:eastAsia="Times New Roman" w:hAnsi="Times New Roman" w:cs="Times New Roman"/>
                <w:sz w:val="24"/>
                <w:szCs w:val="24"/>
                <w:lang w:eastAsia="lv-LV"/>
              </w:rPr>
              <w:t>,</w:t>
            </w:r>
            <w:r w:rsidRPr="007D7DBA">
              <w:rPr>
                <w:rFonts w:ascii="Times New Roman" w:eastAsia="Times New Roman" w:hAnsi="Times New Roman" w:cs="Times New Roman"/>
                <w:sz w:val="24"/>
                <w:szCs w:val="24"/>
                <w:lang w:eastAsia="lv-LV"/>
              </w:rPr>
              <w:t xml:space="preserve"> kā arī ārpus asociācijas esošie finanšu tirgus dalībnieki, kuriem būs saistoša noteikumu projektā ietverto prasību izpilde.</w:t>
            </w:r>
          </w:p>
          <w:p w14:paraId="2CCCD760" w14:textId="5BB81E2D" w:rsidR="00230BAF" w:rsidRPr="00894D21" w:rsidRDefault="007D7DBA" w:rsidP="007D7DBA">
            <w:pPr>
              <w:spacing w:after="120" w:line="240" w:lineRule="auto"/>
              <w:jc w:val="both"/>
              <w:rPr>
                <w:rFonts w:ascii="Times New Roman" w:eastAsia="Times New Roman" w:hAnsi="Times New Roman" w:cs="Times New Roman"/>
                <w:sz w:val="24"/>
                <w:szCs w:val="24"/>
                <w:lang w:eastAsia="lv-LV"/>
              </w:rPr>
            </w:pPr>
            <w:r w:rsidRPr="007D7DBA">
              <w:rPr>
                <w:rFonts w:ascii="Times New Roman" w:eastAsia="Times New Roman" w:hAnsi="Times New Roman" w:cs="Times New Roman"/>
                <w:sz w:val="24"/>
                <w:szCs w:val="24"/>
                <w:lang w:eastAsia="lv-LV"/>
              </w:rPr>
              <w:t>Pēc sabiedrības līdzdalībai noteiktā termiņa beigām noteikumu projekts tiks iesniegts izskatīšanai Latvijas Bankas  konsultatīvās finanšu tirgus padomes sēdē.</w:t>
            </w:r>
          </w:p>
        </w:tc>
      </w:tr>
      <w:tr w:rsidR="006C3828" w:rsidRPr="00894D21" w14:paraId="61D339D9" w14:textId="77777777" w:rsidTr="004B6ED3">
        <w:trPr>
          <w:trHeight w:val="567"/>
        </w:trPr>
        <w:tc>
          <w:tcPr>
            <w:tcW w:w="987" w:type="pct"/>
            <w:shd w:val="clear" w:color="auto" w:fill="auto"/>
            <w:hideMark/>
          </w:tcPr>
          <w:p w14:paraId="05C81DE5" w14:textId="0D18D49A" w:rsidR="006C3828" w:rsidRPr="00894D21" w:rsidRDefault="006C3828" w:rsidP="00A74D53">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Saskaņošanas rezultāti</w:t>
            </w:r>
          </w:p>
        </w:tc>
        <w:tc>
          <w:tcPr>
            <w:tcW w:w="4013" w:type="pct"/>
            <w:shd w:val="clear" w:color="auto" w:fill="auto"/>
          </w:tcPr>
          <w:p w14:paraId="692F977B" w14:textId="27A85EE4" w:rsidR="006C3828" w:rsidRPr="00894D21" w:rsidRDefault="007D7DBA" w:rsidP="0037089C">
            <w:pPr>
              <w:spacing w:after="120" w:line="240" w:lineRule="auto"/>
              <w:jc w:val="both"/>
              <w:rPr>
                <w:rFonts w:ascii="Times New Roman" w:eastAsia="Times New Roman" w:hAnsi="Times New Roman" w:cs="Times New Roman"/>
                <w:sz w:val="24"/>
                <w:szCs w:val="24"/>
                <w:lang w:eastAsia="lv-LV"/>
              </w:rPr>
            </w:pPr>
            <w:r w:rsidRPr="007D7DBA">
              <w:rPr>
                <w:rFonts w:ascii="Times New Roman" w:eastAsia="Times New Roman" w:hAnsi="Times New Roman" w:cs="Times New Roman"/>
                <w:sz w:val="24"/>
                <w:szCs w:val="24"/>
                <w:lang w:eastAsia="lv-LV"/>
              </w:rPr>
              <w:t>Sabiedrības līdzdalības rezultātā par noteikumu projektu netika saņemti iebildumi vai priekšlikumi.</w:t>
            </w:r>
          </w:p>
        </w:tc>
      </w:tr>
    </w:tbl>
    <w:p w14:paraId="086EF7E5" w14:textId="30381687" w:rsidR="00EB1AF1" w:rsidRDefault="00EB1AF1" w:rsidP="00D53AC5">
      <w:pPr>
        <w:spacing w:line="240" w:lineRule="auto"/>
      </w:pPr>
    </w:p>
    <w:p w14:paraId="49167F17" w14:textId="77777777" w:rsidR="00EB1AF1" w:rsidRDefault="00EB1AF1">
      <w:pPr>
        <w:sectPr w:rsidR="00EB1AF1">
          <w:headerReference w:type="default" r:id="rId12"/>
          <w:pgSz w:w="11906" w:h="16838" w:code="9"/>
          <w:pgMar w:top="1134" w:right="1134" w:bottom="1134" w:left="1701" w:header="708" w:footer="708" w:gutter="0"/>
          <w:cols w:space="708"/>
          <w:titlePg/>
          <w:docGrid w:linePitch="360"/>
        </w:sectPr>
      </w:pPr>
      <w:r>
        <w:br w:type="page"/>
      </w:r>
    </w:p>
    <w:p w14:paraId="0D0ED98F" w14:textId="77777777" w:rsidR="00EB1AF1" w:rsidRPr="00AB380A" w:rsidRDefault="00EB1AF1" w:rsidP="00EB1AF1">
      <w:pPr>
        <w:spacing w:after="0" w:line="240" w:lineRule="auto"/>
        <w:jc w:val="right"/>
        <w:rPr>
          <w:rFonts w:ascii="Times New Roman" w:hAnsi="Times New Roman" w:cs="Times New Roman"/>
          <w:sz w:val="24"/>
          <w:szCs w:val="24"/>
        </w:rPr>
      </w:pPr>
      <w:r w:rsidRPr="00AB380A">
        <w:rPr>
          <w:rFonts w:ascii="Times New Roman" w:hAnsi="Times New Roman" w:cs="Times New Roman"/>
          <w:sz w:val="24"/>
          <w:szCs w:val="24"/>
        </w:rPr>
        <w:lastRenderedPageBreak/>
        <w:t>Pielikums</w:t>
      </w:r>
    </w:p>
    <w:p w14:paraId="0DBCE9D7" w14:textId="77777777" w:rsidR="00EB1AF1" w:rsidRPr="00AB380A" w:rsidRDefault="00EB1AF1" w:rsidP="00EB1AF1">
      <w:pPr>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23639B00" w14:textId="77777777" w:rsidR="00EB1AF1" w:rsidRPr="00AB380A" w:rsidRDefault="00EB1AF1" w:rsidP="00EB1AF1">
      <w:pPr>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3F3E03D3" w14:textId="77777777" w:rsidR="00EB1AF1" w:rsidRPr="00AB380A" w:rsidRDefault="00EB1AF1" w:rsidP="00EB1AF1">
      <w:pPr>
        <w:spacing w:after="0"/>
        <w:rPr>
          <w:rFonts w:ascii="Times New Roman" w:hAnsi="Times New Roman" w:cs="Times New Roman"/>
          <w:b/>
          <w:sz w:val="24"/>
          <w:szCs w:val="24"/>
        </w:rPr>
      </w:pPr>
    </w:p>
    <w:p w14:paraId="492591AA" w14:textId="73EEA7F1" w:rsidR="00EB1AF1" w:rsidRPr="00AB380A" w:rsidRDefault="00EB1AF1" w:rsidP="00446BF4">
      <w:pPr>
        <w:jc w:val="both"/>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00DE4723" w:rsidRPr="00DE4723">
        <w:rPr>
          <w:rFonts w:ascii="Times New Roman" w:hAnsi="Times New Roman" w:cs="Times New Roman"/>
          <w:bCs/>
          <w:sz w:val="24"/>
          <w:szCs w:val="24"/>
        </w:rPr>
        <w:t>Kredītiestādei specifiskās pretcikliskās kapitāla rezerves normas aprēķināšanas noteikumi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xml:space="preserve">– </w:t>
      </w:r>
      <w:r>
        <w:rPr>
          <w:rFonts w:ascii="Times New Roman" w:hAnsi="Times New Roman" w:cs="Times New Roman"/>
          <w:bCs/>
          <w:sz w:val="24"/>
          <w:szCs w:val="24"/>
        </w:rPr>
        <w:t xml:space="preserve">Noteikumu </w:t>
      </w:r>
      <w:r w:rsidRPr="00AB380A">
        <w:rPr>
          <w:rFonts w:ascii="Times New Roman" w:hAnsi="Times New Roman" w:cs="Times New Roman"/>
          <w:bCs/>
          <w:sz w:val="24"/>
          <w:szCs w:val="24"/>
        </w:rPr>
        <w:t>projekts)</w:t>
      </w:r>
    </w:p>
    <w:p w14:paraId="415202B2" w14:textId="33E84D85" w:rsidR="00EB1AF1" w:rsidRPr="00B55597" w:rsidRDefault="00EB1AF1" w:rsidP="00446BF4">
      <w:pPr>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Pr="00EB1AF1">
        <w:rPr>
          <w:rFonts w:ascii="Times New Roman" w:hAnsi="Times New Roman" w:cs="Times New Roman"/>
          <w:bCs/>
          <w:sz w:val="24"/>
          <w:szCs w:val="24"/>
        </w:rPr>
        <w:t>Eiropas Parlamenta un Padomes 2013.</w:t>
      </w:r>
      <w:r w:rsidR="00001188">
        <w:rPr>
          <w:rFonts w:ascii="Times New Roman" w:hAnsi="Times New Roman" w:cs="Times New Roman"/>
          <w:bCs/>
          <w:sz w:val="24"/>
          <w:szCs w:val="24"/>
        </w:rPr>
        <w:t> </w:t>
      </w:r>
      <w:r w:rsidRPr="00EB1AF1">
        <w:rPr>
          <w:rFonts w:ascii="Times New Roman" w:hAnsi="Times New Roman" w:cs="Times New Roman"/>
          <w:bCs/>
          <w:sz w:val="24"/>
          <w:szCs w:val="24"/>
        </w:rPr>
        <w:t>gada 26.</w:t>
      </w:r>
      <w:r w:rsidR="00001188">
        <w:rPr>
          <w:rFonts w:ascii="Times New Roman" w:hAnsi="Times New Roman" w:cs="Times New Roman"/>
          <w:bCs/>
          <w:sz w:val="24"/>
          <w:szCs w:val="24"/>
        </w:rPr>
        <w:t> </w:t>
      </w:r>
      <w:r w:rsidRPr="00EB1AF1">
        <w:rPr>
          <w:rFonts w:ascii="Times New Roman" w:hAnsi="Times New Roman" w:cs="Times New Roman"/>
          <w:bCs/>
          <w:sz w:val="24"/>
          <w:szCs w:val="24"/>
        </w:rPr>
        <w:t xml:space="preserve">jūnija </w:t>
      </w:r>
      <w:r w:rsidR="00001188">
        <w:rPr>
          <w:rFonts w:ascii="Times New Roman" w:hAnsi="Times New Roman" w:cs="Times New Roman"/>
          <w:bCs/>
          <w:sz w:val="24"/>
          <w:szCs w:val="24"/>
        </w:rPr>
        <w:t>d</w:t>
      </w:r>
      <w:r w:rsidRPr="00EB1AF1">
        <w:rPr>
          <w:rFonts w:ascii="Times New Roman" w:hAnsi="Times New Roman" w:cs="Times New Roman"/>
          <w:bCs/>
          <w:sz w:val="24"/>
          <w:szCs w:val="24"/>
        </w:rPr>
        <w:t xml:space="preserve">irektīva 2013/36/ES par piekļuvi kredītiestāžu darbībai un kredītiestāžu prudenciālo uzraudzību, ar ko groza </w:t>
      </w:r>
      <w:r w:rsidR="00001188">
        <w:rPr>
          <w:rFonts w:ascii="Times New Roman" w:hAnsi="Times New Roman" w:cs="Times New Roman"/>
          <w:bCs/>
          <w:sz w:val="24"/>
          <w:szCs w:val="24"/>
        </w:rPr>
        <w:t>d</w:t>
      </w:r>
      <w:r w:rsidRPr="00EB1AF1">
        <w:rPr>
          <w:rFonts w:ascii="Times New Roman" w:hAnsi="Times New Roman" w:cs="Times New Roman"/>
          <w:bCs/>
          <w:sz w:val="24"/>
          <w:szCs w:val="24"/>
        </w:rPr>
        <w:t xml:space="preserve">irektīvu 2002/87/EK un atceļ </w:t>
      </w:r>
      <w:r w:rsidR="00001188">
        <w:rPr>
          <w:rFonts w:ascii="Times New Roman" w:hAnsi="Times New Roman" w:cs="Times New Roman"/>
          <w:bCs/>
          <w:sz w:val="24"/>
          <w:szCs w:val="24"/>
        </w:rPr>
        <w:t>d</w:t>
      </w:r>
      <w:r w:rsidRPr="00EB1AF1">
        <w:rPr>
          <w:rFonts w:ascii="Times New Roman" w:hAnsi="Times New Roman" w:cs="Times New Roman"/>
          <w:bCs/>
          <w:sz w:val="24"/>
          <w:szCs w:val="24"/>
        </w:rPr>
        <w:t xml:space="preserve">irektīvas 2006/48/EK un 2006/49/EK </w:t>
      </w:r>
      <w:r>
        <w:rPr>
          <w:rFonts w:ascii="Times New Roman" w:hAnsi="Times New Roman" w:cs="Times New Roman"/>
          <w:bCs/>
          <w:sz w:val="24"/>
          <w:szCs w:val="24"/>
        </w:rPr>
        <w:t xml:space="preserve">(turpmāk – </w:t>
      </w:r>
      <w:r w:rsidRPr="00C138A9">
        <w:rPr>
          <w:rFonts w:ascii="Times New Roman" w:hAnsi="Times New Roman" w:cs="Times New Roman"/>
          <w:bCs/>
          <w:sz w:val="24"/>
          <w:szCs w:val="24"/>
        </w:rPr>
        <w:t>Direktīva 2013/36/ES</w:t>
      </w:r>
      <w:r>
        <w:rPr>
          <w:rFonts w:ascii="Times New Roman" w:hAnsi="Times New Roman" w:cs="Times New Roman"/>
          <w:bCs/>
          <w:sz w:val="24"/>
          <w:szCs w:val="24"/>
        </w:rPr>
        <w:t>)</w:t>
      </w:r>
    </w:p>
    <w:tbl>
      <w:tblPr>
        <w:tblStyle w:val="TableGrid"/>
        <w:tblW w:w="14771" w:type="dxa"/>
        <w:tblLook w:val="04A0" w:firstRow="1" w:lastRow="0" w:firstColumn="1" w:lastColumn="0" w:noHBand="0" w:noVBand="1"/>
      </w:tblPr>
      <w:tblGrid>
        <w:gridCol w:w="2868"/>
        <w:gridCol w:w="3246"/>
        <w:gridCol w:w="2150"/>
        <w:gridCol w:w="2247"/>
        <w:gridCol w:w="2072"/>
        <w:gridCol w:w="2188"/>
      </w:tblGrid>
      <w:tr w:rsidR="00EB1AF1" w:rsidRPr="00AB380A" w14:paraId="59DE2DD1" w14:textId="77777777" w:rsidTr="00C31137">
        <w:tc>
          <w:tcPr>
            <w:tcW w:w="2868" w:type="dxa"/>
          </w:tcPr>
          <w:p w14:paraId="023E3BA3" w14:textId="77777777" w:rsidR="00EB1AF1" w:rsidRPr="00503F80" w:rsidRDefault="00EB1AF1" w:rsidP="003E2F4C">
            <w:pP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3246" w:type="dxa"/>
          </w:tcPr>
          <w:p w14:paraId="28828EF1" w14:textId="77777777" w:rsidR="00EB1AF1" w:rsidRPr="00503F80" w:rsidRDefault="00EB1AF1" w:rsidP="003E2F4C">
            <w:pP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 xml:space="preserve">rojekta punkts vai apakšpunkts, kas izpilda A ailē minēto prasību </w:t>
            </w:r>
          </w:p>
          <w:p w14:paraId="33B28C45" w14:textId="77777777" w:rsidR="00EB1AF1" w:rsidRPr="00503F80" w:rsidRDefault="00EB1AF1" w:rsidP="003E2F4C">
            <w:pP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2150" w:type="dxa"/>
          </w:tcPr>
          <w:p w14:paraId="63BBFFF1" w14:textId="77777777" w:rsidR="00EB1AF1" w:rsidRPr="00503F80" w:rsidRDefault="00EB1AF1" w:rsidP="003E2F4C">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punktu vai apakšpunktu tiek izpildīta pilnībā vai daļēji? </w:t>
            </w:r>
          </w:p>
          <w:p w14:paraId="3E56A854" w14:textId="77777777" w:rsidR="00EB1AF1" w:rsidRPr="00503F80" w:rsidRDefault="00EB1AF1" w:rsidP="003E2F4C">
            <w:pPr>
              <w:rPr>
                <w:rFonts w:ascii="Times New Roman" w:hAnsi="Times New Roman" w:cs="Times New Roman"/>
                <w:b/>
                <w:bCs/>
                <w:sz w:val="24"/>
                <w:szCs w:val="24"/>
              </w:rPr>
            </w:pPr>
            <w:r w:rsidRPr="00503F80">
              <w:rPr>
                <w:rFonts w:ascii="Times New Roman" w:hAnsi="Times New Roman" w:cs="Times New Roman"/>
                <w:i/>
                <w:iCs/>
                <w:sz w:val="24"/>
                <w:szCs w:val="24"/>
              </w:rPr>
              <w:t>(Ja daļēji, norāda, kur un kā ir vai tiks nodrošināta prasības pilnīga izpilde)</w:t>
            </w:r>
          </w:p>
        </w:tc>
        <w:tc>
          <w:tcPr>
            <w:tcW w:w="2247" w:type="dxa"/>
          </w:tcPr>
          <w:p w14:paraId="1D8467F3" w14:textId="77777777" w:rsidR="00EB1AF1" w:rsidRPr="00503F80" w:rsidRDefault="00EB1AF1" w:rsidP="003E2F4C">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B ailē norādītais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punkts vai apakšpunkts paredz stingrākas prasības, nekā A ailē minētā prasība </w:t>
            </w:r>
          </w:p>
          <w:p w14:paraId="7B94890D" w14:textId="77777777" w:rsidR="00EB1AF1" w:rsidRPr="00503F80" w:rsidRDefault="00EB1AF1" w:rsidP="003E2F4C">
            <w:pPr>
              <w:rPr>
                <w:rFonts w:ascii="Times New Roman" w:hAnsi="Times New Roman" w:cs="Times New Roman"/>
                <w:b/>
                <w:bCs/>
                <w:sz w:val="24"/>
                <w:szCs w:val="24"/>
              </w:rPr>
            </w:pPr>
            <w:r w:rsidRPr="00503F80">
              <w:rPr>
                <w:rFonts w:ascii="Times New Roman" w:hAnsi="Times New Roman" w:cs="Times New Roman"/>
                <w:i/>
                <w:iCs/>
                <w:sz w:val="24"/>
                <w:szCs w:val="24"/>
              </w:rPr>
              <w:t>(Ja paredz stingrākas prasības, norāda pamatojumu šādu stingrāku prasību nepieciešamībai)</w:t>
            </w:r>
          </w:p>
        </w:tc>
        <w:tc>
          <w:tcPr>
            <w:tcW w:w="2072" w:type="dxa"/>
          </w:tcPr>
          <w:p w14:paraId="0C5AA545" w14:textId="77777777" w:rsidR="00EB1AF1" w:rsidRPr="00503F80" w:rsidRDefault="00EB1AF1" w:rsidP="003E2F4C">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ir jāizpilda obligāti? </w:t>
            </w:r>
          </w:p>
          <w:p w14:paraId="0C831120" w14:textId="77777777" w:rsidR="00EB1AF1" w:rsidRPr="00503F80" w:rsidRDefault="00EB1AF1" w:rsidP="003E2F4C">
            <w:pPr>
              <w:rPr>
                <w:rFonts w:ascii="Times New Roman" w:hAnsi="Times New Roman" w:cs="Times New Roman"/>
                <w:i/>
                <w:iCs/>
                <w:sz w:val="24"/>
                <w:szCs w:val="24"/>
              </w:rPr>
            </w:pPr>
            <w:r w:rsidRPr="00503F80">
              <w:rPr>
                <w:rFonts w:ascii="Times New Roman" w:hAnsi="Times New Roman" w:cs="Times New Roman"/>
                <w:i/>
                <w:iCs/>
                <w:sz w:val="24"/>
                <w:szCs w:val="24"/>
              </w:rPr>
              <w:t>(Ja Eiropas Savienības tiesību akts paredz izvēles iespēju, norāda, vai un kādēļ šī rīcības brīvība Latvijā ir vai nav jāizmanto)</w:t>
            </w:r>
          </w:p>
          <w:p w14:paraId="1B34AFED" w14:textId="77777777" w:rsidR="00EB1AF1" w:rsidRPr="00503F80" w:rsidRDefault="00EB1AF1" w:rsidP="003E2F4C">
            <w:pPr>
              <w:rPr>
                <w:rFonts w:ascii="Times New Roman" w:hAnsi="Times New Roman" w:cs="Times New Roman"/>
                <w:b/>
                <w:bCs/>
                <w:sz w:val="24"/>
                <w:szCs w:val="24"/>
              </w:rPr>
            </w:pPr>
          </w:p>
          <w:p w14:paraId="4F4DCC85" w14:textId="77777777" w:rsidR="00EB1AF1" w:rsidRPr="00503F80" w:rsidRDefault="00EB1AF1" w:rsidP="003E2F4C">
            <w:pPr>
              <w:rPr>
                <w:rFonts w:ascii="Times New Roman" w:hAnsi="Times New Roman" w:cs="Times New Roman"/>
                <w:b/>
                <w:bCs/>
                <w:sz w:val="24"/>
                <w:szCs w:val="24"/>
              </w:rPr>
            </w:pPr>
          </w:p>
        </w:tc>
        <w:tc>
          <w:tcPr>
            <w:tcW w:w="2188" w:type="dxa"/>
          </w:tcPr>
          <w:p w14:paraId="76ABF7B5" w14:textId="77777777" w:rsidR="00EB1AF1" w:rsidRPr="00503F80" w:rsidRDefault="00EB1AF1" w:rsidP="003E2F4C">
            <w:pPr>
              <w:rPr>
                <w:rStyle w:val="cf01"/>
                <w:rFonts w:ascii="Times New Roman" w:hAnsi="Times New Roman" w:cs="Times New Roman"/>
                <w:b/>
                <w:bCs/>
                <w:color w:val="auto"/>
                <w:sz w:val="24"/>
                <w:szCs w:val="24"/>
              </w:rPr>
            </w:pPr>
            <w:r w:rsidRPr="00503F80">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3E4AE273" w14:textId="77777777" w:rsidR="00EB1AF1" w:rsidRPr="00503F80" w:rsidRDefault="00EB1AF1" w:rsidP="003E2F4C">
            <w:pPr>
              <w:rPr>
                <w:rFonts w:ascii="Times New Roman" w:hAnsi="Times New Roman" w:cs="Times New Roman"/>
                <w:b/>
                <w:bCs/>
                <w:sz w:val="24"/>
                <w:szCs w:val="24"/>
              </w:rPr>
            </w:pPr>
            <w:r w:rsidRPr="00503F80">
              <w:rPr>
                <w:rStyle w:val="cf01"/>
                <w:rFonts w:ascii="Times New Roman" w:hAnsi="Times New Roman" w:cs="Times New Roman"/>
                <w:i/>
                <w:iCs/>
                <w:color w:val="auto"/>
                <w:sz w:val="24"/>
                <w:szCs w:val="24"/>
              </w:rPr>
              <w:t>(Ja paredz, norāda, kas un kādā termiņā šo paziņošanas pienākumu izpildīs)</w:t>
            </w:r>
          </w:p>
        </w:tc>
      </w:tr>
      <w:tr w:rsidR="00EB1AF1" w:rsidRPr="00AB380A" w14:paraId="5D63A149" w14:textId="77777777" w:rsidTr="00C31137">
        <w:tc>
          <w:tcPr>
            <w:tcW w:w="2868" w:type="dxa"/>
          </w:tcPr>
          <w:p w14:paraId="3B90952D"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3246" w:type="dxa"/>
          </w:tcPr>
          <w:p w14:paraId="34B7A88E"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150" w:type="dxa"/>
          </w:tcPr>
          <w:p w14:paraId="04CA14D3"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247" w:type="dxa"/>
          </w:tcPr>
          <w:p w14:paraId="578D8FD5"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072" w:type="dxa"/>
          </w:tcPr>
          <w:p w14:paraId="6CD3CC85"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188" w:type="dxa"/>
          </w:tcPr>
          <w:p w14:paraId="145A0AF9" w14:textId="77777777" w:rsidR="00EB1AF1" w:rsidRPr="00503F80" w:rsidRDefault="00EB1AF1" w:rsidP="003E2F4C">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402381" w:rsidRPr="00001188" w14:paraId="5BA7B81E" w14:textId="77777777" w:rsidTr="00C31137">
        <w:tc>
          <w:tcPr>
            <w:tcW w:w="2868" w:type="dxa"/>
          </w:tcPr>
          <w:p w14:paraId="06B23999" w14:textId="7B130C99" w:rsidR="00402381" w:rsidRPr="00020DFD" w:rsidRDefault="00402381" w:rsidP="006E1FF9">
            <w:pPr>
              <w:rPr>
                <w:rFonts w:ascii="Times New Roman" w:hAnsi="Times New Roman" w:cs="Times New Roman"/>
              </w:rPr>
            </w:pPr>
            <w:r w:rsidRPr="00D63CCA">
              <w:rPr>
                <w:rFonts w:ascii="Times New Roman" w:hAnsi="Times New Roman" w:cs="Times New Roman"/>
                <w:bCs/>
              </w:rPr>
              <w:t>Direktīvas 2013/36/ES</w:t>
            </w:r>
            <w:r w:rsidRPr="00020DFD">
              <w:rPr>
                <w:rFonts w:ascii="Times New Roman" w:hAnsi="Times New Roman" w:cs="Times New Roman"/>
              </w:rPr>
              <w:t xml:space="preserve"> </w:t>
            </w:r>
            <w:r w:rsidR="00AB2A82">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BC42FA">
              <w:rPr>
                <w:rFonts w:ascii="Times New Roman" w:hAnsi="Times New Roman" w:cs="Times New Roman"/>
              </w:rPr>
              <w:t xml:space="preserve">panta </w:t>
            </w:r>
            <w:r w:rsidR="004E4E86" w:rsidRPr="00BC42FA">
              <w:rPr>
                <w:rFonts w:ascii="Times New Roman" w:hAnsi="Times New Roman" w:cs="Times New Roman"/>
              </w:rPr>
              <w:t>1</w:t>
            </w:r>
            <w:r w:rsidRPr="00BC42FA">
              <w:rPr>
                <w:rFonts w:ascii="Times New Roman" w:hAnsi="Times New Roman" w:cs="Times New Roman"/>
              </w:rPr>
              <w:t>. punkt</w:t>
            </w:r>
            <w:r w:rsidR="00AB2A82" w:rsidRPr="00BC42FA">
              <w:rPr>
                <w:rFonts w:ascii="Times New Roman" w:hAnsi="Times New Roman" w:cs="Times New Roman"/>
              </w:rPr>
              <w:t>s</w:t>
            </w:r>
          </w:p>
        </w:tc>
        <w:tc>
          <w:tcPr>
            <w:tcW w:w="3246" w:type="dxa"/>
          </w:tcPr>
          <w:p w14:paraId="7E5852D5" w14:textId="56950BB8" w:rsidR="00402381" w:rsidRPr="00020DFD" w:rsidRDefault="00402381" w:rsidP="006E1FF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A15A9A">
              <w:rPr>
                <w:rFonts w:ascii="Times New Roman" w:hAnsi="Times New Roman" w:cs="Times New Roman"/>
              </w:rPr>
              <w:t>9</w:t>
            </w:r>
            <w:r w:rsidR="00BC3ACA">
              <w:rPr>
                <w:rFonts w:ascii="Times New Roman" w:hAnsi="Times New Roman" w:cs="Times New Roman"/>
              </w:rPr>
              <w:t>.</w:t>
            </w:r>
            <w:r w:rsidR="00FB0F8F">
              <w:rPr>
                <w:rFonts w:ascii="Times New Roman" w:hAnsi="Times New Roman" w:cs="Times New Roman"/>
              </w:rPr>
              <w:t> </w:t>
            </w:r>
            <w:r w:rsidR="00BC3ACA">
              <w:rPr>
                <w:rFonts w:ascii="Times New Roman" w:hAnsi="Times New Roman" w:cs="Times New Roman"/>
              </w:rPr>
              <w:t>punkts</w:t>
            </w:r>
          </w:p>
        </w:tc>
        <w:tc>
          <w:tcPr>
            <w:tcW w:w="2150" w:type="dxa"/>
          </w:tcPr>
          <w:p w14:paraId="1D6EB4AF" w14:textId="47C538F8" w:rsidR="00402381" w:rsidRPr="00020DFD" w:rsidRDefault="00402381" w:rsidP="006E1FF9">
            <w:pPr>
              <w:rPr>
                <w:rFonts w:ascii="Times New Roman" w:hAnsi="Times New Roman" w:cs="Times New Roman"/>
              </w:rPr>
            </w:pPr>
            <w:r w:rsidRPr="00020DFD">
              <w:rPr>
                <w:rFonts w:ascii="Times New Roman" w:hAnsi="Times New Roman" w:cs="Times New Roman"/>
              </w:rPr>
              <w:t xml:space="preserve">Izpilda </w:t>
            </w:r>
            <w:r w:rsidRPr="00BC42FA">
              <w:rPr>
                <w:rFonts w:ascii="Times New Roman" w:hAnsi="Times New Roman" w:cs="Times New Roman"/>
              </w:rPr>
              <w:t>pilnībā</w:t>
            </w:r>
          </w:p>
        </w:tc>
        <w:tc>
          <w:tcPr>
            <w:tcW w:w="2247" w:type="dxa"/>
          </w:tcPr>
          <w:p w14:paraId="3B16686E" w14:textId="7427563C" w:rsidR="00402381" w:rsidRPr="00020DFD" w:rsidRDefault="00402381" w:rsidP="006E1FF9">
            <w:pPr>
              <w:rPr>
                <w:rFonts w:ascii="Times New Roman" w:hAnsi="Times New Roman" w:cs="Times New Roman"/>
              </w:rPr>
            </w:pPr>
            <w:r w:rsidRPr="00020DFD">
              <w:rPr>
                <w:rFonts w:ascii="Times New Roman" w:hAnsi="Times New Roman" w:cs="Times New Roman"/>
              </w:rPr>
              <w:t>Nē</w:t>
            </w:r>
          </w:p>
        </w:tc>
        <w:tc>
          <w:tcPr>
            <w:tcW w:w="2072" w:type="dxa"/>
          </w:tcPr>
          <w:p w14:paraId="65B1090B" w14:textId="24243B54" w:rsidR="00402381" w:rsidRPr="00020DFD" w:rsidRDefault="00402381" w:rsidP="006E1FF9">
            <w:pPr>
              <w:rPr>
                <w:rFonts w:ascii="Times New Roman" w:hAnsi="Times New Roman" w:cs="Times New Roman"/>
              </w:rPr>
            </w:pPr>
            <w:r w:rsidRPr="00020DFD">
              <w:rPr>
                <w:rFonts w:ascii="Times New Roman" w:hAnsi="Times New Roman" w:cs="Times New Roman"/>
              </w:rPr>
              <w:t>Jā</w:t>
            </w:r>
          </w:p>
        </w:tc>
        <w:tc>
          <w:tcPr>
            <w:tcW w:w="2188" w:type="dxa"/>
            <w:vMerge w:val="restart"/>
          </w:tcPr>
          <w:p w14:paraId="67A964CD" w14:textId="77777777" w:rsidR="00402381" w:rsidRPr="005C6BEA" w:rsidRDefault="00402381" w:rsidP="00402381">
            <w:pPr>
              <w:rPr>
                <w:rFonts w:ascii="Times New Roman" w:hAnsi="Times New Roman" w:cs="Times New Roman"/>
              </w:rPr>
            </w:pPr>
            <w:r w:rsidRPr="005C6BEA">
              <w:rPr>
                <w:rFonts w:ascii="Times New Roman" w:hAnsi="Times New Roman" w:cs="Times New Roman"/>
              </w:rPr>
              <w:t xml:space="preserve">Direktīvas </w:t>
            </w:r>
            <w:r w:rsidRPr="005C6BEA">
              <w:rPr>
                <w:rFonts w:ascii="Times New Roman" w:hAnsi="Times New Roman" w:cs="Times New Roman"/>
                <w:bCs/>
              </w:rPr>
              <w:t>2013/36/ES</w:t>
            </w:r>
            <w:r w:rsidRPr="005C6BEA">
              <w:rPr>
                <w:rFonts w:ascii="Times New Roman" w:hAnsi="Times New Roman" w:cs="Times New Roman"/>
              </w:rPr>
              <w:t xml:space="preserve"> 162. panta 1. punkta trešā daļa paredz, ka dalībvalstis paziņo </w:t>
            </w:r>
            <w:r w:rsidRPr="005C6BEA">
              <w:rPr>
                <w:rFonts w:ascii="Times New Roman" w:hAnsi="Times New Roman" w:cs="Times New Roman"/>
              </w:rPr>
              <w:lastRenderedPageBreak/>
              <w:t xml:space="preserve">Eiropas Komisijai un Eiropas Banku iestādei par šīs direktīvas prasību pārņemšanu. </w:t>
            </w:r>
          </w:p>
          <w:p w14:paraId="2956CE0F" w14:textId="0B5A7C41" w:rsidR="00BC3ACA" w:rsidRPr="005C6BEA" w:rsidRDefault="00402381" w:rsidP="00BC3ACA">
            <w:pPr>
              <w:rPr>
                <w:rFonts w:ascii="Times New Roman" w:hAnsi="Times New Roman" w:cs="Times New Roman"/>
                <w:color w:val="FF0000"/>
              </w:rPr>
            </w:pPr>
            <w:r w:rsidRPr="005C6BEA">
              <w:rPr>
                <w:rFonts w:ascii="Times New Roman" w:hAnsi="Times New Roman" w:cs="Times New Roman"/>
              </w:rPr>
              <w:t>Pēc Noteikumu projekta apstiprināšanas Latvijas Bankas padomē minēto paziņošanas pienākumu attiecībā uz Eiropas Komisiju izpildīs Finanšu ministrija, savukārt paziņošanu Eiropas Banku iestādei veiks Latvijas Banka.</w:t>
            </w:r>
          </w:p>
          <w:p w14:paraId="53B4D6F8" w14:textId="6FEF4F4D" w:rsidR="00BC3ACA" w:rsidRPr="005C6BEA" w:rsidRDefault="00BC3ACA" w:rsidP="00BC3ACA">
            <w:pPr>
              <w:jc w:val="right"/>
              <w:rPr>
                <w:rFonts w:ascii="Times New Roman" w:hAnsi="Times New Roman" w:cs="Times New Roman"/>
              </w:rPr>
            </w:pPr>
          </w:p>
        </w:tc>
      </w:tr>
      <w:tr w:rsidR="002C2F57" w:rsidRPr="00001188" w14:paraId="15BD262B" w14:textId="77777777" w:rsidTr="00C31137">
        <w:tc>
          <w:tcPr>
            <w:tcW w:w="2868" w:type="dxa"/>
          </w:tcPr>
          <w:p w14:paraId="3623257C" w14:textId="0E0D6793" w:rsidR="002C2F57" w:rsidRPr="00D63CCA"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2</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a a) apakšpunkts</w:t>
            </w:r>
          </w:p>
        </w:tc>
        <w:tc>
          <w:tcPr>
            <w:tcW w:w="3246" w:type="dxa"/>
          </w:tcPr>
          <w:p w14:paraId="7D61D697" w14:textId="3F980C58"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602888">
              <w:rPr>
                <w:rFonts w:ascii="Times New Roman" w:hAnsi="Times New Roman" w:cs="Times New Roman"/>
              </w:rPr>
              <w:t>5</w:t>
            </w:r>
            <w:r w:rsidRPr="00020DFD">
              <w:rPr>
                <w:rFonts w:ascii="Times New Roman" w:hAnsi="Times New Roman" w:cs="Times New Roman"/>
              </w:rPr>
              <w:t>.</w:t>
            </w:r>
            <w:r>
              <w:rPr>
                <w:rFonts w:ascii="Times New Roman" w:hAnsi="Times New Roman" w:cs="Times New Roman"/>
              </w:rPr>
              <w:t>1.</w:t>
            </w:r>
            <w:r w:rsidR="00E54B8C">
              <w:rPr>
                <w:rFonts w:ascii="Times New Roman" w:hAnsi="Times New Roman" w:cs="Times New Roman"/>
              </w:rPr>
              <w:t xml:space="preserve">, </w:t>
            </w:r>
            <w:r w:rsidR="00602888">
              <w:rPr>
                <w:rFonts w:ascii="Times New Roman" w:hAnsi="Times New Roman" w:cs="Times New Roman"/>
              </w:rPr>
              <w:t>6</w:t>
            </w:r>
            <w:r w:rsidR="00E54B8C">
              <w:rPr>
                <w:rFonts w:ascii="Times New Roman" w:hAnsi="Times New Roman" w:cs="Times New Roman"/>
              </w:rPr>
              <w:t xml:space="preserve">.1. un </w:t>
            </w:r>
            <w:r w:rsidR="00602888">
              <w:rPr>
                <w:rFonts w:ascii="Times New Roman" w:hAnsi="Times New Roman" w:cs="Times New Roman"/>
              </w:rPr>
              <w:t>7</w:t>
            </w:r>
            <w:r w:rsidR="00E54B8C">
              <w:rPr>
                <w:rFonts w:ascii="Times New Roman" w:hAnsi="Times New Roman" w:cs="Times New Roman"/>
              </w:rPr>
              <w:t>.1.</w:t>
            </w:r>
            <w:r w:rsidRPr="00020DFD">
              <w:rPr>
                <w:rFonts w:ascii="Times New Roman" w:hAnsi="Times New Roman" w:cs="Times New Roman"/>
              </w:rPr>
              <w:t> </w:t>
            </w:r>
            <w:r>
              <w:rPr>
                <w:rFonts w:ascii="Times New Roman" w:hAnsi="Times New Roman" w:cs="Times New Roman"/>
              </w:rPr>
              <w:t>apakš</w:t>
            </w:r>
            <w:r w:rsidRPr="00020DFD">
              <w:rPr>
                <w:rFonts w:ascii="Times New Roman" w:hAnsi="Times New Roman" w:cs="Times New Roman"/>
              </w:rPr>
              <w:t>punkt</w:t>
            </w:r>
            <w:r>
              <w:rPr>
                <w:rFonts w:ascii="Times New Roman" w:hAnsi="Times New Roman" w:cs="Times New Roman"/>
              </w:rPr>
              <w:t>s</w:t>
            </w:r>
          </w:p>
        </w:tc>
        <w:tc>
          <w:tcPr>
            <w:tcW w:w="2150" w:type="dxa"/>
          </w:tcPr>
          <w:p w14:paraId="2D72692D" w14:textId="65D37094"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1939A2D1" w14:textId="7B92D739"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5327D9A2" w14:textId="4B579068"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3AD4EE0C" w14:textId="77777777" w:rsidR="002C2F57" w:rsidRPr="00AB2A82" w:rsidRDefault="002C2F57" w:rsidP="002C2F57">
            <w:pPr>
              <w:rPr>
                <w:rFonts w:ascii="Times New Roman" w:hAnsi="Times New Roman" w:cs="Times New Roman"/>
                <w:highlight w:val="yellow"/>
              </w:rPr>
            </w:pPr>
          </w:p>
        </w:tc>
      </w:tr>
      <w:tr w:rsidR="002C2F57" w:rsidRPr="00001188" w14:paraId="0727D20C" w14:textId="77777777" w:rsidTr="00C31137">
        <w:tc>
          <w:tcPr>
            <w:tcW w:w="2868" w:type="dxa"/>
          </w:tcPr>
          <w:p w14:paraId="3FB1EA44" w14:textId="300CFB19" w:rsidR="002C2F57" w:rsidRPr="00D63CCA" w:rsidRDefault="002C2F57" w:rsidP="002C2F57">
            <w:pPr>
              <w:rPr>
                <w:rFonts w:ascii="Times New Roman" w:hAnsi="Times New Roman" w:cs="Times New Roman"/>
                <w:bCs/>
              </w:rPr>
            </w:pPr>
            <w:r w:rsidRPr="00D63CCA">
              <w:rPr>
                <w:rFonts w:ascii="Times New Roman" w:hAnsi="Times New Roman" w:cs="Times New Roman"/>
                <w:bCs/>
              </w:rPr>
              <w:lastRenderedPageBreak/>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2</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a b) apakšpunkts</w:t>
            </w:r>
          </w:p>
        </w:tc>
        <w:tc>
          <w:tcPr>
            <w:tcW w:w="3246" w:type="dxa"/>
          </w:tcPr>
          <w:p w14:paraId="6B8511E6" w14:textId="3DDC657B"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602888">
              <w:rPr>
                <w:rFonts w:ascii="Times New Roman" w:hAnsi="Times New Roman" w:cs="Times New Roman"/>
              </w:rPr>
              <w:t>5</w:t>
            </w:r>
            <w:r w:rsidRPr="00020DFD">
              <w:rPr>
                <w:rFonts w:ascii="Times New Roman" w:hAnsi="Times New Roman" w:cs="Times New Roman"/>
              </w:rPr>
              <w:t>.</w:t>
            </w:r>
            <w:r>
              <w:rPr>
                <w:rFonts w:ascii="Times New Roman" w:hAnsi="Times New Roman" w:cs="Times New Roman"/>
              </w:rPr>
              <w:t>2.2.</w:t>
            </w:r>
            <w:r w:rsidR="00E54B8C">
              <w:rPr>
                <w:rFonts w:ascii="Times New Roman" w:hAnsi="Times New Roman" w:cs="Times New Roman"/>
              </w:rPr>
              <w:t xml:space="preserve">, </w:t>
            </w:r>
            <w:r w:rsidR="00602888">
              <w:rPr>
                <w:rFonts w:ascii="Times New Roman" w:hAnsi="Times New Roman" w:cs="Times New Roman"/>
              </w:rPr>
              <w:t>6</w:t>
            </w:r>
            <w:r w:rsidR="00E54B8C" w:rsidRPr="00020DFD">
              <w:rPr>
                <w:rFonts w:ascii="Times New Roman" w:hAnsi="Times New Roman" w:cs="Times New Roman"/>
              </w:rPr>
              <w:t>.</w:t>
            </w:r>
            <w:r w:rsidR="00E54B8C">
              <w:rPr>
                <w:rFonts w:ascii="Times New Roman" w:hAnsi="Times New Roman" w:cs="Times New Roman"/>
              </w:rPr>
              <w:t>2.2.</w:t>
            </w:r>
            <w:r w:rsidRPr="00020DFD">
              <w:rPr>
                <w:rFonts w:ascii="Times New Roman" w:hAnsi="Times New Roman" w:cs="Times New Roman"/>
              </w:rPr>
              <w:t> </w:t>
            </w:r>
            <w:r w:rsidR="00E54B8C">
              <w:rPr>
                <w:rFonts w:ascii="Times New Roman" w:hAnsi="Times New Roman" w:cs="Times New Roman"/>
              </w:rPr>
              <w:t xml:space="preserve">un </w:t>
            </w:r>
            <w:r w:rsidR="00602888">
              <w:rPr>
                <w:rFonts w:ascii="Times New Roman" w:hAnsi="Times New Roman" w:cs="Times New Roman"/>
              </w:rPr>
              <w:t>7</w:t>
            </w:r>
            <w:r w:rsidR="00E54B8C" w:rsidRPr="00020DFD">
              <w:rPr>
                <w:rFonts w:ascii="Times New Roman" w:hAnsi="Times New Roman" w:cs="Times New Roman"/>
              </w:rPr>
              <w:t>.</w:t>
            </w:r>
            <w:r w:rsidR="00E54B8C">
              <w:rPr>
                <w:rFonts w:ascii="Times New Roman" w:hAnsi="Times New Roman" w:cs="Times New Roman"/>
              </w:rPr>
              <w:t>2.2.</w:t>
            </w:r>
            <w:r w:rsidR="00E54B8C" w:rsidRPr="00020DFD">
              <w:rPr>
                <w:rFonts w:ascii="Times New Roman" w:hAnsi="Times New Roman" w:cs="Times New Roman"/>
              </w:rPr>
              <w:t> </w:t>
            </w:r>
            <w:r>
              <w:rPr>
                <w:rFonts w:ascii="Times New Roman" w:hAnsi="Times New Roman" w:cs="Times New Roman"/>
              </w:rPr>
              <w:t>apakš</w:t>
            </w:r>
            <w:r w:rsidRPr="00020DFD">
              <w:rPr>
                <w:rFonts w:ascii="Times New Roman" w:hAnsi="Times New Roman" w:cs="Times New Roman"/>
              </w:rPr>
              <w:t>punkt</w:t>
            </w:r>
            <w:r>
              <w:rPr>
                <w:rFonts w:ascii="Times New Roman" w:hAnsi="Times New Roman" w:cs="Times New Roman"/>
              </w:rPr>
              <w:t>s</w:t>
            </w:r>
          </w:p>
          <w:p w14:paraId="2774F83D" w14:textId="77777777" w:rsidR="002C2F57" w:rsidRPr="00020DFD" w:rsidRDefault="002C2F57" w:rsidP="002C2F57">
            <w:pPr>
              <w:rPr>
                <w:rFonts w:ascii="Times New Roman" w:hAnsi="Times New Roman" w:cs="Times New Roman"/>
              </w:rPr>
            </w:pPr>
          </w:p>
        </w:tc>
        <w:tc>
          <w:tcPr>
            <w:tcW w:w="2150" w:type="dxa"/>
          </w:tcPr>
          <w:p w14:paraId="4D640537" w14:textId="28360478"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1128ECA5" w14:textId="3B56478F"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6A0B2B5D" w14:textId="78041C3A"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498B7C2E" w14:textId="77777777" w:rsidR="002C2F57" w:rsidRPr="00AB2A82" w:rsidRDefault="002C2F57" w:rsidP="002C2F57">
            <w:pPr>
              <w:rPr>
                <w:rFonts w:ascii="Times New Roman" w:hAnsi="Times New Roman" w:cs="Times New Roman"/>
                <w:highlight w:val="yellow"/>
              </w:rPr>
            </w:pPr>
          </w:p>
        </w:tc>
      </w:tr>
      <w:tr w:rsidR="002C2F57" w:rsidRPr="00001188" w14:paraId="7219AF53" w14:textId="77777777" w:rsidTr="00C31137">
        <w:tc>
          <w:tcPr>
            <w:tcW w:w="2868" w:type="dxa"/>
          </w:tcPr>
          <w:p w14:paraId="457D9026" w14:textId="1E326BCC" w:rsidR="002C2F57" w:rsidRPr="00D63CCA"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2</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a c) apakšpunkts</w:t>
            </w:r>
          </w:p>
        </w:tc>
        <w:tc>
          <w:tcPr>
            <w:tcW w:w="3246" w:type="dxa"/>
          </w:tcPr>
          <w:p w14:paraId="4A0A2D12" w14:textId="441186DE"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 xml:space="preserve">a </w:t>
            </w:r>
            <w:r w:rsidR="00602888">
              <w:rPr>
                <w:rFonts w:ascii="Times New Roman" w:hAnsi="Times New Roman" w:cs="Times New Roman"/>
              </w:rPr>
              <w:t>5</w:t>
            </w:r>
            <w:r w:rsidRPr="00020DFD">
              <w:rPr>
                <w:rFonts w:ascii="Times New Roman" w:hAnsi="Times New Roman" w:cs="Times New Roman"/>
              </w:rPr>
              <w:t>.</w:t>
            </w:r>
            <w:r>
              <w:rPr>
                <w:rFonts w:ascii="Times New Roman" w:hAnsi="Times New Roman" w:cs="Times New Roman"/>
              </w:rPr>
              <w:t>2.3.</w:t>
            </w:r>
            <w:r w:rsidR="00E54B8C">
              <w:rPr>
                <w:rFonts w:ascii="Times New Roman" w:hAnsi="Times New Roman" w:cs="Times New Roman"/>
              </w:rPr>
              <w:t xml:space="preserve">, </w:t>
            </w:r>
            <w:r w:rsidR="00602888">
              <w:rPr>
                <w:rFonts w:ascii="Times New Roman" w:hAnsi="Times New Roman" w:cs="Times New Roman"/>
              </w:rPr>
              <w:t>6</w:t>
            </w:r>
            <w:r w:rsidR="00E54B8C" w:rsidRPr="00020DFD">
              <w:rPr>
                <w:rFonts w:ascii="Times New Roman" w:hAnsi="Times New Roman" w:cs="Times New Roman"/>
              </w:rPr>
              <w:t>.</w:t>
            </w:r>
            <w:r w:rsidR="00E54B8C">
              <w:rPr>
                <w:rFonts w:ascii="Times New Roman" w:hAnsi="Times New Roman" w:cs="Times New Roman"/>
              </w:rPr>
              <w:t xml:space="preserve">2.3. un </w:t>
            </w:r>
            <w:r w:rsidR="00602888">
              <w:rPr>
                <w:rFonts w:ascii="Times New Roman" w:hAnsi="Times New Roman" w:cs="Times New Roman"/>
              </w:rPr>
              <w:t>7</w:t>
            </w:r>
            <w:r w:rsidR="00E54B8C" w:rsidRPr="00020DFD">
              <w:rPr>
                <w:rFonts w:ascii="Times New Roman" w:hAnsi="Times New Roman" w:cs="Times New Roman"/>
              </w:rPr>
              <w:t>.</w:t>
            </w:r>
            <w:r w:rsidR="00E54B8C">
              <w:rPr>
                <w:rFonts w:ascii="Times New Roman" w:hAnsi="Times New Roman" w:cs="Times New Roman"/>
              </w:rPr>
              <w:t>2.3.</w:t>
            </w:r>
            <w:r w:rsidRPr="00020DFD">
              <w:rPr>
                <w:rFonts w:ascii="Times New Roman" w:hAnsi="Times New Roman" w:cs="Times New Roman"/>
              </w:rPr>
              <w:t> </w:t>
            </w:r>
            <w:r>
              <w:rPr>
                <w:rFonts w:ascii="Times New Roman" w:hAnsi="Times New Roman" w:cs="Times New Roman"/>
              </w:rPr>
              <w:t>apakš</w:t>
            </w:r>
            <w:r w:rsidRPr="00020DFD">
              <w:rPr>
                <w:rFonts w:ascii="Times New Roman" w:hAnsi="Times New Roman" w:cs="Times New Roman"/>
              </w:rPr>
              <w:t>punkt</w:t>
            </w:r>
            <w:r>
              <w:rPr>
                <w:rFonts w:ascii="Times New Roman" w:hAnsi="Times New Roman" w:cs="Times New Roman"/>
              </w:rPr>
              <w:t>s</w:t>
            </w:r>
          </w:p>
          <w:p w14:paraId="7D0FCC21" w14:textId="77777777" w:rsidR="002C2F57" w:rsidRPr="00020DFD" w:rsidRDefault="002C2F57" w:rsidP="002C2F57">
            <w:pPr>
              <w:rPr>
                <w:rFonts w:ascii="Times New Roman" w:hAnsi="Times New Roman" w:cs="Times New Roman"/>
              </w:rPr>
            </w:pPr>
          </w:p>
        </w:tc>
        <w:tc>
          <w:tcPr>
            <w:tcW w:w="2150" w:type="dxa"/>
          </w:tcPr>
          <w:p w14:paraId="62171562" w14:textId="6AD43AEB"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2A9C3322" w14:textId="6AE52A67"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456273B9" w14:textId="749893F2"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6CFE47E9" w14:textId="77777777" w:rsidR="002C2F57" w:rsidRPr="00AB2A82" w:rsidRDefault="002C2F57" w:rsidP="002C2F57">
            <w:pPr>
              <w:rPr>
                <w:rFonts w:ascii="Times New Roman" w:hAnsi="Times New Roman" w:cs="Times New Roman"/>
                <w:highlight w:val="yellow"/>
              </w:rPr>
            </w:pPr>
          </w:p>
        </w:tc>
      </w:tr>
      <w:tr w:rsidR="002C2F57" w:rsidRPr="00001188" w14:paraId="2860E757" w14:textId="77777777" w:rsidTr="00C31137">
        <w:tc>
          <w:tcPr>
            <w:tcW w:w="2868" w:type="dxa"/>
          </w:tcPr>
          <w:p w14:paraId="58F463C5" w14:textId="165E8663" w:rsidR="002C2F57" w:rsidRPr="00D63CCA"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3</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a a) apakšpunkts</w:t>
            </w:r>
          </w:p>
        </w:tc>
        <w:tc>
          <w:tcPr>
            <w:tcW w:w="3246" w:type="dxa"/>
          </w:tcPr>
          <w:p w14:paraId="1217F289" w14:textId="10845D3D"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602888">
              <w:rPr>
                <w:rFonts w:ascii="Times New Roman" w:hAnsi="Times New Roman" w:cs="Times New Roman"/>
              </w:rPr>
              <w:t>5</w:t>
            </w:r>
            <w:r w:rsidRPr="00020DFD">
              <w:rPr>
                <w:rFonts w:ascii="Times New Roman" w:hAnsi="Times New Roman" w:cs="Times New Roman"/>
              </w:rPr>
              <w:t>.</w:t>
            </w:r>
            <w:r>
              <w:rPr>
                <w:rFonts w:ascii="Times New Roman" w:hAnsi="Times New Roman" w:cs="Times New Roman"/>
              </w:rPr>
              <w:t>3.2.</w:t>
            </w:r>
            <w:r w:rsidR="00DE5ACD">
              <w:rPr>
                <w:rFonts w:ascii="Times New Roman" w:hAnsi="Times New Roman" w:cs="Times New Roman"/>
              </w:rPr>
              <w:t xml:space="preserve">, </w:t>
            </w:r>
            <w:r w:rsidR="00602888">
              <w:rPr>
                <w:rFonts w:ascii="Times New Roman" w:hAnsi="Times New Roman" w:cs="Times New Roman"/>
              </w:rPr>
              <w:t>6</w:t>
            </w:r>
            <w:r w:rsidR="00DE5ACD" w:rsidRPr="00020DFD">
              <w:rPr>
                <w:rFonts w:ascii="Times New Roman" w:hAnsi="Times New Roman" w:cs="Times New Roman"/>
              </w:rPr>
              <w:t>.</w:t>
            </w:r>
            <w:r w:rsidR="00DE5ACD">
              <w:rPr>
                <w:rFonts w:ascii="Times New Roman" w:hAnsi="Times New Roman" w:cs="Times New Roman"/>
              </w:rPr>
              <w:t>3.2.</w:t>
            </w:r>
            <w:r w:rsidR="00DE5ACD" w:rsidRPr="00020DFD">
              <w:rPr>
                <w:rFonts w:ascii="Times New Roman" w:hAnsi="Times New Roman" w:cs="Times New Roman"/>
              </w:rPr>
              <w:t> </w:t>
            </w:r>
            <w:r w:rsidR="00DE5ACD">
              <w:rPr>
                <w:rFonts w:ascii="Times New Roman" w:hAnsi="Times New Roman" w:cs="Times New Roman"/>
              </w:rPr>
              <w:t xml:space="preserve">un </w:t>
            </w:r>
            <w:r w:rsidR="00602888">
              <w:rPr>
                <w:rFonts w:ascii="Times New Roman" w:hAnsi="Times New Roman" w:cs="Times New Roman"/>
              </w:rPr>
              <w:t>7</w:t>
            </w:r>
            <w:r w:rsidR="00DE5ACD" w:rsidRPr="00020DFD">
              <w:rPr>
                <w:rFonts w:ascii="Times New Roman" w:hAnsi="Times New Roman" w:cs="Times New Roman"/>
              </w:rPr>
              <w:t>.</w:t>
            </w:r>
            <w:r w:rsidR="00DE5ACD">
              <w:rPr>
                <w:rFonts w:ascii="Times New Roman" w:hAnsi="Times New Roman" w:cs="Times New Roman"/>
              </w:rPr>
              <w:t>3.2.</w:t>
            </w:r>
            <w:r w:rsidRPr="00020DFD">
              <w:rPr>
                <w:rFonts w:ascii="Times New Roman" w:hAnsi="Times New Roman" w:cs="Times New Roman"/>
              </w:rPr>
              <w:t> </w:t>
            </w:r>
            <w:r>
              <w:rPr>
                <w:rFonts w:ascii="Times New Roman" w:hAnsi="Times New Roman" w:cs="Times New Roman"/>
              </w:rPr>
              <w:t>apakš</w:t>
            </w:r>
            <w:r w:rsidRPr="00020DFD">
              <w:rPr>
                <w:rFonts w:ascii="Times New Roman" w:hAnsi="Times New Roman" w:cs="Times New Roman"/>
              </w:rPr>
              <w:t>punkt</w:t>
            </w:r>
            <w:r>
              <w:rPr>
                <w:rFonts w:ascii="Times New Roman" w:hAnsi="Times New Roman" w:cs="Times New Roman"/>
              </w:rPr>
              <w:t>s</w:t>
            </w:r>
          </w:p>
          <w:p w14:paraId="32A45F2C" w14:textId="5A949B55" w:rsidR="002C2F57" w:rsidRPr="00020DFD" w:rsidRDefault="002C2F57" w:rsidP="002C2F57">
            <w:pPr>
              <w:rPr>
                <w:rFonts w:ascii="Times New Roman" w:hAnsi="Times New Roman" w:cs="Times New Roman"/>
              </w:rPr>
            </w:pPr>
          </w:p>
        </w:tc>
        <w:tc>
          <w:tcPr>
            <w:tcW w:w="2150" w:type="dxa"/>
          </w:tcPr>
          <w:p w14:paraId="66E3F652" w14:textId="54817DA5"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526D91BD" w14:textId="43B3BE04"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507CD35B" w14:textId="0A4251A1"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5FC51FC6" w14:textId="77777777" w:rsidR="002C2F57" w:rsidRPr="00AB2A82" w:rsidRDefault="002C2F57" w:rsidP="002C2F57">
            <w:pPr>
              <w:rPr>
                <w:rFonts w:ascii="Times New Roman" w:hAnsi="Times New Roman" w:cs="Times New Roman"/>
                <w:highlight w:val="yellow"/>
              </w:rPr>
            </w:pPr>
          </w:p>
        </w:tc>
      </w:tr>
      <w:tr w:rsidR="002C2F57" w:rsidRPr="00001188" w14:paraId="66A07036" w14:textId="77777777" w:rsidTr="00C31137">
        <w:tc>
          <w:tcPr>
            <w:tcW w:w="2868" w:type="dxa"/>
          </w:tcPr>
          <w:p w14:paraId="18BC8DE1" w14:textId="2200D1FF" w:rsidR="002C2F57" w:rsidRPr="00D63CCA"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3</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a b) apakšpunkts</w:t>
            </w:r>
          </w:p>
        </w:tc>
        <w:tc>
          <w:tcPr>
            <w:tcW w:w="3246" w:type="dxa"/>
          </w:tcPr>
          <w:p w14:paraId="63EAFC92" w14:textId="7AF796FC"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 xml:space="preserve">a </w:t>
            </w:r>
            <w:r w:rsidR="00602888">
              <w:rPr>
                <w:rFonts w:ascii="Times New Roman" w:hAnsi="Times New Roman" w:cs="Times New Roman"/>
              </w:rPr>
              <w:t>5</w:t>
            </w:r>
            <w:r w:rsidR="00DE5ACD" w:rsidRPr="00020DFD">
              <w:rPr>
                <w:rFonts w:ascii="Times New Roman" w:hAnsi="Times New Roman" w:cs="Times New Roman"/>
              </w:rPr>
              <w:t>.</w:t>
            </w:r>
            <w:r w:rsidR="00DE5ACD">
              <w:rPr>
                <w:rFonts w:ascii="Times New Roman" w:hAnsi="Times New Roman" w:cs="Times New Roman"/>
              </w:rPr>
              <w:t xml:space="preserve">3.3., </w:t>
            </w:r>
            <w:r w:rsidR="00602888">
              <w:rPr>
                <w:rFonts w:ascii="Times New Roman" w:hAnsi="Times New Roman" w:cs="Times New Roman"/>
              </w:rPr>
              <w:t>6</w:t>
            </w:r>
            <w:r w:rsidR="00DE5ACD" w:rsidRPr="00020DFD">
              <w:rPr>
                <w:rFonts w:ascii="Times New Roman" w:hAnsi="Times New Roman" w:cs="Times New Roman"/>
              </w:rPr>
              <w:t>.</w:t>
            </w:r>
            <w:r w:rsidR="00DE5ACD">
              <w:rPr>
                <w:rFonts w:ascii="Times New Roman" w:hAnsi="Times New Roman" w:cs="Times New Roman"/>
              </w:rPr>
              <w:t>3.3.</w:t>
            </w:r>
            <w:r w:rsidR="00DE5ACD" w:rsidRPr="00020DFD">
              <w:rPr>
                <w:rFonts w:ascii="Times New Roman" w:hAnsi="Times New Roman" w:cs="Times New Roman"/>
              </w:rPr>
              <w:t> </w:t>
            </w:r>
            <w:r w:rsidR="00DE5ACD">
              <w:rPr>
                <w:rFonts w:ascii="Times New Roman" w:hAnsi="Times New Roman" w:cs="Times New Roman"/>
              </w:rPr>
              <w:t xml:space="preserve">un </w:t>
            </w:r>
            <w:r w:rsidR="00602888">
              <w:rPr>
                <w:rFonts w:ascii="Times New Roman" w:hAnsi="Times New Roman" w:cs="Times New Roman"/>
              </w:rPr>
              <w:t>7</w:t>
            </w:r>
            <w:r w:rsidR="00DE5ACD" w:rsidRPr="00020DFD">
              <w:rPr>
                <w:rFonts w:ascii="Times New Roman" w:hAnsi="Times New Roman" w:cs="Times New Roman"/>
              </w:rPr>
              <w:t>.</w:t>
            </w:r>
            <w:r w:rsidR="00DE5ACD">
              <w:rPr>
                <w:rFonts w:ascii="Times New Roman" w:hAnsi="Times New Roman" w:cs="Times New Roman"/>
              </w:rPr>
              <w:t>3.3.</w:t>
            </w:r>
            <w:r w:rsidR="00DE5ACD" w:rsidRPr="00020DFD">
              <w:rPr>
                <w:rFonts w:ascii="Times New Roman" w:hAnsi="Times New Roman" w:cs="Times New Roman"/>
              </w:rPr>
              <w:t> </w:t>
            </w:r>
            <w:r>
              <w:rPr>
                <w:rFonts w:ascii="Times New Roman" w:hAnsi="Times New Roman" w:cs="Times New Roman"/>
              </w:rPr>
              <w:t>apakš</w:t>
            </w:r>
            <w:r w:rsidRPr="00020DFD">
              <w:rPr>
                <w:rFonts w:ascii="Times New Roman" w:hAnsi="Times New Roman" w:cs="Times New Roman"/>
              </w:rPr>
              <w:t>punkt</w:t>
            </w:r>
            <w:r>
              <w:rPr>
                <w:rFonts w:ascii="Times New Roman" w:hAnsi="Times New Roman" w:cs="Times New Roman"/>
              </w:rPr>
              <w:t>s</w:t>
            </w:r>
          </w:p>
          <w:p w14:paraId="149BC184" w14:textId="77777777" w:rsidR="002C2F57" w:rsidRPr="00020DFD" w:rsidRDefault="002C2F57" w:rsidP="002C2F57">
            <w:pPr>
              <w:rPr>
                <w:rFonts w:ascii="Times New Roman" w:hAnsi="Times New Roman" w:cs="Times New Roman"/>
              </w:rPr>
            </w:pPr>
          </w:p>
        </w:tc>
        <w:tc>
          <w:tcPr>
            <w:tcW w:w="2150" w:type="dxa"/>
          </w:tcPr>
          <w:p w14:paraId="365B9116" w14:textId="48E854D1"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71D9D24E" w14:textId="140A9F5C"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4C65E7F5" w14:textId="76904032"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7C8071F3" w14:textId="77777777" w:rsidR="002C2F57" w:rsidRPr="00AB2A82" w:rsidRDefault="002C2F57" w:rsidP="002C2F57">
            <w:pPr>
              <w:rPr>
                <w:rFonts w:ascii="Times New Roman" w:hAnsi="Times New Roman" w:cs="Times New Roman"/>
                <w:highlight w:val="yellow"/>
              </w:rPr>
            </w:pPr>
          </w:p>
        </w:tc>
      </w:tr>
      <w:tr w:rsidR="002C2F57" w:rsidRPr="00001188" w14:paraId="5E6BFE56" w14:textId="77777777" w:rsidTr="00C31137">
        <w:tc>
          <w:tcPr>
            <w:tcW w:w="2868" w:type="dxa"/>
          </w:tcPr>
          <w:p w14:paraId="59F17213" w14:textId="1B93A24D" w:rsidR="002C2F57" w:rsidRPr="00D63CCA"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4</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s</w:t>
            </w:r>
          </w:p>
        </w:tc>
        <w:tc>
          <w:tcPr>
            <w:tcW w:w="3246" w:type="dxa"/>
          </w:tcPr>
          <w:p w14:paraId="1EB2279C" w14:textId="69079ACF"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602888">
              <w:rPr>
                <w:rFonts w:ascii="Times New Roman" w:hAnsi="Times New Roman" w:cs="Times New Roman"/>
              </w:rPr>
              <w:t>3</w:t>
            </w:r>
            <w:r w:rsidRPr="00020DFD">
              <w:rPr>
                <w:rFonts w:ascii="Times New Roman" w:hAnsi="Times New Roman" w:cs="Times New Roman"/>
              </w:rPr>
              <w:t>. punkt</w:t>
            </w:r>
            <w:r>
              <w:rPr>
                <w:rFonts w:ascii="Times New Roman" w:hAnsi="Times New Roman" w:cs="Times New Roman"/>
              </w:rPr>
              <w:t>s</w:t>
            </w:r>
          </w:p>
        </w:tc>
        <w:tc>
          <w:tcPr>
            <w:tcW w:w="2150" w:type="dxa"/>
          </w:tcPr>
          <w:p w14:paraId="33A643F2" w14:textId="0FFA02E4"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0C895E34" w14:textId="054DA678"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0CEFA8B7" w14:textId="0EF80192"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61283451" w14:textId="77777777" w:rsidR="002C2F57" w:rsidRPr="00AB2A82" w:rsidRDefault="002C2F57" w:rsidP="002C2F57">
            <w:pPr>
              <w:rPr>
                <w:rFonts w:ascii="Times New Roman" w:hAnsi="Times New Roman" w:cs="Times New Roman"/>
                <w:highlight w:val="yellow"/>
              </w:rPr>
            </w:pPr>
          </w:p>
        </w:tc>
      </w:tr>
      <w:tr w:rsidR="002C2F57" w:rsidRPr="00001188" w14:paraId="79B1AEB2" w14:textId="77777777" w:rsidTr="00C31137">
        <w:tc>
          <w:tcPr>
            <w:tcW w:w="2868" w:type="dxa"/>
          </w:tcPr>
          <w:p w14:paraId="79065A15" w14:textId="3FAE94BB" w:rsidR="002C2F57" w:rsidRPr="00D63CCA" w:rsidRDefault="002C2F57" w:rsidP="002C2F57">
            <w:pPr>
              <w:rPr>
                <w:rFonts w:ascii="Times New Roman" w:hAnsi="Times New Roman" w:cs="Times New Roman"/>
              </w:rPr>
            </w:pPr>
            <w:r w:rsidRPr="004E4E86">
              <w:rPr>
                <w:rFonts w:ascii="Times New Roman" w:hAnsi="Times New Roman" w:cs="Times New Roman"/>
                <w:bCs/>
              </w:rPr>
              <w:t>Direktīvas 2013/36/ES</w:t>
            </w:r>
            <w:r w:rsidRPr="004E4E86">
              <w:rPr>
                <w:rFonts w:ascii="Times New Roman" w:hAnsi="Times New Roman" w:cs="Times New Roman"/>
              </w:rPr>
              <w:t xml:space="preserve"> 140. panta 5. punkts</w:t>
            </w:r>
          </w:p>
        </w:tc>
        <w:tc>
          <w:tcPr>
            <w:tcW w:w="3246" w:type="dxa"/>
          </w:tcPr>
          <w:p w14:paraId="03BACC39" w14:textId="03A99C3D"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602888">
              <w:rPr>
                <w:rFonts w:ascii="Times New Roman" w:hAnsi="Times New Roman" w:cs="Times New Roman"/>
              </w:rPr>
              <w:t>4</w:t>
            </w:r>
            <w:r w:rsidRPr="00020DFD">
              <w:rPr>
                <w:rFonts w:ascii="Times New Roman" w:hAnsi="Times New Roman" w:cs="Times New Roman"/>
              </w:rPr>
              <w:t>. punkt</w:t>
            </w:r>
            <w:r>
              <w:rPr>
                <w:rFonts w:ascii="Times New Roman" w:hAnsi="Times New Roman" w:cs="Times New Roman"/>
              </w:rPr>
              <w:t>s</w:t>
            </w:r>
          </w:p>
        </w:tc>
        <w:tc>
          <w:tcPr>
            <w:tcW w:w="2150" w:type="dxa"/>
          </w:tcPr>
          <w:p w14:paraId="30394C19" w14:textId="520990DF"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21292710" w14:textId="5407924D"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42CC4B55" w14:textId="41848544"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3272D066" w14:textId="6DB30A46" w:rsidR="002C2F57" w:rsidRPr="00020DFD" w:rsidRDefault="002C2F57" w:rsidP="002C2F57">
            <w:pPr>
              <w:rPr>
                <w:rFonts w:ascii="Times New Roman" w:hAnsi="Times New Roman" w:cs="Times New Roman"/>
                <w:color w:val="FF0000"/>
              </w:rPr>
            </w:pPr>
          </w:p>
        </w:tc>
      </w:tr>
      <w:tr w:rsidR="002C2F57" w:rsidRPr="00001188" w14:paraId="2025CA95" w14:textId="77777777" w:rsidTr="00C31137">
        <w:tc>
          <w:tcPr>
            <w:tcW w:w="2868" w:type="dxa"/>
          </w:tcPr>
          <w:p w14:paraId="38C12131" w14:textId="3ED14083" w:rsidR="002C2F57" w:rsidRPr="004E4E86"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6</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 xml:space="preserve">a </w:t>
            </w:r>
            <w:r w:rsidR="00DE5D79">
              <w:rPr>
                <w:rFonts w:ascii="Times New Roman" w:hAnsi="Times New Roman" w:cs="Times New Roman"/>
              </w:rPr>
              <w:t xml:space="preserve">pirmās daļas </w:t>
            </w:r>
            <w:r>
              <w:rPr>
                <w:rFonts w:ascii="Times New Roman" w:hAnsi="Times New Roman" w:cs="Times New Roman"/>
              </w:rPr>
              <w:t>a) apakšpunkts</w:t>
            </w:r>
          </w:p>
        </w:tc>
        <w:tc>
          <w:tcPr>
            <w:tcW w:w="3246" w:type="dxa"/>
          </w:tcPr>
          <w:p w14:paraId="6423213A" w14:textId="3F7B2B72"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602888">
              <w:rPr>
                <w:rFonts w:ascii="Times New Roman" w:hAnsi="Times New Roman" w:cs="Times New Roman"/>
              </w:rPr>
              <w:t>6</w:t>
            </w:r>
            <w:r>
              <w:rPr>
                <w:rFonts w:ascii="Times New Roman" w:hAnsi="Times New Roman" w:cs="Times New Roman"/>
              </w:rPr>
              <w:t xml:space="preserve">.1., </w:t>
            </w:r>
            <w:r w:rsidR="00DE5D79">
              <w:rPr>
                <w:rFonts w:ascii="Times New Roman" w:hAnsi="Times New Roman" w:cs="Times New Roman"/>
              </w:rPr>
              <w:t>6</w:t>
            </w:r>
            <w:r>
              <w:rPr>
                <w:rFonts w:ascii="Times New Roman" w:hAnsi="Times New Roman" w:cs="Times New Roman"/>
              </w:rPr>
              <w:t xml:space="preserve">.2.1., </w:t>
            </w:r>
            <w:r w:rsidR="00602888">
              <w:rPr>
                <w:rFonts w:ascii="Times New Roman" w:hAnsi="Times New Roman" w:cs="Times New Roman"/>
              </w:rPr>
              <w:t>6</w:t>
            </w:r>
            <w:r>
              <w:rPr>
                <w:rFonts w:ascii="Times New Roman" w:hAnsi="Times New Roman" w:cs="Times New Roman"/>
              </w:rPr>
              <w:t xml:space="preserve">.2.2. un </w:t>
            </w:r>
            <w:r w:rsidR="00602888">
              <w:rPr>
                <w:rFonts w:ascii="Times New Roman" w:hAnsi="Times New Roman" w:cs="Times New Roman"/>
              </w:rPr>
              <w:t>6</w:t>
            </w:r>
            <w:r>
              <w:rPr>
                <w:rFonts w:ascii="Times New Roman" w:hAnsi="Times New Roman" w:cs="Times New Roman"/>
              </w:rPr>
              <w:t>.2.3. apakšpunkts</w:t>
            </w:r>
          </w:p>
        </w:tc>
        <w:tc>
          <w:tcPr>
            <w:tcW w:w="2150" w:type="dxa"/>
          </w:tcPr>
          <w:p w14:paraId="32BE9267" w14:textId="3523B776"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54033536" w14:textId="3641F146"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1A1D3083" w14:textId="1AD1E83E"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6CDAC789" w14:textId="77777777" w:rsidR="002C2F57" w:rsidRPr="00020DFD" w:rsidRDefault="002C2F57" w:rsidP="002C2F57">
            <w:pPr>
              <w:rPr>
                <w:rFonts w:ascii="Times New Roman" w:hAnsi="Times New Roman" w:cs="Times New Roman"/>
                <w:color w:val="FF0000"/>
              </w:rPr>
            </w:pPr>
          </w:p>
        </w:tc>
      </w:tr>
      <w:tr w:rsidR="002C2F57" w:rsidRPr="00001188" w14:paraId="307E9A08" w14:textId="77777777" w:rsidTr="00C31137">
        <w:tc>
          <w:tcPr>
            <w:tcW w:w="2868" w:type="dxa"/>
          </w:tcPr>
          <w:p w14:paraId="2B73863A" w14:textId="198F0DDE" w:rsidR="002C2F57" w:rsidRPr="00D63CCA"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6</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 xml:space="preserve">a </w:t>
            </w:r>
            <w:r w:rsidR="00DE5D79">
              <w:rPr>
                <w:rFonts w:ascii="Times New Roman" w:hAnsi="Times New Roman" w:cs="Times New Roman"/>
              </w:rPr>
              <w:t xml:space="preserve">pirmās daļas </w:t>
            </w:r>
            <w:r>
              <w:rPr>
                <w:rFonts w:ascii="Times New Roman" w:hAnsi="Times New Roman" w:cs="Times New Roman"/>
              </w:rPr>
              <w:t>b) apakšpunkts</w:t>
            </w:r>
          </w:p>
        </w:tc>
        <w:tc>
          <w:tcPr>
            <w:tcW w:w="3246" w:type="dxa"/>
          </w:tcPr>
          <w:p w14:paraId="09F11C11" w14:textId="3DA4D4C4"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 xml:space="preserve">a </w:t>
            </w:r>
            <w:r w:rsidR="00602888">
              <w:rPr>
                <w:rFonts w:ascii="Times New Roman" w:hAnsi="Times New Roman" w:cs="Times New Roman"/>
              </w:rPr>
              <w:t>6</w:t>
            </w:r>
            <w:r>
              <w:rPr>
                <w:rFonts w:ascii="Times New Roman" w:hAnsi="Times New Roman" w:cs="Times New Roman"/>
              </w:rPr>
              <w:t xml:space="preserve">.3.1. un </w:t>
            </w:r>
            <w:r w:rsidR="00602888">
              <w:rPr>
                <w:rFonts w:ascii="Times New Roman" w:hAnsi="Times New Roman" w:cs="Times New Roman"/>
              </w:rPr>
              <w:t>6</w:t>
            </w:r>
            <w:r>
              <w:rPr>
                <w:rFonts w:ascii="Times New Roman" w:hAnsi="Times New Roman" w:cs="Times New Roman"/>
              </w:rPr>
              <w:t>.3.2. apakšpunkts</w:t>
            </w:r>
          </w:p>
        </w:tc>
        <w:tc>
          <w:tcPr>
            <w:tcW w:w="2150" w:type="dxa"/>
          </w:tcPr>
          <w:p w14:paraId="01CE661C" w14:textId="61B763D2"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663000E8" w14:textId="537D612E"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5A9FC216" w14:textId="0C05FF26"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3DE5B5DC" w14:textId="77777777" w:rsidR="002C2F57" w:rsidRPr="00020DFD" w:rsidRDefault="002C2F57" w:rsidP="002C2F57">
            <w:pPr>
              <w:rPr>
                <w:rFonts w:ascii="Times New Roman" w:hAnsi="Times New Roman" w:cs="Times New Roman"/>
                <w:color w:val="FF0000"/>
              </w:rPr>
            </w:pPr>
          </w:p>
        </w:tc>
      </w:tr>
      <w:tr w:rsidR="002C2F57" w:rsidRPr="00001188" w14:paraId="317CDF70" w14:textId="77777777" w:rsidTr="00C31137">
        <w:tc>
          <w:tcPr>
            <w:tcW w:w="2868" w:type="dxa"/>
          </w:tcPr>
          <w:p w14:paraId="74593A25" w14:textId="00B97959" w:rsidR="002C2F57" w:rsidRPr="00D63CCA"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6</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 xml:space="preserve">a </w:t>
            </w:r>
            <w:r w:rsidR="00DE5D79">
              <w:rPr>
                <w:rFonts w:ascii="Times New Roman" w:hAnsi="Times New Roman" w:cs="Times New Roman"/>
              </w:rPr>
              <w:t xml:space="preserve">pirmās daļas </w:t>
            </w:r>
            <w:r>
              <w:rPr>
                <w:rFonts w:ascii="Times New Roman" w:hAnsi="Times New Roman" w:cs="Times New Roman"/>
              </w:rPr>
              <w:t>c) apakšpunkts</w:t>
            </w:r>
          </w:p>
        </w:tc>
        <w:tc>
          <w:tcPr>
            <w:tcW w:w="3246" w:type="dxa"/>
          </w:tcPr>
          <w:p w14:paraId="1E1882F9" w14:textId="49CB28F8"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sidRPr="00BC42FA">
              <w:rPr>
                <w:rFonts w:ascii="Times New Roman" w:hAnsi="Times New Roman" w:cs="Times New Roman"/>
              </w:rPr>
              <w:t xml:space="preserve">a </w:t>
            </w:r>
            <w:r w:rsidR="00602888">
              <w:rPr>
                <w:rFonts w:ascii="Times New Roman" w:hAnsi="Times New Roman" w:cs="Times New Roman"/>
              </w:rPr>
              <w:t>5</w:t>
            </w:r>
            <w:r w:rsidRPr="00BC42FA">
              <w:rPr>
                <w:rFonts w:ascii="Times New Roman" w:hAnsi="Times New Roman" w:cs="Times New Roman"/>
              </w:rPr>
              <w:t xml:space="preserve">.3.4., </w:t>
            </w:r>
            <w:r w:rsidR="00602888">
              <w:rPr>
                <w:rFonts w:ascii="Times New Roman" w:hAnsi="Times New Roman" w:cs="Times New Roman"/>
              </w:rPr>
              <w:t>6</w:t>
            </w:r>
            <w:r w:rsidRPr="00BC42FA">
              <w:rPr>
                <w:rFonts w:ascii="Times New Roman" w:hAnsi="Times New Roman" w:cs="Times New Roman"/>
              </w:rPr>
              <w:t>.3.3.</w:t>
            </w:r>
            <w:r>
              <w:rPr>
                <w:rFonts w:ascii="Times New Roman" w:hAnsi="Times New Roman" w:cs="Times New Roman"/>
              </w:rPr>
              <w:t xml:space="preserve"> un </w:t>
            </w:r>
            <w:r w:rsidR="00602888">
              <w:rPr>
                <w:rFonts w:ascii="Times New Roman" w:hAnsi="Times New Roman" w:cs="Times New Roman"/>
              </w:rPr>
              <w:t>6</w:t>
            </w:r>
            <w:r>
              <w:rPr>
                <w:rFonts w:ascii="Times New Roman" w:hAnsi="Times New Roman" w:cs="Times New Roman"/>
              </w:rPr>
              <w:t>.3.4. apakšpunkts</w:t>
            </w:r>
          </w:p>
        </w:tc>
        <w:tc>
          <w:tcPr>
            <w:tcW w:w="2150" w:type="dxa"/>
          </w:tcPr>
          <w:p w14:paraId="2D6542BB" w14:textId="4D84F705"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20BDC339" w14:textId="01056525"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2AF71988" w14:textId="4705E640"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649B363E" w14:textId="77777777" w:rsidR="002C2F57" w:rsidRPr="00020DFD" w:rsidRDefault="002C2F57" w:rsidP="002C2F57">
            <w:pPr>
              <w:rPr>
                <w:rFonts w:ascii="Times New Roman" w:hAnsi="Times New Roman" w:cs="Times New Roman"/>
                <w:color w:val="FF0000"/>
              </w:rPr>
            </w:pPr>
          </w:p>
        </w:tc>
      </w:tr>
      <w:tr w:rsidR="002C2F57" w:rsidRPr="00001188" w14:paraId="278B6C66" w14:textId="77777777" w:rsidTr="00C31137">
        <w:tc>
          <w:tcPr>
            <w:tcW w:w="2868" w:type="dxa"/>
          </w:tcPr>
          <w:p w14:paraId="406EA7F1" w14:textId="57ED38A7" w:rsidR="002C2F57" w:rsidRPr="00D63CCA"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6</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 xml:space="preserve">a </w:t>
            </w:r>
            <w:r w:rsidR="00DE5D79">
              <w:rPr>
                <w:rFonts w:ascii="Times New Roman" w:hAnsi="Times New Roman" w:cs="Times New Roman"/>
              </w:rPr>
              <w:t xml:space="preserve">pirmās daļas </w:t>
            </w:r>
            <w:r>
              <w:rPr>
                <w:rFonts w:ascii="Times New Roman" w:hAnsi="Times New Roman" w:cs="Times New Roman"/>
              </w:rPr>
              <w:t>d) apakšpunkts</w:t>
            </w:r>
          </w:p>
        </w:tc>
        <w:tc>
          <w:tcPr>
            <w:tcW w:w="3246" w:type="dxa"/>
          </w:tcPr>
          <w:p w14:paraId="702D9640" w14:textId="6FFE452D"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602888">
              <w:rPr>
                <w:rFonts w:ascii="Times New Roman" w:hAnsi="Times New Roman" w:cs="Times New Roman"/>
              </w:rPr>
              <w:t>7</w:t>
            </w:r>
            <w:r w:rsidRPr="00020DFD">
              <w:rPr>
                <w:rFonts w:ascii="Times New Roman" w:hAnsi="Times New Roman" w:cs="Times New Roman"/>
              </w:rPr>
              <w:t>. punkt</w:t>
            </w:r>
            <w:r>
              <w:rPr>
                <w:rFonts w:ascii="Times New Roman" w:hAnsi="Times New Roman" w:cs="Times New Roman"/>
              </w:rPr>
              <w:t>s</w:t>
            </w:r>
          </w:p>
        </w:tc>
        <w:tc>
          <w:tcPr>
            <w:tcW w:w="2150" w:type="dxa"/>
          </w:tcPr>
          <w:p w14:paraId="1FEA086B" w14:textId="5B637466"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7051AB63" w14:textId="117555E2"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0828EFDA" w14:textId="5D6C76FF"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25862D7A" w14:textId="77777777" w:rsidR="002C2F57" w:rsidRPr="00020DFD" w:rsidRDefault="002C2F57" w:rsidP="002C2F57">
            <w:pPr>
              <w:rPr>
                <w:rFonts w:ascii="Times New Roman" w:hAnsi="Times New Roman" w:cs="Times New Roman"/>
                <w:color w:val="FF0000"/>
              </w:rPr>
            </w:pPr>
          </w:p>
        </w:tc>
      </w:tr>
      <w:tr w:rsidR="002C2F57" w:rsidRPr="00001188" w14:paraId="5B8F8F2C" w14:textId="77777777" w:rsidTr="00C31137">
        <w:tc>
          <w:tcPr>
            <w:tcW w:w="2868" w:type="dxa"/>
          </w:tcPr>
          <w:p w14:paraId="3B5A1D1E" w14:textId="79765ED1" w:rsidR="002C2F57" w:rsidRPr="00D63CCA" w:rsidRDefault="002C2F57" w:rsidP="002C2F57">
            <w:pPr>
              <w:rPr>
                <w:rFonts w:ascii="Times New Roman" w:hAnsi="Times New Roman" w:cs="Times New Roman"/>
                <w:bCs/>
              </w:rPr>
            </w:pPr>
            <w:r w:rsidRPr="00D63CCA">
              <w:rPr>
                <w:rFonts w:ascii="Times New Roman" w:hAnsi="Times New Roman" w:cs="Times New Roman"/>
                <w:bCs/>
              </w:rPr>
              <w:t>Direktīvas 2013/36/ES</w:t>
            </w:r>
            <w:r w:rsidRPr="00020DFD">
              <w:rPr>
                <w:rFonts w:ascii="Times New Roman" w:hAnsi="Times New Roman" w:cs="Times New Roman"/>
              </w:rPr>
              <w:t xml:space="preserve"> </w:t>
            </w:r>
            <w:r>
              <w:rPr>
                <w:rFonts w:ascii="Times New Roman" w:hAnsi="Times New Roman" w:cs="Times New Roman"/>
              </w:rPr>
              <w:t>140</w:t>
            </w:r>
            <w:r w:rsidRPr="00D63CCA">
              <w:rPr>
                <w:rFonts w:ascii="Times New Roman" w:hAnsi="Times New Roman" w:cs="Times New Roman"/>
              </w:rPr>
              <w:t>.</w:t>
            </w:r>
            <w:r w:rsidRPr="00020DFD">
              <w:rPr>
                <w:rFonts w:ascii="Times New Roman" w:hAnsi="Times New Roman" w:cs="Times New Roman"/>
              </w:rPr>
              <w:t> </w:t>
            </w:r>
            <w:r w:rsidRPr="00D63CCA">
              <w:rPr>
                <w:rFonts w:ascii="Times New Roman" w:hAnsi="Times New Roman" w:cs="Times New Roman"/>
              </w:rPr>
              <w:t xml:space="preserve">panta </w:t>
            </w:r>
            <w:r>
              <w:rPr>
                <w:rFonts w:ascii="Times New Roman" w:hAnsi="Times New Roman" w:cs="Times New Roman"/>
              </w:rPr>
              <w:t>6</w:t>
            </w:r>
            <w:r w:rsidRPr="00D63CCA">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a otrā daļa</w:t>
            </w:r>
          </w:p>
        </w:tc>
        <w:tc>
          <w:tcPr>
            <w:tcW w:w="3246" w:type="dxa"/>
          </w:tcPr>
          <w:p w14:paraId="0B1BCCC3" w14:textId="5F8BBA8A" w:rsidR="002C2F57" w:rsidRPr="00020DFD" w:rsidRDefault="002C2F57" w:rsidP="002C2F57">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602888">
              <w:rPr>
                <w:rFonts w:ascii="Times New Roman" w:hAnsi="Times New Roman" w:cs="Times New Roman"/>
              </w:rPr>
              <w:t>8</w:t>
            </w:r>
            <w:r w:rsidR="007B3509">
              <w:rPr>
                <w:rFonts w:ascii="Times New Roman" w:hAnsi="Times New Roman" w:cs="Times New Roman"/>
              </w:rPr>
              <w:t>.</w:t>
            </w:r>
            <w:r w:rsidRPr="00020DFD">
              <w:rPr>
                <w:rFonts w:ascii="Times New Roman" w:hAnsi="Times New Roman" w:cs="Times New Roman"/>
              </w:rPr>
              <w:t> punkt</w:t>
            </w:r>
            <w:r>
              <w:rPr>
                <w:rFonts w:ascii="Times New Roman" w:hAnsi="Times New Roman" w:cs="Times New Roman"/>
              </w:rPr>
              <w:t>s</w:t>
            </w:r>
          </w:p>
        </w:tc>
        <w:tc>
          <w:tcPr>
            <w:tcW w:w="2150" w:type="dxa"/>
          </w:tcPr>
          <w:p w14:paraId="448B058B" w14:textId="7DA87147" w:rsidR="002C2F57" w:rsidRPr="00020DFD" w:rsidRDefault="002C2F57" w:rsidP="002C2F57">
            <w:pPr>
              <w:rPr>
                <w:rFonts w:ascii="Times New Roman" w:hAnsi="Times New Roman" w:cs="Times New Roman"/>
              </w:rPr>
            </w:pPr>
            <w:r w:rsidRPr="00020DFD">
              <w:rPr>
                <w:rFonts w:ascii="Times New Roman" w:hAnsi="Times New Roman" w:cs="Times New Roman"/>
              </w:rPr>
              <w:t>Izpilda pilnībā</w:t>
            </w:r>
          </w:p>
        </w:tc>
        <w:tc>
          <w:tcPr>
            <w:tcW w:w="2247" w:type="dxa"/>
          </w:tcPr>
          <w:p w14:paraId="246081E2" w14:textId="420EAC0D" w:rsidR="002C2F57" w:rsidRPr="00020DFD" w:rsidRDefault="002C2F57" w:rsidP="002C2F57">
            <w:pPr>
              <w:rPr>
                <w:rFonts w:ascii="Times New Roman" w:hAnsi="Times New Roman" w:cs="Times New Roman"/>
              </w:rPr>
            </w:pPr>
            <w:r w:rsidRPr="00020DFD">
              <w:rPr>
                <w:rFonts w:ascii="Times New Roman" w:hAnsi="Times New Roman" w:cs="Times New Roman"/>
              </w:rPr>
              <w:t>Nē</w:t>
            </w:r>
          </w:p>
        </w:tc>
        <w:tc>
          <w:tcPr>
            <w:tcW w:w="2072" w:type="dxa"/>
          </w:tcPr>
          <w:p w14:paraId="25639385" w14:textId="47EB40EB" w:rsidR="002C2F57" w:rsidRPr="00020DFD" w:rsidRDefault="002C2F57" w:rsidP="002C2F57">
            <w:pPr>
              <w:rPr>
                <w:rFonts w:ascii="Times New Roman" w:hAnsi="Times New Roman" w:cs="Times New Roman"/>
              </w:rPr>
            </w:pPr>
            <w:r w:rsidRPr="00020DFD">
              <w:rPr>
                <w:rFonts w:ascii="Times New Roman" w:hAnsi="Times New Roman" w:cs="Times New Roman"/>
              </w:rPr>
              <w:t>Jā</w:t>
            </w:r>
          </w:p>
        </w:tc>
        <w:tc>
          <w:tcPr>
            <w:tcW w:w="2188" w:type="dxa"/>
            <w:vMerge/>
          </w:tcPr>
          <w:p w14:paraId="781F15AD" w14:textId="77777777" w:rsidR="002C2F57" w:rsidRPr="00020DFD" w:rsidRDefault="002C2F57" w:rsidP="002C2F57">
            <w:pPr>
              <w:rPr>
                <w:rFonts w:ascii="Times New Roman" w:hAnsi="Times New Roman" w:cs="Times New Roman"/>
                <w:color w:val="FF0000"/>
              </w:rPr>
            </w:pPr>
          </w:p>
        </w:tc>
      </w:tr>
    </w:tbl>
    <w:p w14:paraId="72C50611" w14:textId="77777777" w:rsidR="00EB1AF1" w:rsidRPr="00BC3ACA" w:rsidRDefault="00EB1AF1" w:rsidP="00BC3ACA">
      <w:pPr>
        <w:rPr>
          <w:rFonts w:ascii="Times New Roman" w:hAnsi="Times New Roman" w:cs="Times New Roman"/>
          <w:vanish/>
        </w:rPr>
      </w:pPr>
    </w:p>
    <w:sectPr w:rsidR="00EB1AF1" w:rsidRPr="00BC3ACA" w:rsidSect="00EB1AF1">
      <w:pgSz w:w="16838" w:h="11906" w:orient="landscape" w:code="9"/>
      <w:pgMar w:top="170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C2919" w14:textId="77777777" w:rsidR="00302044" w:rsidRDefault="00302044" w:rsidP="006C3828">
      <w:pPr>
        <w:spacing w:after="0" w:line="240" w:lineRule="auto"/>
      </w:pPr>
      <w:r>
        <w:separator/>
      </w:r>
    </w:p>
  </w:endnote>
  <w:endnote w:type="continuationSeparator" w:id="0">
    <w:p w14:paraId="2F4D84C0" w14:textId="77777777" w:rsidR="00302044" w:rsidRDefault="00302044" w:rsidP="006C3828">
      <w:pPr>
        <w:spacing w:after="0" w:line="240" w:lineRule="auto"/>
      </w:pPr>
      <w:r>
        <w:continuationSeparator/>
      </w:r>
    </w:p>
  </w:endnote>
  <w:endnote w:type="continuationNotice" w:id="1">
    <w:p w14:paraId="7F38B007" w14:textId="77777777" w:rsidR="00302044" w:rsidRDefault="003020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F212C" w14:textId="77777777" w:rsidR="00302044" w:rsidRDefault="00302044" w:rsidP="006C3828">
      <w:pPr>
        <w:spacing w:after="0" w:line="240" w:lineRule="auto"/>
      </w:pPr>
      <w:r>
        <w:separator/>
      </w:r>
    </w:p>
  </w:footnote>
  <w:footnote w:type="continuationSeparator" w:id="0">
    <w:p w14:paraId="54A7C276" w14:textId="77777777" w:rsidR="00302044" w:rsidRDefault="00302044" w:rsidP="006C3828">
      <w:pPr>
        <w:spacing w:after="0" w:line="240" w:lineRule="auto"/>
      </w:pPr>
      <w:r>
        <w:continuationSeparator/>
      </w:r>
    </w:p>
  </w:footnote>
  <w:footnote w:type="continuationNotice" w:id="1">
    <w:p w14:paraId="107A07BC" w14:textId="77777777" w:rsidR="00302044" w:rsidRDefault="003020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060B7D"/>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694FF1"/>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3"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4" w15:restartNumberingAfterBreak="0">
    <w:nsid w:val="141D5975"/>
    <w:multiLevelType w:val="hybridMultilevel"/>
    <w:tmpl w:val="3C9A70E4"/>
    <w:lvl w:ilvl="0" w:tplc="4C8028D2">
      <w:start w:val="1"/>
      <w:numFmt w:val="decimal"/>
      <w:lvlText w:val="%1)"/>
      <w:lvlJc w:val="left"/>
      <w:pPr>
        <w:ind w:left="1020" w:hanging="360"/>
      </w:pPr>
    </w:lvl>
    <w:lvl w:ilvl="1" w:tplc="49188528">
      <w:start w:val="1"/>
      <w:numFmt w:val="decimal"/>
      <w:lvlText w:val="%2)"/>
      <w:lvlJc w:val="left"/>
      <w:pPr>
        <w:ind w:left="1020" w:hanging="360"/>
      </w:pPr>
    </w:lvl>
    <w:lvl w:ilvl="2" w:tplc="F66AC66A">
      <w:start w:val="1"/>
      <w:numFmt w:val="decimal"/>
      <w:lvlText w:val="%3)"/>
      <w:lvlJc w:val="left"/>
      <w:pPr>
        <w:ind w:left="1020" w:hanging="360"/>
      </w:pPr>
    </w:lvl>
    <w:lvl w:ilvl="3" w:tplc="5AEEE304">
      <w:start w:val="1"/>
      <w:numFmt w:val="decimal"/>
      <w:lvlText w:val="%4)"/>
      <w:lvlJc w:val="left"/>
      <w:pPr>
        <w:ind w:left="1020" w:hanging="360"/>
      </w:pPr>
    </w:lvl>
    <w:lvl w:ilvl="4" w:tplc="C4047F80">
      <w:start w:val="1"/>
      <w:numFmt w:val="decimal"/>
      <w:lvlText w:val="%5)"/>
      <w:lvlJc w:val="left"/>
      <w:pPr>
        <w:ind w:left="1020" w:hanging="360"/>
      </w:pPr>
    </w:lvl>
    <w:lvl w:ilvl="5" w:tplc="EC90E0A0">
      <w:start w:val="1"/>
      <w:numFmt w:val="decimal"/>
      <w:lvlText w:val="%6)"/>
      <w:lvlJc w:val="left"/>
      <w:pPr>
        <w:ind w:left="1020" w:hanging="360"/>
      </w:pPr>
    </w:lvl>
    <w:lvl w:ilvl="6" w:tplc="D6E0F528">
      <w:start w:val="1"/>
      <w:numFmt w:val="decimal"/>
      <w:lvlText w:val="%7)"/>
      <w:lvlJc w:val="left"/>
      <w:pPr>
        <w:ind w:left="1020" w:hanging="360"/>
      </w:pPr>
    </w:lvl>
    <w:lvl w:ilvl="7" w:tplc="C950B9A6">
      <w:start w:val="1"/>
      <w:numFmt w:val="decimal"/>
      <w:lvlText w:val="%8)"/>
      <w:lvlJc w:val="left"/>
      <w:pPr>
        <w:ind w:left="1020" w:hanging="360"/>
      </w:pPr>
    </w:lvl>
    <w:lvl w:ilvl="8" w:tplc="A84ABE9E">
      <w:start w:val="1"/>
      <w:numFmt w:val="decimal"/>
      <w:lvlText w:val="%9)"/>
      <w:lvlJc w:val="left"/>
      <w:pPr>
        <w:ind w:left="1020" w:hanging="360"/>
      </w:pPr>
    </w:lvl>
  </w:abstractNum>
  <w:abstractNum w:abstractNumId="5"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6" w15:restartNumberingAfterBreak="0">
    <w:nsid w:val="17AA7E23"/>
    <w:multiLevelType w:val="hybridMultilevel"/>
    <w:tmpl w:val="94A626E8"/>
    <w:lvl w:ilvl="0" w:tplc="18C6DBDE">
      <w:start w:val="1"/>
      <w:numFmt w:val="decimal"/>
      <w:lvlText w:val="%1)"/>
      <w:lvlJc w:val="left"/>
      <w:pPr>
        <w:ind w:left="720" w:hanging="360"/>
      </w:pPr>
    </w:lvl>
    <w:lvl w:ilvl="1" w:tplc="6ACA5ADE">
      <w:start w:val="1"/>
      <w:numFmt w:val="decimal"/>
      <w:lvlText w:val="%2)"/>
      <w:lvlJc w:val="left"/>
      <w:pPr>
        <w:ind w:left="720" w:hanging="360"/>
      </w:pPr>
    </w:lvl>
    <w:lvl w:ilvl="2" w:tplc="906C05C8">
      <w:start w:val="1"/>
      <w:numFmt w:val="decimal"/>
      <w:lvlText w:val="%3)"/>
      <w:lvlJc w:val="left"/>
      <w:pPr>
        <w:ind w:left="720" w:hanging="360"/>
      </w:pPr>
    </w:lvl>
    <w:lvl w:ilvl="3" w:tplc="33EA23B4">
      <w:start w:val="1"/>
      <w:numFmt w:val="decimal"/>
      <w:lvlText w:val="%4)"/>
      <w:lvlJc w:val="left"/>
      <w:pPr>
        <w:ind w:left="720" w:hanging="360"/>
      </w:pPr>
    </w:lvl>
    <w:lvl w:ilvl="4" w:tplc="25382176">
      <w:start w:val="1"/>
      <w:numFmt w:val="decimal"/>
      <w:lvlText w:val="%5)"/>
      <w:lvlJc w:val="left"/>
      <w:pPr>
        <w:ind w:left="720" w:hanging="360"/>
      </w:pPr>
    </w:lvl>
    <w:lvl w:ilvl="5" w:tplc="FCE8D52A">
      <w:start w:val="1"/>
      <w:numFmt w:val="decimal"/>
      <w:lvlText w:val="%6)"/>
      <w:lvlJc w:val="left"/>
      <w:pPr>
        <w:ind w:left="720" w:hanging="360"/>
      </w:pPr>
    </w:lvl>
    <w:lvl w:ilvl="6" w:tplc="5DC6D354">
      <w:start w:val="1"/>
      <w:numFmt w:val="decimal"/>
      <w:lvlText w:val="%7)"/>
      <w:lvlJc w:val="left"/>
      <w:pPr>
        <w:ind w:left="720" w:hanging="360"/>
      </w:pPr>
    </w:lvl>
    <w:lvl w:ilvl="7" w:tplc="F2D44096">
      <w:start w:val="1"/>
      <w:numFmt w:val="decimal"/>
      <w:lvlText w:val="%8)"/>
      <w:lvlJc w:val="left"/>
      <w:pPr>
        <w:ind w:left="720" w:hanging="360"/>
      </w:pPr>
    </w:lvl>
    <w:lvl w:ilvl="8" w:tplc="1114A008">
      <w:start w:val="1"/>
      <w:numFmt w:val="decimal"/>
      <w:lvlText w:val="%9)"/>
      <w:lvlJc w:val="left"/>
      <w:pPr>
        <w:ind w:left="720" w:hanging="360"/>
      </w:pPr>
    </w:lvl>
  </w:abstractNum>
  <w:abstractNum w:abstractNumId="7"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39C426F"/>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9"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AB47B9A"/>
    <w:multiLevelType w:val="hybridMultilevel"/>
    <w:tmpl w:val="0CE4E52A"/>
    <w:lvl w:ilvl="0" w:tplc="144AA6C4">
      <w:start w:val="1"/>
      <w:numFmt w:val="decimal"/>
      <w:lvlText w:val="%1)"/>
      <w:lvlJc w:val="left"/>
      <w:pPr>
        <w:ind w:left="720" w:hanging="360"/>
      </w:pPr>
    </w:lvl>
    <w:lvl w:ilvl="1" w:tplc="3B42DA56">
      <w:start w:val="1"/>
      <w:numFmt w:val="decimal"/>
      <w:lvlText w:val="%2)"/>
      <w:lvlJc w:val="left"/>
      <w:pPr>
        <w:ind w:left="720" w:hanging="360"/>
      </w:pPr>
    </w:lvl>
    <w:lvl w:ilvl="2" w:tplc="CA465CE4">
      <w:start w:val="1"/>
      <w:numFmt w:val="decimal"/>
      <w:lvlText w:val="%3)"/>
      <w:lvlJc w:val="left"/>
      <w:pPr>
        <w:ind w:left="720" w:hanging="360"/>
      </w:pPr>
    </w:lvl>
    <w:lvl w:ilvl="3" w:tplc="FDC4DFF4">
      <w:start w:val="1"/>
      <w:numFmt w:val="decimal"/>
      <w:lvlText w:val="%4)"/>
      <w:lvlJc w:val="left"/>
      <w:pPr>
        <w:ind w:left="720" w:hanging="360"/>
      </w:pPr>
    </w:lvl>
    <w:lvl w:ilvl="4" w:tplc="573C18E8">
      <w:start w:val="1"/>
      <w:numFmt w:val="decimal"/>
      <w:lvlText w:val="%5)"/>
      <w:lvlJc w:val="left"/>
      <w:pPr>
        <w:ind w:left="720" w:hanging="360"/>
      </w:pPr>
    </w:lvl>
    <w:lvl w:ilvl="5" w:tplc="E7DA56DE">
      <w:start w:val="1"/>
      <w:numFmt w:val="decimal"/>
      <w:lvlText w:val="%6)"/>
      <w:lvlJc w:val="left"/>
      <w:pPr>
        <w:ind w:left="720" w:hanging="360"/>
      </w:pPr>
    </w:lvl>
    <w:lvl w:ilvl="6" w:tplc="11A40102">
      <w:start w:val="1"/>
      <w:numFmt w:val="decimal"/>
      <w:lvlText w:val="%7)"/>
      <w:lvlJc w:val="left"/>
      <w:pPr>
        <w:ind w:left="720" w:hanging="360"/>
      </w:pPr>
    </w:lvl>
    <w:lvl w:ilvl="7" w:tplc="E04436F8">
      <w:start w:val="1"/>
      <w:numFmt w:val="decimal"/>
      <w:lvlText w:val="%8)"/>
      <w:lvlJc w:val="left"/>
      <w:pPr>
        <w:ind w:left="720" w:hanging="360"/>
      </w:pPr>
    </w:lvl>
    <w:lvl w:ilvl="8" w:tplc="590467B0">
      <w:start w:val="1"/>
      <w:numFmt w:val="decimal"/>
      <w:lvlText w:val="%9)"/>
      <w:lvlJc w:val="left"/>
      <w:pPr>
        <w:ind w:left="720" w:hanging="360"/>
      </w:pPr>
    </w:lvl>
  </w:abstractNum>
  <w:abstractNum w:abstractNumId="11"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2" w15:restartNumberingAfterBreak="0">
    <w:nsid w:val="41117B1B"/>
    <w:multiLevelType w:val="hybridMultilevel"/>
    <w:tmpl w:val="F55EA68A"/>
    <w:lvl w:ilvl="0" w:tplc="29E0C50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5"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84B5DA4"/>
    <w:multiLevelType w:val="hybridMultilevel"/>
    <w:tmpl w:val="B37E840E"/>
    <w:lvl w:ilvl="0" w:tplc="631809F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CAA07DF"/>
    <w:multiLevelType w:val="hybridMultilevel"/>
    <w:tmpl w:val="6276C4D2"/>
    <w:lvl w:ilvl="0" w:tplc="2CCE5906">
      <w:start w:val="1"/>
      <w:numFmt w:val="decimal"/>
      <w:lvlText w:val="%1)"/>
      <w:lvlJc w:val="left"/>
      <w:pPr>
        <w:ind w:left="720" w:hanging="360"/>
      </w:pPr>
    </w:lvl>
    <w:lvl w:ilvl="1" w:tplc="C868FB98">
      <w:start w:val="1"/>
      <w:numFmt w:val="decimal"/>
      <w:lvlText w:val="%2)"/>
      <w:lvlJc w:val="left"/>
      <w:pPr>
        <w:ind w:left="720" w:hanging="360"/>
      </w:pPr>
    </w:lvl>
    <w:lvl w:ilvl="2" w:tplc="8CFE5FA2">
      <w:start w:val="1"/>
      <w:numFmt w:val="decimal"/>
      <w:lvlText w:val="%3)"/>
      <w:lvlJc w:val="left"/>
      <w:pPr>
        <w:ind w:left="720" w:hanging="360"/>
      </w:pPr>
    </w:lvl>
    <w:lvl w:ilvl="3" w:tplc="27C62E9E">
      <w:start w:val="1"/>
      <w:numFmt w:val="decimal"/>
      <w:lvlText w:val="%4)"/>
      <w:lvlJc w:val="left"/>
      <w:pPr>
        <w:ind w:left="720" w:hanging="360"/>
      </w:pPr>
    </w:lvl>
    <w:lvl w:ilvl="4" w:tplc="B322A0CE">
      <w:start w:val="1"/>
      <w:numFmt w:val="decimal"/>
      <w:lvlText w:val="%5)"/>
      <w:lvlJc w:val="left"/>
      <w:pPr>
        <w:ind w:left="720" w:hanging="360"/>
      </w:pPr>
    </w:lvl>
    <w:lvl w:ilvl="5" w:tplc="AC002214">
      <w:start w:val="1"/>
      <w:numFmt w:val="decimal"/>
      <w:lvlText w:val="%6)"/>
      <w:lvlJc w:val="left"/>
      <w:pPr>
        <w:ind w:left="720" w:hanging="360"/>
      </w:pPr>
    </w:lvl>
    <w:lvl w:ilvl="6" w:tplc="A666127E">
      <w:start w:val="1"/>
      <w:numFmt w:val="decimal"/>
      <w:lvlText w:val="%7)"/>
      <w:lvlJc w:val="left"/>
      <w:pPr>
        <w:ind w:left="720" w:hanging="360"/>
      </w:pPr>
    </w:lvl>
    <w:lvl w:ilvl="7" w:tplc="EA4850EE">
      <w:start w:val="1"/>
      <w:numFmt w:val="decimal"/>
      <w:lvlText w:val="%8)"/>
      <w:lvlJc w:val="left"/>
      <w:pPr>
        <w:ind w:left="720" w:hanging="360"/>
      </w:pPr>
    </w:lvl>
    <w:lvl w:ilvl="8" w:tplc="4C1E8CE4">
      <w:start w:val="1"/>
      <w:numFmt w:val="decimal"/>
      <w:lvlText w:val="%9)"/>
      <w:lvlJc w:val="left"/>
      <w:pPr>
        <w:ind w:left="720" w:hanging="360"/>
      </w:pPr>
    </w:lvl>
  </w:abstractNum>
  <w:num w:numId="1" w16cid:durableId="133988287">
    <w:abstractNumId w:val="9"/>
  </w:num>
  <w:num w:numId="2" w16cid:durableId="66001806">
    <w:abstractNumId w:val="0"/>
  </w:num>
  <w:num w:numId="3" w16cid:durableId="1474834947">
    <w:abstractNumId w:val="15"/>
  </w:num>
  <w:num w:numId="4" w16cid:durableId="995378933">
    <w:abstractNumId w:val="14"/>
  </w:num>
  <w:num w:numId="5" w16cid:durableId="610938957">
    <w:abstractNumId w:val="3"/>
  </w:num>
  <w:num w:numId="6" w16cid:durableId="1992098003">
    <w:abstractNumId w:val="7"/>
  </w:num>
  <w:num w:numId="7" w16cid:durableId="1446123305">
    <w:abstractNumId w:val="11"/>
  </w:num>
  <w:num w:numId="8" w16cid:durableId="2020306951">
    <w:abstractNumId w:val="5"/>
  </w:num>
  <w:num w:numId="9" w16cid:durableId="1794595051">
    <w:abstractNumId w:val="8"/>
  </w:num>
  <w:num w:numId="10" w16cid:durableId="346904055">
    <w:abstractNumId w:val="2"/>
  </w:num>
  <w:num w:numId="11" w16cid:durableId="765492621">
    <w:abstractNumId w:val="13"/>
  </w:num>
  <w:num w:numId="12" w16cid:durableId="1895777759">
    <w:abstractNumId w:val="1"/>
  </w:num>
  <w:num w:numId="13" w16cid:durableId="456877537">
    <w:abstractNumId w:val="4"/>
  </w:num>
  <w:num w:numId="14" w16cid:durableId="2138447602">
    <w:abstractNumId w:val="6"/>
  </w:num>
  <w:num w:numId="15" w16cid:durableId="1042943028">
    <w:abstractNumId w:val="17"/>
  </w:num>
  <w:num w:numId="16" w16cid:durableId="431557341">
    <w:abstractNumId w:val="10"/>
  </w:num>
  <w:num w:numId="17" w16cid:durableId="597106636">
    <w:abstractNumId w:val="12"/>
  </w:num>
  <w:num w:numId="18" w16cid:durableId="400538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BA7"/>
    <w:rsid w:val="00001188"/>
    <w:rsid w:val="0000285F"/>
    <w:rsid w:val="00002BCB"/>
    <w:rsid w:val="000033A4"/>
    <w:rsid w:val="00004EC0"/>
    <w:rsid w:val="00005CBA"/>
    <w:rsid w:val="00007625"/>
    <w:rsid w:val="00011527"/>
    <w:rsid w:val="0001158A"/>
    <w:rsid w:val="00011E6A"/>
    <w:rsid w:val="000128D4"/>
    <w:rsid w:val="00013F7A"/>
    <w:rsid w:val="00015F04"/>
    <w:rsid w:val="00016559"/>
    <w:rsid w:val="00016CFF"/>
    <w:rsid w:val="000175B3"/>
    <w:rsid w:val="00017EBF"/>
    <w:rsid w:val="000200B1"/>
    <w:rsid w:val="00020DFD"/>
    <w:rsid w:val="00020E1E"/>
    <w:rsid w:val="00022061"/>
    <w:rsid w:val="00023845"/>
    <w:rsid w:val="00023D0D"/>
    <w:rsid w:val="00025657"/>
    <w:rsid w:val="00026635"/>
    <w:rsid w:val="00026C7F"/>
    <w:rsid w:val="00031030"/>
    <w:rsid w:val="000346F9"/>
    <w:rsid w:val="00043BB1"/>
    <w:rsid w:val="00044039"/>
    <w:rsid w:val="000457D9"/>
    <w:rsid w:val="000460F0"/>
    <w:rsid w:val="00046130"/>
    <w:rsid w:val="00046B32"/>
    <w:rsid w:val="00051FF1"/>
    <w:rsid w:val="00052017"/>
    <w:rsid w:val="000546BD"/>
    <w:rsid w:val="00055599"/>
    <w:rsid w:val="000569F4"/>
    <w:rsid w:val="00056B91"/>
    <w:rsid w:val="0005752D"/>
    <w:rsid w:val="000651A4"/>
    <w:rsid w:val="00070B88"/>
    <w:rsid w:val="00071E26"/>
    <w:rsid w:val="0007692E"/>
    <w:rsid w:val="00086723"/>
    <w:rsid w:val="000916EA"/>
    <w:rsid w:val="00092609"/>
    <w:rsid w:val="00097B89"/>
    <w:rsid w:val="000A05AA"/>
    <w:rsid w:val="000A1E24"/>
    <w:rsid w:val="000A2048"/>
    <w:rsid w:val="000A2071"/>
    <w:rsid w:val="000A2BA1"/>
    <w:rsid w:val="000B27B4"/>
    <w:rsid w:val="000B6C81"/>
    <w:rsid w:val="000C0126"/>
    <w:rsid w:val="000C0D4C"/>
    <w:rsid w:val="000C158C"/>
    <w:rsid w:val="000C2B69"/>
    <w:rsid w:val="000D4CBC"/>
    <w:rsid w:val="000E0577"/>
    <w:rsid w:val="000E346A"/>
    <w:rsid w:val="000E3AFF"/>
    <w:rsid w:val="000E3D67"/>
    <w:rsid w:val="000F0ED6"/>
    <w:rsid w:val="000F3ABE"/>
    <w:rsid w:val="000F4375"/>
    <w:rsid w:val="000F5E18"/>
    <w:rsid w:val="000F7131"/>
    <w:rsid w:val="000F7294"/>
    <w:rsid w:val="00100804"/>
    <w:rsid w:val="00100870"/>
    <w:rsid w:val="00100B55"/>
    <w:rsid w:val="0010366B"/>
    <w:rsid w:val="001038B2"/>
    <w:rsid w:val="00105FBE"/>
    <w:rsid w:val="0011062E"/>
    <w:rsid w:val="00110805"/>
    <w:rsid w:val="00110D41"/>
    <w:rsid w:val="001120C9"/>
    <w:rsid w:val="00112DC9"/>
    <w:rsid w:val="00113EDF"/>
    <w:rsid w:val="00114B2A"/>
    <w:rsid w:val="001215E9"/>
    <w:rsid w:val="00123B5A"/>
    <w:rsid w:val="001241E7"/>
    <w:rsid w:val="00131096"/>
    <w:rsid w:val="00132833"/>
    <w:rsid w:val="00132B20"/>
    <w:rsid w:val="00133AA4"/>
    <w:rsid w:val="00133DD1"/>
    <w:rsid w:val="00141AB9"/>
    <w:rsid w:val="00141F7E"/>
    <w:rsid w:val="001423DB"/>
    <w:rsid w:val="00142EAE"/>
    <w:rsid w:val="0015034B"/>
    <w:rsid w:val="0015193A"/>
    <w:rsid w:val="00155273"/>
    <w:rsid w:val="00160409"/>
    <w:rsid w:val="0016071E"/>
    <w:rsid w:val="001619B2"/>
    <w:rsid w:val="00164E1A"/>
    <w:rsid w:val="00167CDF"/>
    <w:rsid w:val="0017269A"/>
    <w:rsid w:val="00172B56"/>
    <w:rsid w:val="0017710C"/>
    <w:rsid w:val="00193502"/>
    <w:rsid w:val="001A0DD7"/>
    <w:rsid w:val="001A247C"/>
    <w:rsid w:val="001B08A2"/>
    <w:rsid w:val="001B4086"/>
    <w:rsid w:val="001B6287"/>
    <w:rsid w:val="001B7557"/>
    <w:rsid w:val="001C4B26"/>
    <w:rsid w:val="001C51F0"/>
    <w:rsid w:val="001C6278"/>
    <w:rsid w:val="001D0A40"/>
    <w:rsid w:val="001D12DE"/>
    <w:rsid w:val="001D15F6"/>
    <w:rsid w:val="001D3420"/>
    <w:rsid w:val="001D5A9C"/>
    <w:rsid w:val="001E22CE"/>
    <w:rsid w:val="001E2E7A"/>
    <w:rsid w:val="001E3896"/>
    <w:rsid w:val="001E5AFF"/>
    <w:rsid w:val="001E715B"/>
    <w:rsid w:val="001E718D"/>
    <w:rsid w:val="001E7AF1"/>
    <w:rsid w:val="001E7E15"/>
    <w:rsid w:val="001F069D"/>
    <w:rsid w:val="001F4690"/>
    <w:rsid w:val="001F55A2"/>
    <w:rsid w:val="001F6F78"/>
    <w:rsid w:val="001F7C31"/>
    <w:rsid w:val="00201593"/>
    <w:rsid w:val="00202AFF"/>
    <w:rsid w:val="00207DA3"/>
    <w:rsid w:val="00211446"/>
    <w:rsid w:val="002134DD"/>
    <w:rsid w:val="00214E91"/>
    <w:rsid w:val="0021534E"/>
    <w:rsid w:val="00216A79"/>
    <w:rsid w:val="00220CBD"/>
    <w:rsid w:val="0022224A"/>
    <w:rsid w:val="00226480"/>
    <w:rsid w:val="00227386"/>
    <w:rsid w:val="00230BAF"/>
    <w:rsid w:val="0023330A"/>
    <w:rsid w:val="002359D1"/>
    <w:rsid w:val="00237A0A"/>
    <w:rsid w:val="00245C21"/>
    <w:rsid w:val="002522C7"/>
    <w:rsid w:val="00253E4A"/>
    <w:rsid w:val="002541C0"/>
    <w:rsid w:val="00254EC0"/>
    <w:rsid w:val="00257CA0"/>
    <w:rsid w:val="00260DAC"/>
    <w:rsid w:val="00260E91"/>
    <w:rsid w:val="00261400"/>
    <w:rsid w:val="00262330"/>
    <w:rsid w:val="0026278A"/>
    <w:rsid w:val="00263BDB"/>
    <w:rsid w:val="00264914"/>
    <w:rsid w:val="002764BE"/>
    <w:rsid w:val="00276C94"/>
    <w:rsid w:val="00280000"/>
    <w:rsid w:val="002821EA"/>
    <w:rsid w:val="00282638"/>
    <w:rsid w:val="00284D38"/>
    <w:rsid w:val="002855C4"/>
    <w:rsid w:val="00286B90"/>
    <w:rsid w:val="0028721D"/>
    <w:rsid w:val="00296A1E"/>
    <w:rsid w:val="00296D06"/>
    <w:rsid w:val="00297444"/>
    <w:rsid w:val="002A1170"/>
    <w:rsid w:val="002A5ED4"/>
    <w:rsid w:val="002A7436"/>
    <w:rsid w:val="002A7D54"/>
    <w:rsid w:val="002B382B"/>
    <w:rsid w:val="002B3947"/>
    <w:rsid w:val="002C058B"/>
    <w:rsid w:val="002C0712"/>
    <w:rsid w:val="002C10BB"/>
    <w:rsid w:val="002C2A7E"/>
    <w:rsid w:val="002C2F57"/>
    <w:rsid w:val="002C3E3C"/>
    <w:rsid w:val="002C409A"/>
    <w:rsid w:val="002D079E"/>
    <w:rsid w:val="002D17C7"/>
    <w:rsid w:val="002D62BB"/>
    <w:rsid w:val="002D6C64"/>
    <w:rsid w:val="002D7927"/>
    <w:rsid w:val="002D7C78"/>
    <w:rsid w:val="002E2076"/>
    <w:rsid w:val="002E5728"/>
    <w:rsid w:val="002E6B3F"/>
    <w:rsid w:val="002F30E4"/>
    <w:rsid w:val="002F607C"/>
    <w:rsid w:val="002F6857"/>
    <w:rsid w:val="002F77FB"/>
    <w:rsid w:val="00302044"/>
    <w:rsid w:val="00304483"/>
    <w:rsid w:val="00306230"/>
    <w:rsid w:val="00306672"/>
    <w:rsid w:val="0030716B"/>
    <w:rsid w:val="00310C59"/>
    <w:rsid w:val="00310EDD"/>
    <w:rsid w:val="003134F1"/>
    <w:rsid w:val="0032056E"/>
    <w:rsid w:val="0032076B"/>
    <w:rsid w:val="00321D05"/>
    <w:rsid w:val="003231B3"/>
    <w:rsid w:val="00326362"/>
    <w:rsid w:val="00331BC3"/>
    <w:rsid w:val="0033661A"/>
    <w:rsid w:val="00337727"/>
    <w:rsid w:val="00341646"/>
    <w:rsid w:val="00342AF3"/>
    <w:rsid w:val="003447BE"/>
    <w:rsid w:val="00355FC3"/>
    <w:rsid w:val="003568B0"/>
    <w:rsid w:val="0035787E"/>
    <w:rsid w:val="00361230"/>
    <w:rsid w:val="00366E75"/>
    <w:rsid w:val="0037089C"/>
    <w:rsid w:val="00370DA6"/>
    <w:rsid w:val="00374AC8"/>
    <w:rsid w:val="00376741"/>
    <w:rsid w:val="0038189C"/>
    <w:rsid w:val="003852A8"/>
    <w:rsid w:val="00386D44"/>
    <w:rsid w:val="00393061"/>
    <w:rsid w:val="003930E2"/>
    <w:rsid w:val="00393872"/>
    <w:rsid w:val="0039616A"/>
    <w:rsid w:val="003978C0"/>
    <w:rsid w:val="003A1DB0"/>
    <w:rsid w:val="003A3DAC"/>
    <w:rsid w:val="003A5B12"/>
    <w:rsid w:val="003A6361"/>
    <w:rsid w:val="003B25C0"/>
    <w:rsid w:val="003C08FF"/>
    <w:rsid w:val="003C3E41"/>
    <w:rsid w:val="003C653B"/>
    <w:rsid w:val="003C6E18"/>
    <w:rsid w:val="003D0393"/>
    <w:rsid w:val="003D2EFB"/>
    <w:rsid w:val="003D5703"/>
    <w:rsid w:val="003D6EDD"/>
    <w:rsid w:val="003E05FB"/>
    <w:rsid w:val="003E30DC"/>
    <w:rsid w:val="003E7A38"/>
    <w:rsid w:val="003F3117"/>
    <w:rsid w:val="003F4CCA"/>
    <w:rsid w:val="003F511D"/>
    <w:rsid w:val="003F6C76"/>
    <w:rsid w:val="003F7A1F"/>
    <w:rsid w:val="003F7DD0"/>
    <w:rsid w:val="00402381"/>
    <w:rsid w:val="004047DC"/>
    <w:rsid w:val="00406646"/>
    <w:rsid w:val="004069D7"/>
    <w:rsid w:val="004128FB"/>
    <w:rsid w:val="00415E32"/>
    <w:rsid w:val="00415F0F"/>
    <w:rsid w:val="00417B47"/>
    <w:rsid w:val="00420E5E"/>
    <w:rsid w:val="004228C1"/>
    <w:rsid w:val="00424089"/>
    <w:rsid w:val="00425111"/>
    <w:rsid w:val="00427EFC"/>
    <w:rsid w:val="0043124D"/>
    <w:rsid w:val="00440995"/>
    <w:rsid w:val="00441AF9"/>
    <w:rsid w:val="004457B0"/>
    <w:rsid w:val="00446BF4"/>
    <w:rsid w:val="00447D0E"/>
    <w:rsid w:val="00450D45"/>
    <w:rsid w:val="0045291E"/>
    <w:rsid w:val="00452E47"/>
    <w:rsid w:val="0045317F"/>
    <w:rsid w:val="00453F22"/>
    <w:rsid w:val="004544FD"/>
    <w:rsid w:val="00455CD2"/>
    <w:rsid w:val="004568CB"/>
    <w:rsid w:val="004607F0"/>
    <w:rsid w:val="00460E2E"/>
    <w:rsid w:val="00465594"/>
    <w:rsid w:val="004712F1"/>
    <w:rsid w:val="0047310B"/>
    <w:rsid w:val="00482DA3"/>
    <w:rsid w:val="00483980"/>
    <w:rsid w:val="00484062"/>
    <w:rsid w:val="00484BD5"/>
    <w:rsid w:val="00484CFB"/>
    <w:rsid w:val="0048525E"/>
    <w:rsid w:val="004865FD"/>
    <w:rsid w:val="004920FA"/>
    <w:rsid w:val="00492A77"/>
    <w:rsid w:val="00496BCF"/>
    <w:rsid w:val="00497C64"/>
    <w:rsid w:val="004A1DC3"/>
    <w:rsid w:val="004A2553"/>
    <w:rsid w:val="004A54B4"/>
    <w:rsid w:val="004B1143"/>
    <w:rsid w:val="004B32A2"/>
    <w:rsid w:val="004B5964"/>
    <w:rsid w:val="004B6ED3"/>
    <w:rsid w:val="004C112D"/>
    <w:rsid w:val="004C20DA"/>
    <w:rsid w:val="004C233F"/>
    <w:rsid w:val="004C2AB3"/>
    <w:rsid w:val="004C4E47"/>
    <w:rsid w:val="004D0490"/>
    <w:rsid w:val="004D25FC"/>
    <w:rsid w:val="004D40FF"/>
    <w:rsid w:val="004D5195"/>
    <w:rsid w:val="004D5704"/>
    <w:rsid w:val="004E28AA"/>
    <w:rsid w:val="004E4E86"/>
    <w:rsid w:val="004E63B7"/>
    <w:rsid w:val="004E6BCE"/>
    <w:rsid w:val="004F01AD"/>
    <w:rsid w:val="004F02A7"/>
    <w:rsid w:val="004F2CCA"/>
    <w:rsid w:val="004F3B9D"/>
    <w:rsid w:val="004F3EC2"/>
    <w:rsid w:val="004F5048"/>
    <w:rsid w:val="004F5B9C"/>
    <w:rsid w:val="004F7AA5"/>
    <w:rsid w:val="005005A6"/>
    <w:rsid w:val="00500796"/>
    <w:rsid w:val="00501AD1"/>
    <w:rsid w:val="005079B0"/>
    <w:rsid w:val="00511299"/>
    <w:rsid w:val="00511740"/>
    <w:rsid w:val="00513095"/>
    <w:rsid w:val="005167A1"/>
    <w:rsid w:val="00516ADD"/>
    <w:rsid w:val="0051732B"/>
    <w:rsid w:val="00517E8B"/>
    <w:rsid w:val="0052442B"/>
    <w:rsid w:val="0052647A"/>
    <w:rsid w:val="00526DB7"/>
    <w:rsid w:val="00530FE0"/>
    <w:rsid w:val="005329F4"/>
    <w:rsid w:val="005333C9"/>
    <w:rsid w:val="00533B01"/>
    <w:rsid w:val="00533B50"/>
    <w:rsid w:val="00535960"/>
    <w:rsid w:val="00541ECF"/>
    <w:rsid w:val="00545CC7"/>
    <w:rsid w:val="0055074B"/>
    <w:rsid w:val="0055241A"/>
    <w:rsid w:val="00554136"/>
    <w:rsid w:val="005554D7"/>
    <w:rsid w:val="00556D06"/>
    <w:rsid w:val="0056079C"/>
    <w:rsid w:val="005619C0"/>
    <w:rsid w:val="00561BA6"/>
    <w:rsid w:val="00561E86"/>
    <w:rsid w:val="00563287"/>
    <w:rsid w:val="00563D38"/>
    <w:rsid w:val="00567A9C"/>
    <w:rsid w:val="00570818"/>
    <w:rsid w:val="00581381"/>
    <w:rsid w:val="00583F25"/>
    <w:rsid w:val="0058754A"/>
    <w:rsid w:val="00591CBF"/>
    <w:rsid w:val="00593355"/>
    <w:rsid w:val="0059483B"/>
    <w:rsid w:val="005970F5"/>
    <w:rsid w:val="005A4392"/>
    <w:rsid w:val="005A4DDD"/>
    <w:rsid w:val="005B204A"/>
    <w:rsid w:val="005B26BA"/>
    <w:rsid w:val="005B36FC"/>
    <w:rsid w:val="005B7ED8"/>
    <w:rsid w:val="005C1E39"/>
    <w:rsid w:val="005C49E0"/>
    <w:rsid w:val="005C6BEA"/>
    <w:rsid w:val="005D0C40"/>
    <w:rsid w:val="005D36EC"/>
    <w:rsid w:val="005D4827"/>
    <w:rsid w:val="005D6FC6"/>
    <w:rsid w:val="005D793C"/>
    <w:rsid w:val="005E1DBA"/>
    <w:rsid w:val="005E2A59"/>
    <w:rsid w:val="005E3382"/>
    <w:rsid w:val="005E3DF1"/>
    <w:rsid w:val="005F06B9"/>
    <w:rsid w:val="005F0919"/>
    <w:rsid w:val="005F10BB"/>
    <w:rsid w:val="005F4ECC"/>
    <w:rsid w:val="005F58E8"/>
    <w:rsid w:val="005F660A"/>
    <w:rsid w:val="005F67CC"/>
    <w:rsid w:val="005F7915"/>
    <w:rsid w:val="00602888"/>
    <w:rsid w:val="006031AE"/>
    <w:rsid w:val="006055D6"/>
    <w:rsid w:val="006064AD"/>
    <w:rsid w:val="0060758F"/>
    <w:rsid w:val="0061086B"/>
    <w:rsid w:val="00613D58"/>
    <w:rsid w:val="00614C56"/>
    <w:rsid w:val="00616B90"/>
    <w:rsid w:val="00616F84"/>
    <w:rsid w:val="006170AC"/>
    <w:rsid w:val="006218CC"/>
    <w:rsid w:val="00621F4F"/>
    <w:rsid w:val="00624231"/>
    <w:rsid w:val="006248DB"/>
    <w:rsid w:val="00631E97"/>
    <w:rsid w:val="00634938"/>
    <w:rsid w:val="0063542F"/>
    <w:rsid w:val="00643F90"/>
    <w:rsid w:val="00646AD1"/>
    <w:rsid w:val="0065104E"/>
    <w:rsid w:val="006570A1"/>
    <w:rsid w:val="00660A87"/>
    <w:rsid w:val="00660BB1"/>
    <w:rsid w:val="00660F6C"/>
    <w:rsid w:val="00661EC6"/>
    <w:rsid w:val="00662AB8"/>
    <w:rsid w:val="00664457"/>
    <w:rsid w:val="00671872"/>
    <w:rsid w:val="00680242"/>
    <w:rsid w:val="00680366"/>
    <w:rsid w:val="00681748"/>
    <w:rsid w:val="00682971"/>
    <w:rsid w:val="0068362A"/>
    <w:rsid w:val="00685523"/>
    <w:rsid w:val="00690481"/>
    <w:rsid w:val="0069208D"/>
    <w:rsid w:val="00697973"/>
    <w:rsid w:val="006A1E74"/>
    <w:rsid w:val="006A2A11"/>
    <w:rsid w:val="006A4A2E"/>
    <w:rsid w:val="006A4D71"/>
    <w:rsid w:val="006A5053"/>
    <w:rsid w:val="006B2A55"/>
    <w:rsid w:val="006B2FDB"/>
    <w:rsid w:val="006B3421"/>
    <w:rsid w:val="006B461C"/>
    <w:rsid w:val="006B4F70"/>
    <w:rsid w:val="006C3828"/>
    <w:rsid w:val="006C429D"/>
    <w:rsid w:val="006C5842"/>
    <w:rsid w:val="006C72AD"/>
    <w:rsid w:val="006D0296"/>
    <w:rsid w:val="006D0D37"/>
    <w:rsid w:val="006D1B49"/>
    <w:rsid w:val="006D2A84"/>
    <w:rsid w:val="006D5A35"/>
    <w:rsid w:val="006E1FF9"/>
    <w:rsid w:val="006E334C"/>
    <w:rsid w:val="006F2A9E"/>
    <w:rsid w:val="006F7B9A"/>
    <w:rsid w:val="00700888"/>
    <w:rsid w:val="007021CC"/>
    <w:rsid w:val="00703F68"/>
    <w:rsid w:val="0070644E"/>
    <w:rsid w:val="0071033A"/>
    <w:rsid w:val="0071379D"/>
    <w:rsid w:val="007218F1"/>
    <w:rsid w:val="007223D9"/>
    <w:rsid w:val="00722DEF"/>
    <w:rsid w:val="00732243"/>
    <w:rsid w:val="00733330"/>
    <w:rsid w:val="007357DC"/>
    <w:rsid w:val="00737E9C"/>
    <w:rsid w:val="00740596"/>
    <w:rsid w:val="00742F43"/>
    <w:rsid w:val="00745442"/>
    <w:rsid w:val="00746B48"/>
    <w:rsid w:val="007471E3"/>
    <w:rsid w:val="0074791A"/>
    <w:rsid w:val="00753DC0"/>
    <w:rsid w:val="0075531E"/>
    <w:rsid w:val="00757B75"/>
    <w:rsid w:val="007676EA"/>
    <w:rsid w:val="00767878"/>
    <w:rsid w:val="00773EED"/>
    <w:rsid w:val="007816B1"/>
    <w:rsid w:val="00781A3E"/>
    <w:rsid w:val="00786161"/>
    <w:rsid w:val="00790887"/>
    <w:rsid w:val="00792ADE"/>
    <w:rsid w:val="00794470"/>
    <w:rsid w:val="00794EAF"/>
    <w:rsid w:val="0079577C"/>
    <w:rsid w:val="00796745"/>
    <w:rsid w:val="007B13FC"/>
    <w:rsid w:val="007B15A3"/>
    <w:rsid w:val="007B1B00"/>
    <w:rsid w:val="007B2A2B"/>
    <w:rsid w:val="007B315A"/>
    <w:rsid w:val="007B3509"/>
    <w:rsid w:val="007B49FC"/>
    <w:rsid w:val="007B75B9"/>
    <w:rsid w:val="007B7B16"/>
    <w:rsid w:val="007B7C21"/>
    <w:rsid w:val="007C300A"/>
    <w:rsid w:val="007C7D57"/>
    <w:rsid w:val="007D1EBF"/>
    <w:rsid w:val="007D223B"/>
    <w:rsid w:val="007D3112"/>
    <w:rsid w:val="007D4BE3"/>
    <w:rsid w:val="007D649F"/>
    <w:rsid w:val="007D7DBA"/>
    <w:rsid w:val="007E0362"/>
    <w:rsid w:val="007E0BD3"/>
    <w:rsid w:val="007E125A"/>
    <w:rsid w:val="007E378B"/>
    <w:rsid w:val="007E3AB6"/>
    <w:rsid w:val="007E4051"/>
    <w:rsid w:val="007E452C"/>
    <w:rsid w:val="007E520B"/>
    <w:rsid w:val="007F1630"/>
    <w:rsid w:val="007F1C0E"/>
    <w:rsid w:val="007F1C71"/>
    <w:rsid w:val="007F2955"/>
    <w:rsid w:val="007F2988"/>
    <w:rsid w:val="007F4A53"/>
    <w:rsid w:val="007F4D10"/>
    <w:rsid w:val="007F72B4"/>
    <w:rsid w:val="008013D2"/>
    <w:rsid w:val="008014BA"/>
    <w:rsid w:val="00804C24"/>
    <w:rsid w:val="00812050"/>
    <w:rsid w:val="008141E0"/>
    <w:rsid w:val="00817DDC"/>
    <w:rsid w:val="0082342F"/>
    <w:rsid w:val="0082704A"/>
    <w:rsid w:val="00830973"/>
    <w:rsid w:val="00830C70"/>
    <w:rsid w:val="00831F05"/>
    <w:rsid w:val="008342B7"/>
    <w:rsid w:val="008347DA"/>
    <w:rsid w:val="008354FA"/>
    <w:rsid w:val="0083648E"/>
    <w:rsid w:val="00837B55"/>
    <w:rsid w:val="00841A2A"/>
    <w:rsid w:val="00842DAA"/>
    <w:rsid w:val="008433D4"/>
    <w:rsid w:val="008471F6"/>
    <w:rsid w:val="00854255"/>
    <w:rsid w:val="0086087C"/>
    <w:rsid w:val="00861FCB"/>
    <w:rsid w:val="0086200A"/>
    <w:rsid w:val="0086312A"/>
    <w:rsid w:val="00863C7B"/>
    <w:rsid w:val="008730EE"/>
    <w:rsid w:val="00873448"/>
    <w:rsid w:val="00873B9E"/>
    <w:rsid w:val="00875B38"/>
    <w:rsid w:val="00875D2F"/>
    <w:rsid w:val="008778BB"/>
    <w:rsid w:val="00880843"/>
    <w:rsid w:val="008812FC"/>
    <w:rsid w:val="0088143D"/>
    <w:rsid w:val="00881F26"/>
    <w:rsid w:val="00882736"/>
    <w:rsid w:val="00883EEF"/>
    <w:rsid w:val="00887CBC"/>
    <w:rsid w:val="008929B8"/>
    <w:rsid w:val="00894480"/>
    <w:rsid w:val="00894D21"/>
    <w:rsid w:val="00895104"/>
    <w:rsid w:val="00896DBD"/>
    <w:rsid w:val="00897948"/>
    <w:rsid w:val="00897A62"/>
    <w:rsid w:val="00897CC6"/>
    <w:rsid w:val="008A2C37"/>
    <w:rsid w:val="008A2EA8"/>
    <w:rsid w:val="008A3468"/>
    <w:rsid w:val="008A3794"/>
    <w:rsid w:val="008A483B"/>
    <w:rsid w:val="008A4936"/>
    <w:rsid w:val="008A5438"/>
    <w:rsid w:val="008B0683"/>
    <w:rsid w:val="008B090E"/>
    <w:rsid w:val="008B1929"/>
    <w:rsid w:val="008B3C23"/>
    <w:rsid w:val="008B6A17"/>
    <w:rsid w:val="008B702A"/>
    <w:rsid w:val="008C6EEC"/>
    <w:rsid w:val="008D0C1B"/>
    <w:rsid w:val="008D0DC2"/>
    <w:rsid w:val="008D482B"/>
    <w:rsid w:val="008D58BD"/>
    <w:rsid w:val="008D61BF"/>
    <w:rsid w:val="008E1212"/>
    <w:rsid w:val="008F00A7"/>
    <w:rsid w:val="008F1372"/>
    <w:rsid w:val="008F1F8A"/>
    <w:rsid w:val="008F3EAD"/>
    <w:rsid w:val="008F729E"/>
    <w:rsid w:val="00901061"/>
    <w:rsid w:val="0090117F"/>
    <w:rsid w:val="0090232B"/>
    <w:rsid w:val="00907E79"/>
    <w:rsid w:val="00913A06"/>
    <w:rsid w:val="00914860"/>
    <w:rsid w:val="00916EC1"/>
    <w:rsid w:val="00921630"/>
    <w:rsid w:val="0092266E"/>
    <w:rsid w:val="009226BF"/>
    <w:rsid w:val="00922B4A"/>
    <w:rsid w:val="00923BE4"/>
    <w:rsid w:val="009251BA"/>
    <w:rsid w:val="0093282C"/>
    <w:rsid w:val="00933239"/>
    <w:rsid w:val="00934E6C"/>
    <w:rsid w:val="00951C31"/>
    <w:rsid w:val="00953037"/>
    <w:rsid w:val="00954C36"/>
    <w:rsid w:val="00955419"/>
    <w:rsid w:val="009607EA"/>
    <w:rsid w:val="0096545F"/>
    <w:rsid w:val="00965525"/>
    <w:rsid w:val="00972EE3"/>
    <w:rsid w:val="009741B3"/>
    <w:rsid w:val="00974CF6"/>
    <w:rsid w:val="0097512B"/>
    <w:rsid w:val="00975C81"/>
    <w:rsid w:val="00976833"/>
    <w:rsid w:val="0098127D"/>
    <w:rsid w:val="00986340"/>
    <w:rsid w:val="00987457"/>
    <w:rsid w:val="0099023D"/>
    <w:rsid w:val="00990C7D"/>
    <w:rsid w:val="00993856"/>
    <w:rsid w:val="009A1427"/>
    <w:rsid w:val="009A2505"/>
    <w:rsid w:val="009A27C5"/>
    <w:rsid w:val="009B1E0B"/>
    <w:rsid w:val="009B2131"/>
    <w:rsid w:val="009C3E75"/>
    <w:rsid w:val="009D0104"/>
    <w:rsid w:val="009D13B7"/>
    <w:rsid w:val="009D2D30"/>
    <w:rsid w:val="009D4488"/>
    <w:rsid w:val="009D787C"/>
    <w:rsid w:val="009D799F"/>
    <w:rsid w:val="009E3C28"/>
    <w:rsid w:val="009E4874"/>
    <w:rsid w:val="009E7B0E"/>
    <w:rsid w:val="009F4C41"/>
    <w:rsid w:val="009F4DED"/>
    <w:rsid w:val="009F58E5"/>
    <w:rsid w:val="009F5C3A"/>
    <w:rsid w:val="009F6E05"/>
    <w:rsid w:val="00A00FBA"/>
    <w:rsid w:val="00A01B51"/>
    <w:rsid w:val="00A02D03"/>
    <w:rsid w:val="00A031C6"/>
    <w:rsid w:val="00A0462E"/>
    <w:rsid w:val="00A0499D"/>
    <w:rsid w:val="00A04E33"/>
    <w:rsid w:val="00A06E04"/>
    <w:rsid w:val="00A07E5B"/>
    <w:rsid w:val="00A07F57"/>
    <w:rsid w:val="00A11613"/>
    <w:rsid w:val="00A15A9A"/>
    <w:rsid w:val="00A21EFE"/>
    <w:rsid w:val="00A222EC"/>
    <w:rsid w:val="00A223D6"/>
    <w:rsid w:val="00A31765"/>
    <w:rsid w:val="00A34D9A"/>
    <w:rsid w:val="00A35B78"/>
    <w:rsid w:val="00A35C14"/>
    <w:rsid w:val="00A37114"/>
    <w:rsid w:val="00A372E9"/>
    <w:rsid w:val="00A413F5"/>
    <w:rsid w:val="00A428D2"/>
    <w:rsid w:val="00A443D9"/>
    <w:rsid w:val="00A44A82"/>
    <w:rsid w:val="00A4569C"/>
    <w:rsid w:val="00A47EB1"/>
    <w:rsid w:val="00A50F6C"/>
    <w:rsid w:val="00A54733"/>
    <w:rsid w:val="00A56648"/>
    <w:rsid w:val="00A62B63"/>
    <w:rsid w:val="00A63DC8"/>
    <w:rsid w:val="00A64349"/>
    <w:rsid w:val="00A64762"/>
    <w:rsid w:val="00A66566"/>
    <w:rsid w:val="00A66EEF"/>
    <w:rsid w:val="00A673F4"/>
    <w:rsid w:val="00A718AE"/>
    <w:rsid w:val="00A74D53"/>
    <w:rsid w:val="00A7604B"/>
    <w:rsid w:val="00A76939"/>
    <w:rsid w:val="00A8053F"/>
    <w:rsid w:val="00A8548C"/>
    <w:rsid w:val="00A874F4"/>
    <w:rsid w:val="00A90189"/>
    <w:rsid w:val="00A90BD4"/>
    <w:rsid w:val="00A92264"/>
    <w:rsid w:val="00A941A3"/>
    <w:rsid w:val="00A968A4"/>
    <w:rsid w:val="00AA2BB5"/>
    <w:rsid w:val="00AA2F5E"/>
    <w:rsid w:val="00AA3934"/>
    <w:rsid w:val="00AA5AB1"/>
    <w:rsid w:val="00AA5DA2"/>
    <w:rsid w:val="00AA765B"/>
    <w:rsid w:val="00AB21EF"/>
    <w:rsid w:val="00AB25B1"/>
    <w:rsid w:val="00AB2A82"/>
    <w:rsid w:val="00AB55C6"/>
    <w:rsid w:val="00AB66B0"/>
    <w:rsid w:val="00AB6738"/>
    <w:rsid w:val="00AB7167"/>
    <w:rsid w:val="00AC1A75"/>
    <w:rsid w:val="00AC1D96"/>
    <w:rsid w:val="00AC4761"/>
    <w:rsid w:val="00AD0DA2"/>
    <w:rsid w:val="00AD42FC"/>
    <w:rsid w:val="00AD49D0"/>
    <w:rsid w:val="00AD5BE6"/>
    <w:rsid w:val="00AD6B42"/>
    <w:rsid w:val="00AD70D6"/>
    <w:rsid w:val="00AD79E6"/>
    <w:rsid w:val="00AE07C5"/>
    <w:rsid w:val="00AE4F02"/>
    <w:rsid w:val="00AE52D9"/>
    <w:rsid w:val="00AF030E"/>
    <w:rsid w:val="00AF0A13"/>
    <w:rsid w:val="00AF1013"/>
    <w:rsid w:val="00AF2391"/>
    <w:rsid w:val="00AF4D5F"/>
    <w:rsid w:val="00B00C35"/>
    <w:rsid w:val="00B01DB0"/>
    <w:rsid w:val="00B0470C"/>
    <w:rsid w:val="00B1460F"/>
    <w:rsid w:val="00B203C0"/>
    <w:rsid w:val="00B22E1F"/>
    <w:rsid w:val="00B23A95"/>
    <w:rsid w:val="00B25316"/>
    <w:rsid w:val="00B25C30"/>
    <w:rsid w:val="00B25E9A"/>
    <w:rsid w:val="00B26309"/>
    <w:rsid w:val="00B26CA2"/>
    <w:rsid w:val="00B2773A"/>
    <w:rsid w:val="00B32147"/>
    <w:rsid w:val="00B337AB"/>
    <w:rsid w:val="00B34180"/>
    <w:rsid w:val="00B36448"/>
    <w:rsid w:val="00B37735"/>
    <w:rsid w:val="00B45014"/>
    <w:rsid w:val="00B52652"/>
    <w:rsid w:val="00B538D8"/>
    <w:rsid w:val="00B55483"/>
    <w:rsid w:val="00B60307"/>
    <w:rsid w:val="00B609BE"/>
    <w:rsid w:val="00B62977"/>
    <w:rsid w:val="00B634A0"/>
    <w:rsid w:val="00B67892"/>
    <w:rsid w:val="00B71A08"/>
    <w:rsid w:val="00B71E28"/>
    <w:rsid w:val="00B73FB5"/>
    <w:rsid w:val="00B76CDA"/>
    <w:rsid w:val="00B77A4B"/>
    <w:rsid w:val="00B823AC"/>
    <w:rsid w:val="00B86268"/>
    <w:rsid w:val="00B8646A"/>
    <w:rsid w:val="00B87348"/>
    <w:rsid w:val="00BA158A"/>
    <w:rsid w:val="00BA3910"/>
    <w:rsid w:val="00BA3DDB"/>
    <w:rsid w:val="00BA6414"/>
    <w:rsid w:val="00BA7271"/>
    <w:rsid w:val="00BA7799"/>
    <w:rsid w:val="00BA7EB2"/>
    <w:rsid w:val="00BB15E9"/>
    <w:rsid w:val="00BB1910"/>
    <w:rsid w:val="00BB4163"/>
    <w:rsid w:val="00BB43FE"/>
    <w:rsid w:val="00BB4736"/>
    <w:rsid w:val="00BC0CBB"/>
    <w:rsid w:val="00BC3ACA"/>
    <w:rsid w:val="00BC41FD"/>
    <w:rsid w:val="00BC42FA"/>
    <w:rsid w:val="00BC5968"/>
    <w:rsid w:val="00BD24BE"/>
    <w:rsid w:val="00BD4C6E"/>
    <w:rsid w:val="00BD4D42"/>
    <w:rsid w:val="00BD4DF2"/>
    <w:rsid w:val="00BD6060"/>
    <w:rsid w:val="00BE026C"/>
    <w:rsid w:val="00BE1575"/>
    <w:rsid w:val="00BF3363"/>
    <w:rsid w:val="00BF37CB"/>
    <w:rsid w:val="00BF7A99"/>
    <w:rsid w:val="00C00109"/>
    <w:rsid w:val="00C00A0B"/>
    <w:rsid w:val="00C027EF"/>
    <w:rsid w:val="00C03D36"/>
    <w:rsid w:val="00C05B30"/>
    <w:rsid w:val="00C05F95"/>
    <w:rsid w:val="00C067BE"/>
    <w:rsid w:val="00C071E2"/>
    <w:rsid w:val="00C07E3E"/>
    <w:rsid w:val="00C100BE"/>
    <w:rsid w:val="00C107CB"/>
    <w:rsid w:val="00C120C4"/>
    <w:rsid w:val="00C138A9"/>
    <w:rsid w:val="00C15D72"/>
    <w:rsid w:val="00C17CB8"/>
    <w:rsid w:val="00C20122"/>
    <w:rsid w:val="00C22272"/>
    <w:rsid w:val="00C2291F"/>
    <w:rsid w:val="00C24C64"/>
    <w:rsid w:val="00C2524C"/>
    <w:rsid w:val="00C31137"/>
    <w:rsid w:val="00C32023"/>
    <w:rsid w:val="00C321FE"/>
    <w:rsid w:val="00C32E5B"/>
    <w:rsid w:val="00C377E1"/>
    <w:rsid w:val="00C40452"/>
    <w:rsid w:val="00C41B5C"/>
    <w:rsid w:val="00C420E2"/>
    <w:rsid w:val="00C46E8B"/>
    <w:rsid w:val="00C46EFD"/>
    <w:rsid w:val="00C516D4"/>
    <w:rsid w:val="00C5179B"/>
    <w:rsid w:val="00C52588"/>
    <w:rsid w:val="00C53C67"/>
    <w:rsid w:val="00C601BD"/>
    <w:rsid w:val="00C60929"/>
    <w:rsid w:val="00C639C9"/>
    <w:rsid w:val="00C70EFE"/>
    <w:rsid w:val="00C710DD"/>
    <w:rsid w:val="00C721B2"/>
    <w:rsid w:val="00C77D66"/>
    <w:rsid w:val="00C81530"/>
    <w:rsid w:val="00C8323B"/>
    <w:rsid w:val="00C86378"/>
    <w:rsid w:val="00C86CEC"/>
    <w:rsid w:val="00C92D8B"/>
    <w:rsid w:val="00C93A0A"/>
    <w:rsid w:val="00C94578"/>
    <w:rsid w:val="00C948CA"/>
    <w:rsid w:val="00C96BDD"/>
    <w:rsid w:val="00C97300"/>
    <w:rsid w:val="00CA24FD"/>
    <w:rsid w:val="00CA2A0A"/>
    <w:rsid w:val="00CA7A24"/>
    <w:rsid w:val="00CB1C1B"/>
    <w:rsid w:val="00CB46EA"/>
    <w:rsid w:val="00CB559B"/>
    <w:rsid w:val="00CC124D"/>
    <w:rsid w:val="00CC434C"/>
    <w:rsid w:val="00CC47B6"/>
    <w:rsid w:val="00CC6538"/>
    <w:rsid w:val="00CD12BD"/>
    <w:rsid w:val="00CD3645"/>
    <w:rsid w:val="00CD3E16"/>
    <w:rsid w:val="00CE1BD6"/>
    <w:rsid w:val="00CE2FE3"/>
    <w:rsid w:val="00CF2312"/>
    <w:rsid w:val="00CF3F5A"/>
    <w:rsid w:val="00CF4849"/>
    <w:rsid w:val="00CF74C0"/>
    <w:rsid w:val="00D076CF"/>
    <w:rsid w:val="00D112A9"/>
    <w:rsid w:val="00D135C9"/>
    <w:rsid w:val="00D16368"/>
    <w:rsid w:val="00D22BCE"/>
    <w:rsid w:val="00D23A9E"/>
    <w:rsid w:val="00D255A8"/>
    <w:rsid w:val="00D26E32"/>
    <w:rsid w:val="00D2743A"/>
    <w:rsid w:val="00D27EA5"/>
    <w:rsid w:val="00D31BC2"/>
    <w:rsid w:val="00D33B7B"/>
    <w:rsid w:val="00D35F7C"/>
    <w:rsid w:val="00D361EE"/>
    <w:rsid w:val="00D404CA"/>
    <w:rsid w:val="00D42BCE"/>
    <w:rsid w:val="00D46365"/>
    <w:rsid w:val="00D536F1"/>
    <w:rsid w:val="00D53AC5"/>
    <w:rsid w:val="00D56077"/>
    <w:rsid w:val="00D573AC"/>
    <w:rsid w:val="00D603B0"/>
    <w:rsid w:val="00D61D24"/>
    <w:rsid w:val="00D63CCA"/>
    <w:rsid w:val="00D64A47"/>
    <w:rsid w:val="00D65805"/>
    <w:rsid w:val="00D65F70"/>
    <w:rsid w:val="00D66869"/>
    <w:rsid w:val="00D71ADD"/>
    <w:rsid w:val="00D71F85"/>
    <w:rsid w:val="00D76833"/>
    <w:rsid w:val="00D76B92"/>
    <w:rsid w:val="00D770E9"/>
    <w:rsid w:val="00D80EF8"/>
    <w:rsid w:val="00D81672"/>
    <w:rsid w:val="00D8333E"/>
    <w:rsid w:val="00D85DDE"/>
    <w:rsid w:val="00D8650E"/>
    <w:rsid w:val="00D874BA"/>
    <w:rsid w:val="00D879FE"/>
    <w:rsid w:val="00D902AB"/>
    <w:rsid w:val="00D91398"/>
    <w:rsid w:val="00D91FF5"/>
    <w:rsid w:val="00D95FF0"/>
    <w:rsid w:val="00DA40EA"/>
    <w:rsid w:val="00DA72E7"/>
    <w:rsid w:val="00DA7B63"/>
    <w:rsid w:val="00DB3BAB"/>
    <w:rsid w:val="00DB6B45"/>
    <w:rsid w:val="00DC10CD"/>
    <w:rsid w:val="00DC15F9"/>
    <w:rsid w:val="00DC31A6"/>
    <w:rsid w:val="00DD058F"/>
    <w:rsid w:val="00DD54AE"/>
    <w:rsid w:val="00DD5BA4"/>
    <w:rsid w:val="00DE3F52"/>
    <w:rsid w:val="00DE4723"/>
    <w:rsid w:val="00DE5ACD"/>
    <w:rsid w:val="00DE5D79"/>
    <w:rsid w:val="00DE72F4"/>
    <w:rsid w:val="00DF13C2"/>
    <w:rsid w:val="00DF4A3F"/>
    <w:rsid w:val="00DF6451"/>
    <w:rsid w:val="00E0097E"/>
    <w:rsid w:val="00E016F6"/>
    <w:rsid w:val="00E01D05"/>
    <w:rsid w:val="00E037FB"/>
    <w:rsid w:val="00E03A88"/>
    <w:rsid w:val="00E055AC"/>
    <w:rsid w:val="00E05679"/>
    <w:rsid w:val="00E07A8B"/>
    <w:rsid w:val="00E12A7D"/>
    <w:rsid w:val="00E13025"/>
    <w:rsid w:val="00E1384B"/>
    <w:rsid w:val="00E20086"/>
    <w:rsid w:val="00E22CBD"/>
    <w:rsid w:val="00E23A37"/>
    <w:rsid w:val="00E24AEC"/>
    <w:rsid w:val="00E32B51"/>
    <w:rsid w:val="00E3499E"/>
    <w:rsid w:val="00E36ABE"/>
    <w:rsid w:val="00E40201"/>
    <w:rsid w:val="00E4085B"/>
    <w:rsid w:val="00E41229"/>
    <w:rsid w:val="00E4131F"/>
    <w:rsid w:val="00E4176F"/>
    <w:rsid w:val="00E43083"/>
    <w:rsid w:val="00E44413"/>
    <w:rsid w:val="00E44E45"/>
    <w:rsid w:val="00E475B0"/>
    <w:rsid w:val="00E5088A"/>
    <w:rsid w:val="00E54B8C"/>
    <w:rsid w:val="00E5548E"/>
    <w:rsid w:val="00E60127"/>
    <w:rsid w:val="00E60CB2"/>
    <w:rsid w:val="00E63FCC"/>
    <w:rsid w:val="00E6677A"/>
    <w:rsid w:val="00E72115"/>
    <w:rsid w:val="00E7294C"/>
    <w:rsid w:val="00E8240C"/>
    <w:rsid w:val="00E83C44"/>
    <w:rsid w:val="00E858FE"/>
    <w:rsid w:val="00E87AFC"/>
    <w:rsid w:val="00E90892"/>
    <w:rsid w:val="00E9512C"/>
    <w:rsid w:val="00E95CA1"/>
    <w:rsid w:val="00E963E5"/>
    <w:rsid w:val="00E97FDB"/>
    <w:rsid w:val="00EA7437"/>
    <w:rsid w:val="00EA74A4"/>
    <w:rsid w:val="00EA7F3C"/>
    <w:rsid w:val="00EB1AF1"/>
    <w:rsid w:val="00EB39FE"/>
    <w:rsid w:val="00EC02BC"/>
    <w:rsid w:val="00EC3D3A"/>
    <w:rsid w:val="00EC59EE"/>
    <w:rsid w:val="00EC7C63"/>
    <w:rsid w:val="00ED0B9A"/>
    <w:rsid w:val="00ED2754"/>
    <w:rsid w:val="00ED399C"/>
    <w:rsid w:val="00EE1A5E"/>
    <w:rsid w:val="00EE3694"/>
    <w:rsid w:val="00EE3D3F"/>
    <w:rsid w:val="00EE63D5"/>
    <w:rsid w:val="00EE64C4"/>
    <w:rsid w:val="00EF04C2"/>
    <w:rsid w:val="00EF381D"/>
    <w:rsid w:val="00EF4595"/>
    <w:rsid w:val="00EF675B"/>
    <w:rsid w:val="00F0112C"/>
    <w:rsid w:val="00F029CE"/>
    <w:rsid w:val="00F02B94"/>
    <w:rsid w:val="00F031B6"/>
    <w:rsid w:val="00F033B2"/>
    <w:rsid w:val="00F05C1B"/>
    <w:rsid w:val="00F06332"/>
    <w:rsid w:val="00F065CE"/>
    <w:rsid w:val="00F067E6"/>
    <w:rsid w:val="00F072B9"/>
    <w:rsid w:val="00F110A0"/>
    <w:rsid w:val="00F122A3"/>
    <w:rsid w:val="00F13365"/>
    <w:rsid w:val="00F16F23"/>
    <w:rsid w:val="00F20807"/>
    <w:rsid w:val="00F276A4"/>
    <w:rsid w:val="00F3170C"/>
    <w:rsid w:val="00F37FD2"/>
    <w:rsid w:val="00F40BF9"/>
    <w:rsid w:val="00F443B5"/>
    <w:rsid w:val="00F449DB"/>
    <w:rsid w:val="00F46677"/>
    <w:rsid w:val="00F46960"/>
    <w:rsid w:val="00F47D28"/>
    <w:rsid w:val="00F52C5F"/>
    <w:rsid w:val="00F6251E"/>
    <w:rsid w:val="00F64B0A"/>
    <w:rsid w:val="00F64C2D"/>
    <w:rsid w:val="00F700C0"/>
    <w:rsid w:val="00F7013B"/>
    <w:rsid w:val="00F7192D"/>
    <w:rsid w:val="00F74A33"/>
    <w:rsid w:val="00F75790"/>
    <w:rsid w:val="00F76465"/>
    <w:rsid w:val="00F90992"/>
    <w:rsid w:val="00FA13FA"/>
    <w:rsid w:val="00FA2E80"/>
    <w:rsid w:val="00FA4772"/>
    <w:rsid w:val="00FA5CD3"/>
    <w:rsid w:val="00FA6F1C"/>
    <w:rsid w:val="00FA721C"/>
    <w:rsid w:val="00FA7D6B"/>
    <w:rsid w:val="00FB01A2"/>
    <w:rsid w:val="00FB0F1F"/>
    <w:rsid w:val="00FB0F8F"/>
    <w:rsid w:val="00FB1D5B"/>
    <w:rsid w:val="00FB1F65"/>
    <w:rsid w:val="00FB2476"/>
    <w:rsid w:val="00FB2570"/>
    <w:rsid w:val="00FB3CEA"/>
    <w:rsid w:val="00FB43F3"/>
    <w:rsid w:val="00FB4403"/>
    <w:rsid w:val="00FB62D3"/>
    <w:rsid w:val="00FC0C84"/>
    <w:rsid w:val="00FC5242"/>
    <w:rsid w:val="00FC77BF"/>
    <w:rsid w:val="00FC7F40"/>
    <w:rsid w:val="00FD0F3B"/>
    <w:rsid w:val="00FD41B2"/>
    <w:rsid w:val="00FD78F5"/>
    <w:rsid w:val="00FD7D61"/>
    <w:rsid w:val="00FE0A02"/>
    <w:rsid w:val="00FE1306"/>
    <w:rsid w:val="00FE15AB"/>
    <w:rsid w:val="00FE1A5E"/>
    <w:rsid w:val="00FE52CC"/>
    <w:rsid w:val="00FF2D43"/>
    <w:rsid w:val="00FF31E0"/>
    <w:rsid w:val="00FF3643"/>
    <w:rsid w:val="00FF574F"/>
    <w:rsid w:val="00FF78B1"/>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docId w15:val="{09A8FF4D-C4DF-4BF4-85F6-BF855751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E1A"/>
    <w:rPr>
      <w:kern w:val="0"/>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customStyle="1" w:styleId="NApunkts1">
    <w:name w:val="NA punkts 1"/>
    <w:basedOn w:val="Normal"/>
    <w:link w:val="NApunkts1Rakstz"/>
    <w:qFormat/>
    <w:rsid w:val="00E43083"/>
    <w:pPr>
      <w:numPr>
        <w:numId w:val="1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43083"/>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E43083"/>
    <w:pPr>
      <w:keepLines/>
      <w:numPr>
        <w:ilvl w:val="1"/>
        <w:numId w:val="1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43083"/>
    <w:pPr>
      <w:keepLines/>
      <w:numPr>
        <w:ilvl w:val="2"/>
        <w:numId w:val="1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43083"/>
    <w:pPr>
      <w:keepLines/>
      <w:numPr>
        <w:ilvl w:val="3"/>
        <w:numId w:val="11"/>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EB1AF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EB1AF1"/>
    <w:rPr>
      <w:rFonts w:ascii="Segoe UI" w:hAnsi="Segoe UI" w:cs="Segoe UI" w:hint="default"/>
      <w:color w:val="333333"/>
      <w:sz w:val="18"/>
      <w:szCs w:val="18"/>
    </w:rPr>
  </w:style>
  <w:style w:type="character" w:styleId="FollowedHyperlink">
    <w:name w:val="FollowedHyperlink"/>
    <w:basedOn w:val="DefaultParagraphFont"/>
    <w:uiPriority w:val="99"/>
    <w:semiHidden/>
    <w:unhideWhenUsed/>
    <w:rsid w:val="00AF03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424406">
      <w:bodyDiv w:val="1"/>
      <w:marLeft w:val="0"/>
      <w:marRight w:val="0"/>
      <w:marTop w:val="0"/>
      <w:marBottom w:val="0"/>
      <w:divBdr>
        <w:top w:val="none" w:sz="0" w:space="0" w:color="auto"/>
        <w:left w:val="none" w:sz="0" w:space="0" w:color="auto"/>
        <w:bottom w:val="none" w:sz="0" w:space="0" w:color="auto"/>
        <w:right w:val="none" w:sz="0" w:space="0" w:color="auto"/>
      </w:divBdr>
    </w:div>
    <w:div w:id="389504066">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4854661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2.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B08A8D-21EE-4885-8C6C-65675735DE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9764</Words>
  <Characters>5566</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15300</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Arnis Jankovskis</cp:lastModifiedBy>
  <cp:revision>2</cp:revision>
  <cp:lastPrinted>2024-05-22T07:14:00Z</cp:lastPrinted>
  <dcterms:created xsi:type="dcterms:W3CDTF">2024-11-15T12:53:00Z</dcterms:created>
  <dcterms:modified xsi:type="dcterms:W3CDTF">2024-11-15T12:53:00Z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