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460317" w14:textId="77777777" w:rsidR="009C42A8" w:rsidRPr="0079205D" w:rsidRDefault="001932F3"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E6B6F63EE6044FF9A73D0CCF64436A13"/>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44F14EE4"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60D054C6" w14:textId="77777777" w:rsidTr="00811BE5">
        <w:sdt>
          <w:sdtPr>
            <w:rPr>
              <w:rFonts w:cs="Times New Roman"/>
            </w:rPr>
            <w:id w:val="25447574"/>
            <w:lock w:val="sdtLocked"/>
            <w:placeholder>
              <w:docPart w:val="C32983148CA3423A8F91029500577091"/>
            </w:placeholder>
            <w:showingPlcHdr/>
          </w:sdtPr>
          <w:sdtEndPr/>
          <w:sdtContent>
            <w:tc>
              <w:tcPr>
                <w:tcW w:w="4360" w:type="dxa"/>
                <w:vAlign w:val="bottom"/>
              </w:tcPr>
              <w:p w14:paraId="786C49E1"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6D5B40C2" w14:textId="77777777" w:rsidR="003C1EF2" w:rsidRDefault="001932F3" w:rsidP="00C523D5">
            <w:pPr>
              <w:pStyle w:val="NoSpacing"/>
              <w:ind w:right="-111"/>
              <w:jc w:val="right"/>
            </w:pPr>
            <w:sdt>
              <w:sdtPr>
                <w:id w:val="32932642"/>
                <w:lock w:val="sdtContentLocked"/>
                <w:placeholder>
                  <w:docPart w:val="55E7B1EBA4904704998556649C3DB27D"/>
                </w:placeholder>
                <w:showingPlcHdr/>
              </w:sdtPr>
              <w:sdtEndPr/>
              <w:sdtContent>
                <w:r w:rsidR="00F13DD7">
                  <w:t xml:space="preserve">Noteikumi </w:t>
                </w:r>
              </w:sdtContent>
            </w:sdt>
            <w:sdt>
              <w:sdtPr>
                <w:id w:val="25447619"/>
                <w:lock w:val="sdtContentLocked"/>
                <w:placeholder>
                  <w:docPart w:val="061221936D3240268860FEC9C9780ECA"/>
                </w:placeholder>
                <w:showingPlcHdr/>
              </w:sdtPr>
              <w:sdtEndPr/>
              <w:sdtContent>
                <w:r w:rsidR="003C1EF2">
                  <w:t xml:space="preserve">Nr. </w:t>
                </w:r>
              </w:sdtContent>
            </w:sdt>
            <w:sdt>
              <w:sdtPr>
                <w:id w:val="25447645"/>
                <w:lock w:val="sdtLocked"/>
                <w:placeholder>
                  <w:docPart w:val="4FAC0F4715A74D16830B16A8391B7221"/>
                </w:placeholder>
                <w:showingPlcHdr/>
              </w:sdtPr>
              <w:sdtEndPr/>
              <w:sdtContent>
                <w:r w:rsidR="007A4159">
                  <w:t>_____</w:t>
                </w:r>
              </w:sdtContent>
            </w:sdt>
          </w:p>
        </w:tc>
      </w:tr>
    </w:tbl>
    <w:sdt>
      <w:sdtPr>
        <w:rPr>
          <w:rFonts w:cs="Times New Roman"/>
          <w:szCs w:val="24"/>
        </w:rPr>
        <w:id w:val="25447675"/>
        <w:lock w:val="sdtContentLocked"/>
        <w:placeholder>
          <w:docPart w:val="EC3306E845274E839D3DCB69E21041D5"/>
        </w:placeholder>
        <w:showingPlcHdr/>
      </w:sdtPr>
      <w:sdtEndPr/>
      <w:sdtContent>
        <w:p w14:paraId="33512B56" w14:textId="77777777" w:rsidR="003C1EF2" w:rsidRDefault="00C2284A" w:rsidP="00C2284A">
          <w:pPr>
            <w:rPr>
              <w:rFonts w:cs="Times New Roman"/>
              <w:szCs w:val="24"/>
            </w:rPr>
          </w:pPr>
          <w:r>
            <w:rPr>
              <w:rFonts w:cs="Times New Roman"/>
              <w:szCs w:val="24"/>
            </w:rPr>
            <w:t>Rīgā</w:t>
          </w:r>
        </w:p>
      </w:sdtContent>
    </w:sdt>
    <w:bookmarkStart w:id="1" w:name="_Hlk178771100"/>
    <w:p w14:paraId="4BF8624D" w14:textId="649860BD" w:rsidR="00C2284A" w:rsidRDefault="001932F3" w:rsidP="00C2284A">
      <w:pPr>
        <w:spacing w:before="240" w:after="240"/>
        <w:rPr>
          <w:rFonts w:cs="Times New Roman"/>
          <w:b/>
          <w:szCs w:val="24"/>
        </w:rPr>
      </w:pPr>
      <w:sdt>
        <w:sdtPr>
          <w:rPr>
            <w:rFonts w:cs="Times New Roman"/>
            <w:b/>
            <w:szCs w:val="24"/>
          </w:rPr>
          <w:alias w:val="Nosaukums"/>
          <w:tag w:val="Nosaukums"/>
          <w:id w:val="25447728"/>
          <w:placeholder>
            <w:docPart w:val="8F85571CE2064DEB80D0594384E93DB6"/>
          </w:placeholder>
        </w:sdtPr>
        <w:sdtEndPr/>
        <w:sdtContent>
          <w:r w:rsidR="00ED5ADC">
            <w:rPr>
              <w:rFonts w:cs="Times New Roman"/>
              <w:b/>
              <w:szCs w:val="24"/>
            </w:rPr>
            <w:t>Apdrošinātāju un pārapdrošinātāju iekšējo modeļu noteikumi</w:t>
          </w:r>
        </w:sdtContent>
      </w:sdt>
      <w:bookmarkEnd w:id="1"/>
    </w:p>
    <w:p w14:paraId="12DFF892" w14:textId="77777777" w:rsidR="00C2284A" w:rsidRDefault="001932F3" w:rsidP="00DB385B">
      <w:pPr>
        <w:jc w:val="right"/>
        <w:rPr>
          <w:rFonts w:cs="Times New Roman"/>
          <w:szCs w:val="24"/>
        </w:rPr>
      </w:pPr>
      <w:sdt>
        <w:sdtPr>
          <w:rPr>
            <w:rFonts w:cs="Times New Roman"/>
            <w:color w:val="808080"/>
            <w:szCs w:val="24"/>
          </w:rPr>
          <w:id w:val="32932717"/>
          <w:lock w:val="sdtContentLocked"/>
          <w:placeholder>
            <w:docPart w:val="21BBDF7252FC4F90B1E2430A1322FA5C"/>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12ED15D3DBA0465187320405CCDCB041"/>
          </w:placeholder>
          <w:showingPlcHdr/>
        </w:sdtPr>
        <w:sdtEndPr/>
        <w:sdtContent>
          <w:r w:rsidR="00301089">
            <w:rPr>
              <w:rFonts w:cs="Times New Roman"/>
              <w:szCs w:val="24"/>
            </w:rPr>
            <w:t>saskaņā ar</w:t>
          </w:r>
        </w:sdtContent>
      </w:sdt>
    </w:p>
    <w:sdt>
      <w:sdtPr>
        <w:rPr>
          <w:rFonts w:cs="Times New Roman"/>
          <w:szCs w:val="24"/>
        </w:rPr>
        <w:id w:val="25447800"/>
        <w:placeholder>
          <w:docPart w:val="EF7752C9FB5B4D4A9B0817A6AB2FAC74"/>
        </w:placeholder>
      </w:sdtPr>
      <w:sdtEndPr/>
      <w:sdtContent>
        <w:p w14:paraId="354FAF4A" w14:textId="787E10E0" w:rsidR="00301089" w:rsidRDefault="00ED5ADC" w:rsidP="00DB385B">
          <w:pPr>
            <w:jc w:val="right"/>
            <w:rPr>
              <w:rFonts w:cs="Times New Roman"/>
              <w:szCs w:val="24"/>
            </w:rPr>
          </w:pPr>
          <w:r>
            <w:rPr>
              <w:rFonts w:cs="Times New Roman"/>
              <w:szCs w:val="24"/>
            </w:rPr>
            <w:t>Apdrošināšanas un pārapdrošināšanas likuma</w:t>
          </w:r>
        </w:p>
      </w:sdtContent>
    </w:sdt>
    <w:p w14:paraId="4D0470D7" w14:textId="1D6D43D9" w:rsidR="00301089" w:rsidRPr="00ED5ADC" w:rsidRDefault="001932F3" w:rsidP="00DB385B">
      <w:pPr>
        <w:jc w:val="right"/>
        <w:rPr>
          <w:rFonts w:cs="Times New Roman"/>
          <w:szCs w:val="24"/>
        </w:rPr>
      </w:pPr>
      <w:sdt>
        <w:sdtPr>
          <w:rPr>
            <w:rFonts w:cs="Times New Roman"/>
            <w:szCs w:val="24"/>
          </w:rPr>
          <w:id w:val="25447827"/>
          <w:placeholder>
            <w:docPart w:val="F2EE07F15A864779B6F43CD434F852AB"/>
          </w:placeholder>
        </w:sdtPr>
        <w:sdtEndPr/>
        <w:sdtContent>
          <w:sdt>
            <w:sdtPr>
              <w:rPr>
                <w:rFonts w:cs="Times New Roman"/>
                <w:szCs w:val="24"/>
              </w:rPr>
              <w:id w:val="1077935123"/>
              <w:placeholder>
                <w:docPart w:val="8AE22E528D5A4E89BBBA2330FB2CF614"/>
              </w:placeholder>
            </w:sdtPr>
            <w:sdtEndPr/>
            <w:sdtContent>
              <w:r w:rsidR="00D024EE">
                <w:rPr>
                  <w:rFonts w:cs="Times New Roman"/>
                  <w:szCs w:val="24"/>
                </w:rPr>
                <w:t>40</w:t>
              </w:r>
              <w:r w:rsidR="00D024EE" w:rsidRPr="00ED5ADC">
                <w:rPr>
                  <w:rFonts w:cs="Times New Roman"/>
                  <w:szCs w:val="24"/>
                </w:rPr>
                <w:t xml:space="preserve">. </w:t>
              </w:r>
            </w:sdtContent>
          </w:sdt>
          <w:sdt>
            <w:sdtPr>
              <w:rPr>
                <w:rFonts w:cs="Times New Roman"/>
                <w:szCs w:val="24"/>
              </w:rPr>
              <w:id w:val="-944611499"/>
              <w:placeholder>
                <w:docPart w:val="530AE5E8E2064B8AA8F84B0906D3F613"/>
              </w:placeholder>
            </w:sdtPr>
            <w:sdtEndPr/>
            <w:sdtContent>
              <w:r w:rsidR="00D024EE" w:rsidRPr="00ED5ADC">
                <w:rPr>
                  <w:rFonts w:cs="Times New Roman"/>
                  <w:szCs w:val="24"/>
                </w:rPr>
                <w:t>pant</w:t>
              </w:r>
              <w:r w:rsidR="00D024EE">
                <w:rPr>
                  <w:rFonts w:cs="Times New Roman"/>
                  <w:szCs w:val="24"/>
                </w:rPr>
                <w:t>a sesto daļu un</w:t>
              </w:r>
            </w:sdtContent>
          </w:sdt>
          <w:r w:rsidR="00D024EE">
            <w:rPr>
              <w:rFonts w:cs="Times New Roman"/>
              <w:szCs w:val="24"/>
            </w:rPr>
            <w:t xml:space="preserve"> </w:t>
          </w:r>
          <w:r w:rsidR="00ED5ADC" w:rsidRPr="00ED5ADC">
            <w:rPr>
              <w:rFonts w:cs="Times New Roman"/>
              <w:szCs w:val="24"/>
            </w:rPr>
            <w:t xml:space="preserve">128. </w:t>
          </w:r>
        </w:sdtContent>
      </w:sdt>
      <w:sdt>
        <w:sdtPr>
          <w:rPr>
            <w:rFonts w:cs="Times New Roman"/>
            <w:szCs w:val="24"/>
          </w:rPr>
          <w:id w:val="25447854"/>
          <w:placeholder>
            <w:docPart w:val="E18E5617D0CC414E9E1E9285B6DB6BAE"/>
          </w:placeholder>
        </w:sdtPr>
        <w:sdtEndPr/>
        <w:sdtContent>
          <w:r w:rsidR="00ED5ADC" w:rsidRPr="00ED5ADC">
            <w:rPr>
              <w:rFonts w:cs="Times New Roman"/>
              <w:szCs w:val="24"/>
            </w:rPr>
            <w:t>pantu</w:t>
          </w:r>
        </w:sdtContent>
      </w:sdt>
    </w:p>
    <w:p w14:paraId="3E69C278" w14:textId="77777777" w:rsidR="00840034" w:rsidRPr="00AA4F21" w:rsidRDefault="00840034" w:rsidP="00CD44FF">
      <w:pPr>
        <w:pStyle w:val="NAnodalaromiesucipari"/>
      </w:pPr>
      <w:r w:rsidRPr="00AA4F21">
        <w:t>Vispārīgie jautājumi</w:t>
      </w:r>
    </w:p>
    <w:p w14:paraId="4F8CB1FE" w14:textId="6D6BF096" w:rsidR="00390527" w:rsidRPr="00AA4F21" w:rsidRDefault="005451C9" w:rsidP="00ED5ADC">
      <w:pPr>
        <w:pStyle w:val="NApunkts1"/>
      </w:pPr>
      <w:r w:rsidRPr="00AA4F21">
        <w:t>N</w:t>
      </w:r>
      <w:r w:rsidR="00ED5ADC" w:rsidRPr="00AA4F21">
        <w:t>oteikumi nosaka</w:t>
      </w:r>
      <w:r w:rsidR="007D28F5">
        <w:t xml:space="preserve"> </w:t>
      </w:r>
      <w:r w:rsidR="001B7A1D" w:rsidRPr="001B7A1D">
        <w:t>apdrošināšanas sabiedrīb</w:t>
      </w:r>
      <w:r w:rsidR="001B7A1D">
        <w:t>ām</w:t>
      </w:r>
      <w:r w:rsidR="001B7A1D" w:rsidRPr="001B7A1D">
        <w:t xml:space="preserve"> un ārvalsts apdrošinātāju filiāl</w:t>
      </w:r>
      <w:r w:rsidR="001B7A1D">
        <w:t>ēm</w:t>
      </w:r>
      <w:r w:rsidR="001B7A1D" w:rsidRPr="001B7A1D">
        <w:t xml:space="preserve"> (turpmāk</w:t>
      </w:r>
      <w:r w:rsidR="007A435E">
        <w:t> </w:t>
      </w:r>
      <w:r w:rsidR="001B7A1D" w:rsidRPr="001B7A1D">
        <w:t>– apdrošinātājs), kā arī pārapdrošināšanas sabiedrīb</w:t>
      </w:r>
      <w:r w:rsidR="001B7A1D">
        <w:t>ām</w:t>
      </w:r>
      <w:r w:rsidR="001B7A1D" w:rsidRPr="001B7A1D">
        <w:t xml:space="preserve"> (turpmāk</w:t>
      </w:r>
      <w:r w:rsidR="007A435E">
        <w:t> </w:t>
      </w:r>
      <w:r w:rsidR="001B7A1D" w:rsidRPr="001B7A1D">
        <w:t xml:space="preserve">– </w:t>
      </w:r>
      <w:proofErr w:type="spellStart"/>
      <w:r w:rsidR="001B7A1D" w:rsidRPr="001B7A1D">
        <w:t>pārapdrošinātājs</w:t>
      </w:r>
      <w:proofErr w:type="spellEnd"/>
      <w:r w:rsidR="001B7A1D" w:rsidRPr="001B7A1D">
        <w:t>)</w:t>
      </w:r>
      <w:r w:rsidR="001B7A1D">
        <w:t xml:space="preserve">, </w:t>
      </w:r>
      <w:r w:rsidR="00DF4389">
        <w:t xml:space="preserve">kas izstrādā un izmanto </w:t>
      </w:r>
      <w:r w:rsidR="001B7A1D">
        <w:t>iekšējos modeļus maksātspējas kapitāla prasības noteikšanā:</w:t>
      </w:r>
    </w:p>
    <w:p w14:paraId="141E710A" w14:textId="69988B84" w:rsidR="003A5F1D" w:rsidRPr="00AA4F21" w:rsidRDefault="00ED5ADC">
      <w:pPr>
        <w:pStyle w:val="NApunkts2"/>
      </w:pPr>
      <w:r w:rsidRPr="00AA4F21">
        <w:t xml:space="preserve">prasības attiecībā uz iekšējo modeļu izmantošanas testu, statistiskās kvalitātes standartiem, kalibrēšanas standartiem, peļņas un zaudējumu attiecinājumu uz nozīmīgām </w:t>
      </w:r>
      <w:r w:rsidR="00390527" w:rsidRPr="00AA4F21">
        <w:t>komercdarbības struktūrvienībām</w:t>
      </w:r>
      <w:r w:rsidRPr="00AA4F21">
        <w:t>, apstiprināšanas (validācijas) standartiem</w:t>
      </w:r>
      <w:r w:rsidR="00CB73F1" w:rsidRPr="00AA4F21">
        <w:t xml:space="preserve"> un</w:t>
      </w:r>
      <w:r w:rsidRPr="00AA4F21">
        <w:t xml:space="preserve"> dokumentēšanas standartiem</w:t>
      </w:r>
      <w:r w:rsidR="003A5F1D" w:rsidRPr="00AA4F21">
        <w:t>;</w:t>
      </w:r>
    </w:p>
    <w:p w14:paraId="7A5651AD" w14:textId="4D002FE7" w:rsidR="00840034" w:rsidRPr="00AA4F21" w:rsidRDefault="00902C45" w:rsidP="000271C4">
      <w:pPr>
        <w:pStyle w:val="NApunkts2"/>
      </w:pPr>
      <w:r>
        <w:t xml:space="preserve">prasības </w:t>
      </w:r>
      <w:r w:rsidR="0092433E">
        <w:t xml:space="preserve">iekšējiem </w:t>
      </w:r>
      <w:r>
        <w:t>modeļiem</w:t>
      </w:r>
      <w:r w:rsidR="0092433E">
        <w:t>,</w:t>
      </w:r>
      <w:r>
        <w:t xml:space="preserve"> </w:t>
      </w:r>
      <w:r w:rsidR="0092433E" w:rsidRPr="00AA4F21">
        <w:t>kas iegūti no trešās personas</w:t>
      </w:r>
      <w:r w:rsidR="0092433E">
        <w:t xml:space="preserve"> (</w:t>
      </w:r>
      <w:r w:rsidR="0092433E" w:rsidRPr="00AA4F21">
        <w:t xml:space="preserve">turpmāk – </w:t>
      </w:r>
      <w:r w:rsidR="0092433E">
        <w:t xml:space="preserve">ārējie modeļi), </w:t>
      </w:r>
      <w:r>
        <w:t xml:space="preserve">un </w:t>
      </w:r>
      <w:r w:rsidR="0092433E">
        <w:t xml:space="preserve">ārējiem </w:t>
      </w:r>
      <w:r>
        <w:t>datiem, prasības iekšējā modeļa izma</w:t>
      </w:r>
      <w:r w:rsidR="007A435E">
        <w:t>i</w:t>
      </w:r>
      <w:r>
        <w:t>ņu veikšan</w:t>
      </w:r>
      <w:r w:rsidR="00C624EC">
        <w:t>ai</w:t>
      </w:r>
      <w:r>
        <w:t xml:space="preserve"> un </w:t>
      </w:r>
      <w:r w:rsidR="001B7A1D">
        <w:t xml:space="preserve">prasības </w:t>
      </w:r>
      <w:r w:rsidR="00D024EE" w:rsidRPr="00AA4F21">
        <w:t xml:space="preserve">iekšējā modeļa izmantošanas </w:t>
      </w:r>
      <w:r w:rsidR="00FE5F54" w:rsidRPr="00AA4F21">
        <w:t>pieteikuma</w:t>
      </w:r>
      <w:r>
        <w:t xml:space="preserve"> un </w:t>
      </w:r>
      <w:proofErr w:type="spellStart"/>
      <w:r>
        <w:t>pirmspieteikuma</w:t>
      </w:r>
      <w:proofErr w:type="spellEnd"/>
      <w:r w:rsidR="00FE5F54" w:rsidRPr="00AA4F21">
        <w:t xml:space="preserve"> proces</w:t>
      </w:r>
      <w:r w:rsidR="001B7A1D">
        <w:t>ā</w:t>
      </w:r>
      <w:r w:rsidR="00ED5ADC" w:rsidRPr="00AA4F21">
        <w:t xml:space="preserve">. </w:t>
      </w:r>
    </w:p>
    <w:p w14:paraId="226CB222" w14:textId="7303A0FD" w:rsidR="00ED5ADC" w:rsidRPr="00AA4F21" w:rsidRDefault="00ED5ADC" w:rsidP="00ED5ADC">
      <w:pPr>
        <w:pStyle w:val="NApunkts1"/>
      </w:pPr>
      <w:r w:rsidRPr="00AA4F21">
        <w:t>Noteikumos lietoti</w:t>
      </w:r>
      <w:r w:rsidR="00070104" w:rsidRPr="00AA4F21">
        <w:t xml:space="preserve"> šādi </w:t>
      </w:r>
      <w:r w:rsidRPr="00AA4F21">
        <w:t>termini:</w:t>
      </w:r>
    </w:p>
    <w:p w14:paraId="78D1C50C" w14:textId="502D00AE" w:rsidR="00ED5ADC" w:rsidRPr="00AA4F21" w:rsidRDefault="00ED5ADC" w:rsidP="00ED5ADC">
      <w:pPr>
        <w:pStyle w:val="NApunkts2"/>
      </w:pPr>
      <w:r w:rsidRPr="00AA4F21">
        <w:t>varbūtības sadalījuma prognoze</w:t>
      </w:r>
      <w:r w:rsidR="00046DC7" w:rsidRPr="00AA4F21">
        <w:t> </w:t>
      </w:r>
      <w:r w:rsidRPr="00AA4F21">
        <w:t>– matemātiska funkcija, kas noteiktas grupas savstarpēji izslēdzošiem nākotnes notikumiem piešķir realizācijas iespējamību;</w:t>
      </w:r>
    </w:p>
    <w:p w14:paraId="518B1343" w14:textId="2D68104E" w:rsidR="00ED5ADC" w:rsidRPr="00AA4F21" w:rsidRDefault="00ED5ADC" w:rsidP="00ED5ADC">
      <w:pPr>
        <w:pStyle w:val="NApunkts2"/>
      </w:pPr>
      <w:r w:rsidRPr="00AA4F21">
        <w:t>riska mērs</w:t>
      </w:r>
      <w:r w:rsidR="00046DC7" w:rsidRPr="00AA4F21">
        <w:t> </w:t>
      </w:r>
      <w:r w:rsidRPr="00AA4F21">
        <w:t>– matemātiska funkcija, kas dotajai riska ekspozīcijas varbūtības sadalījuma prognozei piešķir tādu vērtību naudas izteiksmē, kas pieaug monotoni reizē ar riska apmēru;</w:t>
      </w:r>
    </w:p>
    <w:p w14:paraId="3E426815" w14:textId="60F9962A" w:rsidR="005C2E6E" w:rsidRPr="00AA4F21" w:rsidRDefault="00C13B33" w:rsidP="005C2E6E">
      <w:pPr>
        <w:pStyle w:val="NApunkts2"/>
      </w:pPr>
      <w:r w:rsidRPr="00AA4F21">
        <w:t>iekšējā modeļa segums</w:t>
      </w:r>
      <w:r w:rsidR="005C2E6E" w:rsidRPr="00AA4F21">
        <w:t xml:space="preserve"> – </w:t>
      </w:r>
      <w:r w:rsidR="0071357E">
        <w:t xml:space="preserve">iekšēja modeļa segums </w:t>
      </w:r>
      <w:r w:rsidR="005C2E6E" w:rsidRPr="00AA4F21">
        <w:t xml:space="preserve">Komisijas 2014. gada 10. oktobra deleģētās regulas (ES) 2015/35, ar ko papildina Eiropas Parlamenta un Padomes Direktīvu 2009/138/EK par uzņēmējdarbības uzsākšanu un veikšanu apdrošināšanas un pārapdrošināšanas jomā (Maksātspēja II) (turpmāk – Regula Nr. 2015/35) </w:t>
      </w:r>
      <w:r w:rsidR="00070104" w:rsidRPr="00AA4F21">
        <w:t xml:space="preserve">1. panta 17. punkta </w:t>
      </w:r>
      <w:r w:rsidR="005C2E6E" w:rsidRPr="00AA4F21">
        <w:t>izpratnē;</w:t>
      </w:r>
    </w:p>
    <w:p w14:paraId="446BEB60" w14:textId="051BF5DE" w:rsidR="00C13B33" w:rsidRPr="00AA4F21" w:rsidRDefault="00C13B33" w:rsidP="005C2E6E">
      <w:pPr>
        <w:pStyle w:val="NApunkts2"/>
      </w:pPr>
      <w:r w:rsidRPr="00AA4F21">
        <w:t>iekšējā modeļa piemērošanas joma</w:t>
      </w:r>
      <w:r w:rsidR="005C2E6E" w:rsidRPr="00AA4F21">
        <w:t xml:space="preserve"> – </w:t>
      </w:r>
      <w:r w:rsidR="0071357E">
        <w:t xml:space="preserve">iekšējā modeļa piemērošanas joma </w:t>
      </w:r>
      <w:r w:rsidR="0097116F" w:rsidRPr="00AA4F21">
        <w:t>R</w:t>
      </w:r>
      <w:r w:rsidRPr="00AA4F21">
        <w:t>egula</w:t>
      </w:r>
      <w:r w:rsidR="005C2E6E" w:rsidRPr="00AA4F21">
        <w:t>s</w:t>
      </w:r>
      <w:r w:rsidRPr="00AA4F21">
        <w:t xml:space="preserve"> Nr.</w:t>
      </w:r>
      <w:r w:rsidR="00046DC7" w:rsidRPr="00AA4F21">
        <w:t> </w:t>
      </w:r>
      <w:r w:rsidRPr="00AA4F21">
        <w:t>2015/35</w:t>
      </w:r>
      <w:r w:rsidR="005C2E6E" w:rsidRPr="00AA4F21">
        <w:t xml:space="preserve"> </w:t>
      </w:r>
      <w:r w:rsidR="00070104" w:rsidRPr="00AA4F21">
        <w:t xml:space="preserve">1. panta 18. punkta </w:t>
      </w:r>
      <w:r w:rsidR="005C2E6E" w:rsidRPr="00AA4F21">
        <w:t>izpratnē</w:t>
      </w:r>
      <w:r w:rsidR="00895336">
        <w:t>.</w:t>
      </w:r>
    </w:p>
    <w:p w14:paraId="6C4C9182" w14:textId="6202B23B" w:rsidR="001B7A1D" w:rsidRPr="00AA4F21" w:rsidRDefault="004F3EE7" w:rsidP="000271C4">
      <w:pPr>
        <w:pStyle w:val="NApunkts1"/>
      </w:pPr>
      <w:r>
        <w:t>Šo n</w:t>
      </w:r>
      <w:r w:rsidR="001B7A1D" w:rsidRPr="00AA4F21">
        <w:t xml:space="preserve">oteikumu prasības ir piemērojamas arī tādiem datiem un modeļiem, </w:t>
      </w:r>
      <w:r w:rsidR="007A435E">
        <w:t>kuri</w:t>
      </w:r>
      <w:r w:rsidR="007A435E" w:rsidRPr="00AA4F21">
        <w:t xml:space="preserve"> </w:t>
      </w:r>
      <w:r w:rsidR="001B7A1D" w:rsidRPr="00AA4F21">
        <w:t>iegūti no trešās personas, kā arī grupu iekšējiem modeļiem.</w:t>
      </w:r>
    </w:p>
    <w:p w14:paraId="774F46BE" w14:textId="75B4B0D2" w:rsidR="00840034" w:rsidRPr="00AA4F21" w:rsidRDefault="00A44CE0" w:rsidP="00CD44FF">
      <w:pPr>
        <w:pStyle w:val="NAnodalaromiesucipari"/>
      </w:pPr>
      <w:r w:rsidRPr="00AA4F21">
        <w:t>Prasības attiecībā uz i</w:t>
      </w:r>
      <w:r w:rsidR="00ED5ADC" w:rsidRPr="00AA4F21">
        <w:t>ekšēj</w:t>
      </w:r>
      <w:r w:rsidR="006C5377" w:rsidRPr="00AA4F21">
        <w:t>o</w:t>
      </w:r>
      <w:r w:rsidR="00ED5ADC" w:rsidRPr="00AA4F21">
        <w:t xml:space="preserve"> modeļ</w:t>
      </w:r>
      <w:r w:rsidR="006C5377" w:rsidRPr="00AA4F21">
        <w:t>u</w:t>
      </w:r>
      <w:r w:rsidR="00ED5ADC" w:rsidRPr="00AA4F21">
        <w:t xml:space="preserve"> izmantošanas test</w:t>
      </w:r>
      <w:r w:rsidRPr="00AA4F21">
        <w:t>u</w:t>
      </w:r>
    </w:p>
    <w:p w14:paraId="3759E6DA" w14:textId="0C2053E0" w:rsidR="00840034" w:rsidRPr="00AA4F21" w:rsidRDefault="00ED5ADC" w:rsidP="00ED5ADC">
      <w:pPr>
        <w:pStyle w:val="NApunkts1"/>
      </w:pPr>
      <w:r w:rsidRPr="00AA4F21">
        <w:t>Apdrošinātājs vai pārapdrošinātājs nodrošina, ka iekšēj</w:t>
      </w:r>
      <w:r w:rsidR="00232D69">
        <w:t>o</w:t>
      </w:r>
      <w:r w:rsidRPr="00AA4F21">
        <w:t xml:space="preserve"> modeli plaši izmanto un tam ir būtiska nozīme pārvaldības sistēmā atbilstoši </w:t>
      </w:r>
      <w:r w:rsidR="0097116F" w:rsidRPr="00AA4F21">
        <w:t>R</w:t>
      </w:r>
      <w:r w:rsidRPr="00AA4F21">
        <w:t>egula</w:t>
      </w:r>
      <w:r w:rsidR="00C13B33" w:rsidRPr="00AA4F21">
        <w:t>s</w:t>
      </w:r>
      <w:r w:rsidRPr="00AA4F21">
        <w:t xml:space="preserve"> Nr.</w:t>
      </w:r>
      <w:r w:rsidR="00046DC7" w:rsidRPr="00AA4F21">
        <w:t> </w:t>
      </w:r>
      <w:r w:rsidRPr="00AA4F21">
        <w:t>2015/35 nosacījumiem, īpaši:</w:t>
      </w:r>
    </w:p>
    <w:p w14:paraId="707CB7AA" w14:textId="365E94CE" w:rsidR="00ED5ADC" w:rsidRPr="00AA4F21" w:rsidRDefault="00ED5ADC" w:rsidP="00ED5ADC">
      <w:pPr>
        <w:pStyle w:val="NApunkts2"/>
      </w:pPr>
      <w:r w:rsidRPr="00AA4F21">
        <w:lastRenderedPageBreak/>
        <w:t>risku pārvaldības sistēmā un lēmumu pieņemšanas procesos;</w:t>
      </w:r>
    </w:p>
    <w:p w14:paraId="62C87998" w14:textId="4CE83FB2" w:rsidR="00ED5ADC" w:rsidRPr="00AA4F21" w:rsidRDefault="00ED5ADC" w:rsidP="00ED5ADC">
      <w:pPr>
        <w:pStyle w:val="NApunkts2"/>
      </w:pPr>
      <w:r w:rsidRPr="00AA4F21">
        <w:t>maksātspējas kapitāla novērtēšanā un izvietošanā atbilstoši risku klasifikācijai, kā arī risku un maksātspējas pašu novērtējumā.</w:t>
      </w:r>
    </w:p>
    <w:p w14:paraId="0EFA0E8B" w14:textId="08DF4385" w:rsidR="00840034" w:rsidRPr="001932F3" w:rsidRDefault="00ED5ADC" w:rsidP="00ED5ADC">
      <w:pPr>
        <w:pStyle w:val="NApunkts1"/>
      </w:pPr>
      <w:r w:rsidRPr="00AA4F21">
        <w:t xml:space="preserve">Maksātspējas kapitāla prasības aprēķināšanas biežums, izmantojot iekšējo modeli, atbilst </w:t>
      </w:r>
      <w:r w:rsidRPr="001932F3">
        <w:t>biežumam, kādā apdrošinātājs vai pārapdrošinātājs izmanto iekšējo modeli citām šo noteikumu 4.</w:t>
      </w:r>
      <w:r w:rsidR="00046DC7" w:rsidRPr="001932F3">
        <w:t> </w:t>
      </w:r>
      <w:r w:rsidRPr="001932F3">
        <w:t>punktā minētajām vajadzībām.</w:t>
      </w:r>
    </w:p>
    <w:p w14:paraId="40D4711D" w14:textId="6CAD5479" w:rsidR="00ED5ADC" w:rsidRPr="00AA4F21" w:rsidRDefault="00ED5ADC" w:rsidP="00ED5ADC">
      <w:pPr>
        <w:pStyle w:val="NApunkts1"/>
      </w:pPr>
      <w:r w:rsidRPr="001932F3">
        <w:t>Apdrošinātāja vai pārapdrošinātāja</w:t>
      </w:r>
      <w:r w:rsidRPr="00AA4F21">
        <w:t xml:space="preserve"> valde ir atbildīga par iekšējā modeļa uzbūves un darbības pastāvīgu atbilstību prasībām un par to, ka iekšējais modelis atbilstīgi atspoguļo attiecīgā apdrošinātāja vai pārapdrošinātāja riska profilu.</w:t>
      </w:r>
    </w:p>
    <w:p w14:paraId="2A0C99B4" w14:textId="4F3E6B7A" w:rsidR="00840034" w:rsidRPr="00AA4F21" w:rsidRDefault="006C5377" w:rsidP="00CD44FF">
      <w:pPr>
        <w:pStyle w:val="NAnodalaromiesucipari"/>
      </w:pPr>
      <w:r w:rsidRPr="00AA4F21">
        <w:t>Prasības attiecībā uz s</w:t>
      </w:r>
      <w:r w:rsidR="00ED5ADC" w:rsidRPr="00AA4F21">
        <w:t>tatistiskās kvalitātes standarti</w:t>
      </w:r>
      <w:r w:rsidRPr="00AA4F21">
        <w:t>em</w:t>
      </w:r>
    </w:p>
    <w:p w14:paraId="40715280" w14:textId="1C7C6DA2" w:rsidR="00840034" w:rsidRPr="00AA4F21" w:rsidRDefault="00E3010C" w:rsidP="00ED5ADC">
      <w:pPr>
        <w:pStyle w:val="NApunkts1"/>
      </w:pPr>
      <w:r w:rsidRPr="00AA4F21">
        <w:t>Apdrošinātājs vai pārapdrošinātājs nodrošina, ka i</w:t>
      </w:r>
      <w:r w:rsidR="00ED5ADC" w:rsidRPr="00AA4F21">
        <w:t>ekšējais modelis</w:t>
      </w:r>
      <w:r w:rsidR="0071357E">
        <w:t>,</w:t>
      </w:r>
      <w:r w:rsidR="00ED5ADC" w:rsidRPr="00AA4F21">
        <w:t xml:space="preserve"> īpaši tā pamatā esošās varbūtības sadalījuma prognozes aprēķins</w:t>
      </w:r>
      <w:r w:rsidR="0071357E">
        <w:t>,</w:t>
      </w:r>
      <w:r w:rsidR="00ED5ADC" w:rsidRPr="00AA4F21">
        <w:t xml:space="preserve"> atbilst</w:t>
      </w:r>
      <w:r w:rsidR="007D286B">
        <w:t xml:space="preserve"> šajā nodaļā </w:t>
      </w:r>
      <w:r w:rsidR="00ED5ADC" w:rsidRPr="00AA4F21">
        <w:t xml:space="preserve">noteiktajiem kritērijiem un </w:t>
      </w:r>
      <w:r w:rsidR="0097116F" w:rsidRPr="00AA4F21">
        <w:t>R</w:t>
      </w:r>
      <w:r w:rsidR="00ED5ADC" w:rsidRPr="00AA4F21">
        <w:t>egulas Nr.</w:t>
      </w:r>
      <w:r w:rsidR="00046DC7" w:rsidRPr="00AA4F21">
        <w:t> </w:t>
      </w:r>
      <w:r w:rsidR="00ED5ADC" w:rsidRPr="00AA4F21">
        <w:t>2015/35 prasībām.</w:t>
      </w:r>
    </w:p>
    <w:p w14:paraId="5676D69C" w14:textId="46ADA166" w:rsidR="00840034" w:rsidRPr="00AA4F21" w:rsidRDefault="00ED5ADC" w:rsidP="00ED5ADC">
      <w:pPr>
        <w:pStyle w:val="NApunkts1"/>
      </w:pPr>
      <w:r w:rsidRPr="00AA4F21">
        <w:t>Apdrošinātājs vai pārapdrošinātājs pamato pieņēmumus, uz kuriem balstās tā iekšējais modelis. Metodes, ko izmanto, lai aprēķinātu varbūtības sadalījuma prognozi, pamatojas uz:</w:t>
      </w:r>
    </w:p>
    <w:p w14:paraId="6FCED869" w14:textId="0BAC4DE9" w:rsidR="00ED5ADC" w:rsidRPr="00AA4F21" w:rsidRDefault="00ED5ADC" w:rsidP="00ED5ADC">
      <w:pPr>
        <w:pStyle w:val="NApunkts2"/>
      </w:pPr>
      <w:r w:rsidRPr="00AA4F21">
        <w:t>piemērotām, pielietojamām un atbilstīgām aktuāra un statistikas metodēm un atbilst metodēm, ko izmanto, lai aprēķinātu tehniskās rezerves;</w:t>
      </w:r>
    </w:p>
    <w:p w14:paraId="51D093CF" w14:textId="3CD954A0" w:rsidR="00ED5ADC" w:rsidRPr="00AA4F21" w:rsidRDefault="00ED5ADC" w:rsidP="00ED5ADC">
      <w:pPr>
        <w:pStyle w:val="NApunkts2"/>
      </w:pPr>
      <w:r w:rsidRPr="00AA4F21">
        <w:t>aktuālu un ticamu informāciju un reālistiskiem pieņēmumiem.</w:t>
      </w:r>
    </w:p>
    <w:p w14:paraId="7CA52DBB" w14:textId="275601FC" w:rsidR="00BC70C7" w:rsidRPr="00AA4F21" w:rsidRDefault="00BC70C7" w:rsidP="00BC70C7">
      <w:pPr>
        <w:pStyle w:val="NApunkts1"/>
      </w:pPr>
      <w:r w:rsidRPr="00AA4F21">
        <w:t xml:space="preserve">Apdrošinātājs vai pārapdrošinātājs </w:t>
      </w:r>
      <w:r w:rsidR="006979C1">
        <w:t xml:space="preserve">novērtē </w:t>
      </w:r>
      <w:r w:rsidR="006979C1" w:rsidRPr="00AA4F21">
        <w:t>iekšējā modelī izmantoto pieņēmumu un ekspertu atzinumu</w:t>
      </w:r>
      <w:r w:rsidR="006979C1">
        <w:t xml:space="preserve"> ietekmes būtiskumu</w:t>
      </w:r>
      <w:r w:rsidR="00740844">
        <w:t>, izmantojot gan kvantitatīvus, gan kvalitatīvus rādītājus</w:t>
      </w:r>
      <w:r w:rsidRPr="00AA4F21">
        <w:t>.</w:t>
      </w:r>
    </w:p>
    <w:p w14:paraId="6F851056" w14:textId="03783C0D" w:rsidR="008C4920" w:rsidRPr="00AA4F21" w:rsidRDefault="00BC70C7" w:rsidP="000C0033">
      <w:pPr>
        <w:pStyle w:val="NApunkts1"/>
      </w:pPr>
      <w:r w:rsidRPr="00AA4F21">
        <w:t>Apdrošinātājs vai pārapdrošinātājs nodrošina, ka pieņēmumu noteikšana</w:t>
      </w:r>
      <w:r w:rsidR="0071357E">
        <w:t>,</w:t>
      </w:r>
      <w:r w:rsidRPr="00AA4F21">
        <w:t xml:space="preserve"> īpaši eksperta atzinuma izmantošana</w:t>
      </w:r>
      <w:r w:rsidR="0071357E">
        <w:t>,</w:t>
      </w:r>
      <w:r w:rsidRPr="00AA4F21">
        <w:t xml:space="preserve"> notiek saskaņā ar apstiprinātu un dokumentētu procesu</w:t>
      </w:r>
      <w:r w:rsidR="008C4920" w:rsidRPr="00AA4F21">
        <w:t>.</w:t>
      </w:r>
    </w:p>
    <w:p w14:paraId="5E7D3E03" w14:textId="5E47D9FD" w:rsidR="00BC70C7" w:rsidRPr="00AA4F21" w:rsidRDefault="008C4920" w:rsidP="000C0033">
      <w:pPr>
        <w:pStyle w:val="NApunkts1"/>
      </w:pPr>
      <w:r w:rsidRPr="00AA4F21">
        <w:t xml:space="preserve">Apdrošinātājs vai pārapdrošinātājs nodrošina, ka </w:t>
      </w:r>
      <w:r w:rsidR="00BC70C7" w:rsidRPr="00AA4F21">
        <w:t>procesi saistībā ar pieņēmumiem</w:t>
      </w:r>
      <w:r w:rsidR="0071357E">
        <w:t>,</w:t>
      </w:r>
      <w:r w:rsidR="00BC70C7" w:rsidRPr="00AA4F21">
        <w:t xml:space="preserve"> īpaši saistībā ar eksperta atzinuma izmantošanu pieņēmumu izvēlē</w:t>
      </w:r>
      <w:r w:rsidR="0071357E">
        <w:t>,</w:t>
      </w:r>
      <w:r w:rsidR="00BC70C7" w:rsidRPr="00AA4F21">
        <w:t xml:space="preserve"> ir vērsti uz to, lai mazinātu pārpratumu vai saziņas kļūdu risku starp visām ar šiem pieņēmumiem saistītajām personām vai komitejām</w:t>
      </w:r>
      <w:r w:rsidRPr="00AA4F21">
        <w:t>.</w:t>
      </w:r>
    </w:p>
    <w:p w14:paraId="05C0EB6F" w14:textId="02F35855" w:rsidR="00BC70C7" w:rsidRPr="00AA4F21" w:rsidRDefault="008C4920" w:rsidP="000271C4">
      <w:pPr>
        <w:pStyle w:val="NApunkts1"/>
      </w:pPr>
      <w:r w:rsidRPr="00AA4F21">
        <w:t xml:space="preserve">Apdrošinātājs vai pārapdrošinātājs nodrošina, ka </w:t>
      </w:r>
      <w:r w:rsidR="00BC70C7" w:rsidRPr="00AA4F21">
        <w:t>pieņēmumu noteikšanas proces</w:t>
      </w:r>
      <w:r w:rsidR="00740844">
        <w:t>u</w:t>
      </w:r>
      <w:r w:rsidR="0071357E">
        <w:t>,</w:t>
      </w:r>
      <w:r w:rsidR="00BC70C7" w:rsidRPr="00AA4F21">
        <w:t xml:space="preserve"> īpaši eksperta atzinuma izmantošan</w:t>
      </w:r>
      <w:r w:rsidR="00232D69">
        <w:t>u</w:t>
      </w:r>
      <w:r w:rsidR="0071357E">
        <w:t>,</w:t>
      </w:r>
      <w:r w:rsidR="00BC70C7" w:rsidRPr="00AA4F21">
        <w:t xml:space="preserve"> dokumentē tādā veidā, kas nodrošina procesa pārredzamību.</w:t>
      </w:r>
    </w:p>
    <w:p w14:paraId="177721FE" w14:textId="4F5725AE" w:rsidR="00BC70C7" w:rsidRPr="00AA4F21" w:rsidRDefault="00973B1E" w:rsidP="00BC70C7">
      <w:pPr>
        <w:pStyle w:val="NApunkts1"/>
      </w:pPr>
      <w:r w:rsidRPr="00AA4F21">
        <w:t>Apdrošinātājs vai pārapdrošinātājs</w:t>
      </w:r>
      <w:r w:rsidR="00BC70C7" w:rsidRPr="00AA4F21">
        <w:t xml:space="preserve"> nodrošina pieņēmumu izvēles un eksperta atzinuma izmantošanas procesa validāciju.</w:t>
      </w:r>
    </w:p>
    <w:p w14:paraId="73AB74EE" w14:textId="3A3CC2AF" w:rsidR="00BF21FF" w:rsidRPr="00AA4F21" w:rsidRDefault="00BF21FF" w:rsidP="00BF21FF">
      <w:pPr>
        <w:pStyle w:val="NApunkts1"/>
      </w:pPr>
      <w:r w:rsidRPr="00AA4F21">
        <w:t>Apdrošinātājs vai pārapdrošinātājs nodrošina riska profila pārzināšanu, tai skaitā:</w:t>
      </w:r>
    </w:p>
    <w:p w14:paraId="13B1B9B0" w14:textId="375F7848" w:rsidR="00BF21FF" w:rsidRPr="00AA4F21" w:rsidRDefault="00BF21FF" w:rsidP="000C0033">
      <w:pPr>
        <w:pStyle w:val="NApunkts2"/>
      </w:pPr>
      <w:r w:rsidRPr="00AA4F21">
        <w:t>nodrošina to, ka iekšējā modeļa pamatā esošās varbūtības sadalījuma prognozes notikumu uzskaitījums ir pilnīgs;</w:t>
      </w:r>
    </w:p>
    <w:p w14:paraId="242D45B8" w14:textId="3D8A6793" w:rsidR="00BF21FF" w:rsidRPr="00AA4F21" w:rsidRDefault="00BF21FF" w:rsidP="000C0033">
      <w:pPr>
        <w:pStyle w:val="NApunkts2"/>
      </w:pPr>
      <w:r w:rsidRPr="00AA4F21">
        <w:t>izveido procesu, lai nodrošinātu pietiekamas un aktuālas zināšanas par tā riska profilu;</w:t>
      </w:r>
    </w:p>
    <w:p w14:paraId="77D860D5" w14:textId="7F58257F" w:rsidR="00BF21FF" w:rsidRPr="00AA4F21" w:rsidRDefault="00BF21FF" w:rsidP="000C0033">
      <w:pPr>
        <w:pStyle w:val="NApunkts2"/>
      </w:pPr>
      <w:r w:rsidRPr="00AA4F21">
        <w:t>uztur informāciju par risku noteicošajiem un citiem faktoriem, kas izskaidro varbūtības sadalījuma prognozes pamatā esošā mainīgā lieluma izmaiņas, tā, lai varbūtības sadalījuma prognoze var</w:t>
      </w:r>
      <w:r w:rsidR="00453CF2">
        <w:t>ētu</w:t>
      </w:r>
      <w:r w:rsidRPr="00AA4F21">
        <w:t xml:space="preserve"> atspoguļot visas apdrošinātāja vai pārapdrošinātāja riska profila būtiskās īpašības.</w:t>
      </w:r>
    </w:p>
    <w:p w14:paraId="1C452E73" w14:textId="03118C12" w:rsidR="00BF21FF" w:rsidRPr="00AA4F21" w:rsidRDefault="002754EB" w:rsidP="00BF21FF">
      <w:pPr>
        <w:pStyle w:val="NApunkts1"/>
      </w:pPr>
      <w:r w:rsidRPr="00AA4F21">
        <w:lastRenderedPageBreak/>
        <w:t>Apdrošinātājs vai pārapdrošinātājs nodrošina</w:t>
      </w:r>
      <w:r w:rsidR="00BF21FF" w:rsidRPr="00AA4F21">
        <w:t xml:space="preserve"> tā varbūtības sadalījuma prognozes pilnīgumu, tai skaitā:</w:t>
      </w:r>
    </w:p>
    <w:p w14:paraId="2513A9D3" w14:textId="71D0C8D0" w:rsidR="00BF21FF" w:rsidRPr="00AA4F21" w:rsidRDefault="00BF21FF" w:rsidP="000C0033">
      <w:pPr>
        <w:pStyle w:val="NApunkts2"/>
      </w:pPr>
      <w:r w:rsidRPr="00AA4F21">
        <w:t xml:space="preserve">novērtē varbūtības sadalījuma prognozes aprēķinā izmantoto </w:t>
      </w:r>
      <w:proofErr w:type="spellStart"/>
      <w:r w:rsidRPr="00AA4F21">
        <w:t>aktuāro</w:t>
      </w:r>
      <w:proofErr w:type="spellEnd"/>
      <w:r w:rsidRPr="00AA4F21">
        <w:t xml:space="preserve"> un statistikas metožu piemērotību</w:t>
      </w:r>
      <w:r w:rsidR="002754EB" w:rsidRPr="00AA4F21">
        <w:t>, kā arī</w:t>
      </w:r>
      <w:r w:rsidRPr="00AA4F21">
        <w:t xml:space="preserve"> novērtē metožu spēju apstrādāt informāciju par riska profilu;</w:t>
      </w:r>
    </w:p>
    <w:p w14:paraId="7E66D865" w14:textId="7288D669" w:rsidR="00BF21FF" w:rsidRPr="001932F3" w:rsidRDefault="00BF21FF" w:rsidP="000C0033">
      <w:pPr>
        <w:pStyle w:val="NApunkts2"/>
      </w:pPr>
      <w:r w:rsidRPr="00AA4F21">
        <w:t xml:space="preserve">izvēlas metodes, kas sagatavo tādu varbūtības sadalījuma prognozi, kura ir pietiekami pilnīga, lai atspoguļotu visas </w:t>
      </w:r>
      <w:r w:rsidR="002754EB" w:rsidRPr="00AA4F21">
        <w:t>apdrošinātāja vai pārapdrošinātāja</w:t>
      </w:r>
      <w:r w:rsidRPr="00AA4F21">
        <w:t xml:space="preserve"> riska profila būtiskās īpašības un </w:t>
      </w:r>
      <w:r w:rsidRPr="001932F3">
        <w:t>palīdzētu lēmumu pieņemšanas procesā;</w:t>
      </w:r>
    </w:p>
    <w:p w14:paraId="4A88853D" w14:textId="0B4CB8FD" w:rsidR="00BF21FF" w:rsidRPr="001932F3" w:rsidRDefault="00BF21FF" w:rsidP="000C0033">
      <w:pPr>
        <w:pStyle w:val="NApunkts2"/>
      </w:pPr>
      <w:r w:rsidRPr="001932F3">
        <w:t xml:space="preserve">veicot </w:t>
      </w:r>
      <w:r w:rsidR="0027143B" w:rsidRPr="001932F3">
        <w:t xml:space="preserve">šo noteikumu </w:t>
      </w:r>
      <w:r w:rsidR="002754EB" w:rsidRPr="001932F3">
        <w:t>1</w:t>
      </w:r>
      <w:r w:rsidR="00CD220F" w:rsidRPr="001932F3">
        <w:t>5</w:t>
      </w:r>
      <w:r w:rsidRPr="001932F3">
        <w:t xml:space="preserve">.1. un </w:t>
      </w:r>
      <w:r w:rsidR="002754EB" w:rsidRPr="001932F3">
        <w:t>1</w:t>
      </w:r>
      <w:r w:rsidR="00CD220F" w:rsidRPr="001932F3">
        <w:t>5</w:t>
      </w:r>
      <w:r w:rsidRPr="001932F3">
        <w:t>.2.</w:t>
      </w:r>
      <w:r w:rsidR="00046DC7" w:rsidRPr="001932F3">
        <w:t> </w:t>
      </w:r>
      <w:r w:rsidR="00D602EE" w:rsidRPr="001932F3">
        <w:t>apakš</w:t>
      </w:r>
      <w:r w:rsidRPr="001932F3">
        <w:t xml:space="preserve">punktā minēto metodoloģisko novērtējumu, </w:t>
      </w:r>
      <w:r w:rsidR="00232D69" w:rsidRPr="001932F3">
        <w:t>pamatojoties uz varbūtības sadalījuma prognozi</w:t>
      </w:r>
      <w:r w:rsidR="00740844" w:rsidRPr="001932F3">
        <w:t>,</w:t>
      </w:r>
      <w:r w:rsidR="00232D69" w:rsidRPr="001932F3">
        <w:t xml:space="preserve"> </w:t>
      </w:r>
      <w:r w:rsidRPr="001932F3">
        <w:t xml:space="preserve">apsver, cik ticamas ir aplēstās negatīvās ietekmes </w:t>
      </w:r>
      <w:proofErr w:type="spellStart"/>
      <w:r w:rsidRPr="001932F3">
        <w:t>kvantiles</w:t>
      </w:r>
      <w:proofErr w:type="spellEnd"/>
      <w:r w:rsidRPr="001932F3">
        <w:t>;</w:t>
      </w:r>
    </w:p>
    <w:p w14:paraId="726C5A63" w14:textId="2F5B5426" w:rsidR="00BF21FF" w:rsidRPr="001932F3" w:rsidRDefault="00BF21FF" w:rsidP="000C0033">
      <w:pPr>
        <w:pStyle w:val="NApunkts2"/>
      </w:pPr>
      <w:r w:rsidRPr="001932F3">
        <w:t xml:space="preserve">nodrošina to, ka centieni izstrādāt pilnīgu varbūtības sadalījuma prognozi nekaitē negatīvās ietekmes </w:t>
      </w:r>
      <w:proofErr w:type="spellStart"/>
      <w:r w:rsidRPr="001932F3">
        <w:t>kvantiļu</w:t>
      </w:r>
      <w:proofErr w:type="spellEnd"/>
      <w:r w:rsidRPr="001932F3">
        <w:t xml:space="preserve"> aplēses ticamībai.</w:t>
      </w:r>
    </w:p>
    <w:p w14:paraId="10B5AE57" w14:textId="2B0EBDA5" w:rsidR="00BC70C7" w:rsidRPr="00AA4F21" w:rsidRDefault="00D602EE" w:rsidP="000C0033">
      <w:pPr>
        <w:pStyle w:val="NApunkts1"/>
      </w:pPr>
      <w:r w:rsidRPr="001932F3">
        <w:t xml:space="preserve">Apdrošinātājs vai pārapdrošinātājs izstrādā </w:t>
      </w:r>
      <w:r w:rsidR="00BF21FF" w:rsidRPr="001932F3">
        <w:t>metodoloģiju varbūtības sadalījuma prognozes papildināšanai</w:t>
      </w:r>
      <w:r w:rsidRPr="001932F3">
        <w:t xml:space="preserve">, kas </w:t>
      </w:r>
      <w:r w:rsidR="00BF21FF" w:rsidRPr="001932F3">
        <w:t xml:space="preserve">atbilst statistikas kvalitātes standartiem attiecībā uz metodēm, pieņēmumiem un datiem (atbilstoši </w:t>
      </w:r>
      <w:r w:rsidR="002754EB" w:rsidRPr="001932F3">
        <w:t xml:space="preserve">šo noteikumu </w:t>
      </w:r>
      <w:r w:rsidR="002754EB" w:rsidRPr="001932F3">
        <w:rPr>
          <w:iCs/>
        </w:rPr>
        <w:t>7.</w:t>
      </w:r>
      <w:r w:rsidR="00DE48BE" w:rsidRPr="001932F3">
        <w:rPr>
          <w:iCs/>
        </w:rPr>
        <w:t>, 8., 9., 10., 11., 12.</w:t>
      </w:r>
      <w:r w:rsidR="00CD220F" w:rsidRPr="001932F3">
        <w:rPr>
          <w:iCs/>
        </w:rPr>
        <w:t>, 13.</w:t>
      </w:r>
      <w:r w:rsidR="005A07FF" w:rsidRPr="001932F3">
        <w:rPr>
          <w:iCs/>
        </w:rPr>
        <w:t>,</w:t>
      </w:r>
      <w:r w:rsidR="00CD220F" w:rsidRPr="001932F3">
        <w:rPr>
          <w:iCs/>
        </w:rPr>
        <w:t xml:space="preserve"> 14.</w:t>
      </w:r>
      <w:r w:rsidR="0071357E" w:rsidRPr="001932F3">
        <w:rPr>
          <w:iCs/>
        </w:rPr>
        <w:t> </w:t>
      </w:r>
      <w:r w:rsidR="00DE48BE" w:rsidRPr="001932F3">
        <w:rPr>
          <w:iCs/>
        </w:rPr>
        <w:t xml:space="preserve">un </w:t>
      </w:r>
      <w:r w:rsidR="002754EB" w:rsidRPr="001932F3">
        <w:rPr>
          <w:iCs/>
        </w:rPr>
        <w:t>1</w:t>
      </w:r>
      <w:r w:rsidR="00CD220F" w:rsidRPr="001932F3">
        <w:rPr>
          <w:iCs/>
        </w:rPr>
        <w:t>5</w:t>
      </w:r>
      <w:r w:rsidR="002754EB" w:rsidRPr="001932F3">
        <w:rPr>
          <w:iCs/>
        </w:rPr>
        <w:t>.</w:t>
      </w:r>
      <w:r w:rsidR="00046DC7" w:rsidRPr="001932F3">
        <w:rPr>
          <w:iCs/>
        </w:rPr>
        <w:t> </w:t>
      </w:r>
      <w:r w:rsidR="002754EB" w:rsidRPr="001932F3">
        <w:rPr>
          <w:iCs/>
        </w:rPr>
        <w:t>punkta</w:t>
      </w:r>
      <w:r w:rsidR="002754EB" w:rsidRPr="001932F3">
        <w:rPr>
          <w:i/>
        </w:rPr>
        <w:t xml:space="preserve"> </w:t>
      </w:r>
      <w:r w:rsidR="00BF21FF" w:rsidRPr="001932F3">
        <w:t xml:space="preserve">prasībām). Ja metodoloģija paredz eksperta atzinumu izmantošanu, </w:t>
      </w:r>
      <w:r w:rsidRPr="001932F3">
        <w:t>apdrošinātājs vai pārapdrošinātājs</w:t>
      </w:r>
      <w:r w:rsidR="00BF21FF" w:rsidRPr="001932F3">
        <w:t xml:space="preserve"> ievēro </w:t>
      </w:r>
      <w:r w:rsidRPr="001932F3">
        <w:t>šo noteikumu 9.</w:t>
      </w:r>
      <w:r w:rsidR="00DE48BE" w:rsidRPr="001932F3">
        <w:rPr>
          <w:iCs/>
        </w:rPr>
        <w:t xml:space="preserve"> 10.</w:t>
      </w:r>
      <w:r w:rsidR="00CD220F" w:rsidRPr="001932F3">
        <w:rPr>
          <w:iCs/>
        </w:rPr>
        <w:t>, 11., 12.</w:t>
      </w:r>
      <w:r w:rsidR="0071357E" w:rsidRPr="001932F3">
        <w:rPr>
          <w:iCs/>
        </w:rPr>
        <w:t> </w:t>
      </w:r>
      <w:r w:rsidR="00DE48BE" w:rsidRPr="001932F3">
        <w:rPr>
          <w:iCs/>
        </w:rPr>
        <w:t xml:space="preserve">un </w:t>
      </w:r>
      <w:r w:rsidRPr="001932F3">
        <w:t>1</w:t>
      </w:r>
      <w:r w:rsidR="00CD220F" w:rsidRPr="001932F3">
        <w:t>3</w:t>
      </w:r>
      <w:r w:rsidRPr="001932F3">
        <w:t>.</w:t>
      </w:r>
      <w:r w:rsidR="00046DC7" w:rsidRPr="001932F3">
        <w:t> </w:t>
      </w:r>
      <w:r w:rsidRPr="001932F3">
        <w:t>punktā</w:t>
      </w:r>
      <w:r w:rsidR="00BF21FF" w:rsidRPr="001932F3">
        <w:t xml:space="preserve"> minēt</w:t>
      </w:r>
      <w:r w:rsidR="00845C0E" w:rsidRPr="001932F3">
        <w:t>ās</w:t>
      </w:r>
      <w:r w:rsidR="00BF21FF" w:rsidRPr="001932F3">
        <w:t xml:space="preserve"> </w:t>
      </w:r>
      <w:r w:rsidR="00845C0E" w:rsidRPr="001932F3">
        <w:t>prasības</w:t>
      </w:r>
      <w:r w:rsidR="00BF21FF" w:rsidRPr="001932F3">
        <w:t xml:space="preserve"> par pieņēmumu noteikšanu un eksperta atzinumu izmantošanu. </w:t>
      </w:r>
      <w:r w:rsidRPr="001932F3">
        <w:t>Apdrošinātājs vai pārapdrošinātājs</w:t>
      </w:r>
      <w:r w:rsidR="00BF21FF" w:rsidRPr="001932F3">
        <w:t xml:space="preserve"> nodrošina, ka varbūtības sadalījuma prognoz</w:t>
      </w:r>
      <w:r w:rsidR="00232D69" w:rsidRPr="001932F3">
        <w:t>i</w:t>
      </w:r>
      <w:r w:rsidR="00BF21FF" w:rsidRPr="001932F3">
        <w:t xml:space="preserve"> nepamatoti </w:t>
      </w:r>
      <w:r w:rsidR="00232D69" w:rsidRPr="001932F3">
        <w:t>ne</w:t>
      </w:r>
      <w:r w:rsidR="00BF21FF" w:rsidRPr="001932F3">
        <w:t>papildina, kā rezultātā tā neatspoguļotu</w:t>
      </w:r>
      <w:r w:rsidR="00BF21FF" w:rsidRPr="00AA4F21">
        <w:t xml:space="preserve"> patieso informāciju par sabiedrības riska profilu.</w:t>
      </w:r>
    </w:p>
    <w:p w14:paraId="52A5A642" w14:textId="0EDEAB5F" w:rsidR="00ED5ADC" w:rsidRPr="00AA4F21" w:rsidRDefault="006C5DFD" w:rsidP="00ED5ADC">
      <w:pPr>
        <w:pStyle w:val="NApunkts1"/>
      </w:pPr>
      <w:r w:rsidRPr="00AA4F21">
        <w:t>Apdrošinātājs vai pārapdrošinātājs nodrošina, ka i</w:t>
      </w:r>
      <w:r w:rsidR="00ED5ADC" w:rsidRPr="00AA4F21">
        <w:t xml:space="preserve">ekšējā modeļa aprēķināšanai izmantotie dati ir precīzi, pilnīgi un atbilstīgi. Apdrošinātājs vai pārapdrošinātājs </w:t>
      </w:r>
      <w:r w:rsidR="00B1470C" w:rsidRPr="00AA4F21">
        <w:t xml:space="preserve">vismaz reizi gadā </w:t>
      </w:r>
      <w:r w:rsidR="00ED5ADC" w:rsidRPr="00AA4F21">
        <w:t>atjaunina datu kopumu, kas izmantots varbūtības sadalījuma prognozes aprēķināšanai.</w:t>
      </w:r>
    </w:p>
    <w:p w14:paraId="3FA870B8" w14:textId="0F611A01" w:rsidR="00ED5ADC" w:rsidRPr="00AA4F21" w:rsidRDefault="006C5DFD" w:rsidP="00ED5ADC">
      <w:pPr>
        <w:pStyle w:val="NApunkts1"/>
      </w:pPr>
      <w:r w:rsidRPr="00AA4F21">
        <w:t>Apdrošinātājs vai pārapdrošinātājs nodrošina, ka, n</w:t>
      </w:r>
      <w:r w:rsidR="00ED5ADC" w:rsidRPr="00AA4F21">
        <w:t>eraugoties uz izvēlēto aprēķina metodi, iekšējā modeļa spēja novērtēt risku ir pietiekama, lai nodrošinātu, ka to plaši izmanto un ka tam ir būtiska nozīme apdrošinātāja vai pārapdrošinātāja pārvaldības sistēmā, īpaši riska pārvaldības sistēmā, lēmumu pieņemšanas procesos un kapitāla izvietošanā atbilstoši risku klasifikācijai. Iekšējais modelis aptver vismaz nedzīvības apdrošināšanas parakstīšanas risku, dzīvības apdrošināšanas parakstīšanas risku, veselības apdrošināšanas parakstīšanas risku, tirgus risku, kredītrisku un operacionālo risku, kā arī visus citus būtiskos riskus, kam pakļauts apdrošinātājs vai pārapdrošinātājs.</w:t>
      </w:r>
    </w:p>
    <w:p w14:paraId="535B468C" w14:textId="45785307" w:rsidR="00ED5ADC" w:rsidRPr="00AA4F21" w:rsidRDefault="00ED5ADC" w:rsidP="00130C65">
      <w:pPr>
        <w:pStyle w:val="NApunkts1"/>
      </w:pPr>
      <w:r w:rsidRPr="00AA4F21">
        <w:t>Apdrošinātājs vai pārapdrošinātājs iekšējā modelī var ņemt vērā diversifikācijas ietekmi riska moduļa ietvaros</w:t>
      </w:r>
      <w:r w:rsidR="00130C65" w:rsidRPr="00AA4F21">
        <w:t xml:space="preserve"> </w:t>
      </w:r>
      <w:r w:rsidRPr="00AA4F21">
        <w:t xml:space="preserve">vai starp riska moduļiem, ja </w:t>
      </w:r>
      <w:r w:rsidR="00740844">
        <w:t xml:space="preserve">Latvijas </w:t>
      </w:r>
      <w:r w:rsidR="001470EC">
        <w:t>B</w:t>
      </w:r>
      <w:r w:rsidR="00740844">
        <w:t xml:space="preserve">anka piekrīt, ka </w:t>
      </w:r>
      <w:r w:rsidRPr="00AA4F21">
        <w:t>diversifikācijas ietekmes noteikšanas metodes ir atbilstīgas.</w:t>
      </w:r>
    </w:p>
    <w:p w14:paraId="0F71B457" w14:textId="2599C0BF" w:rsidR="00130C65" w:rsidRPr="00AA4F21" w:rsidRDefault="00130C65" w:rsidP="00130C65">
      <w:pPr>
        <w:pStyle w:val="NApunkts1"/>
      </w:pPr>
      <w:r w:rsidRPr="00AA4F21">
        <w:t>Apdrošinātājs vai pārapdrošinātājs iekšējā modelī var pilnībā ņemt vērā riska mazināšanas metožu ietekmi, ja kredītrisks un citi riski, kas rodas, izmantojot riska mazināšanas metodes, ir attiecīgi atspoguļoti iekšējā modelī.</w:t>
      </w:r>
    </w:p>
    <w:p w14:paraId="6566E7D9" w14:textId="0F2A44D7" w:rsidR="00130C65" w:rsidRPr="00AA4F21" w:rsidRDefault="00130C65" w:rsidP="00130C65">
      <w:pPr>
        <w:pStyle w:val="NApunkts1"/>
      </w:pPr>
      <w:r w:rsidRPr="00AA4F21">
        <w:t>Apdrošinātājs vai pārapdrošinātājs iekšējā modelī aprēķina riskus, kas saistīti ar noslēgtajos līgumos ietvertajām finanšu garantijām un līgumiskajām iespējām, ja to ietekme ir būtiska. Iekšējā modelī novērtē riskus, kas saistīti gan ar apdrošinājuma ņēmēja iespējām, gan ar apdrošinātāja vai pārapdrošinātāja līgumiskajām iespējām, ņemot vērā to, kā finanšu un citu nosacījumu izmaiņas var ietekmēt minēto iespēju izmantošanu.</w:t>
      </w:r>
    </w:p>
    <w:p w14:paraId="01601EC6" w14:textId="12213C5A" w:rsidR="00130C65" w:rsidRPr="00AA4F21" w:rsidRDefault="00130C65" w:rsidP="00130C65">
      <w:pPr>
        <w:pStyle w:val="NApunkts1"/>
      </w:pPr>
      <w:r w:rsidRPr="00AA4F21">
        <w:t xml:space="preserve">Iekšējā modelī ir atļauts ņemt vērā apdrošinātāja vai pārapdrošinātāja turpmākos pārvaldības pasākumus, kuru īstenošana būtu pamatota īpašos apstākļos, ja tie atbilst </w:t>
      </w:r>
      <w:r w:rsidR="0097116F" w:rsidRPr="00AA4F21">
        <w:lastRenderedPageBreak/>
        <w:t>R</w:t>
      </w:r>
      <w:r w:rsidRPr="00AA4F21">
        <w:t>egulas Nr.</w:t>
      </w:r>
      <w:r w:rsidR="00046DC7" w:rsidRPr="00AA4F21">
        <w:t> </w:t>
      </w:r>
      <w:r w:rsidRPr="00AA4F21">
        <w:t>2015/35 236.</w:t>
      </w:r>
      <w:r w:rsidR="00046DC7" w:rsidRPr="00AA4F21">
        <w:t> </w:t>
      </w:r>
      <w:r w:rsidRPr="00AA4F21">
        <w:t>panta nosacījumiem. Ja turpmākie pārvaldības pasākumi tiek ņemti vērā, tad iekšējā modelī ņem vērā arī laika periodu, kas nepieciešams attiecīgo pasākumu īstenošanai.</w:t>
      </w:r>
    </w:p>
    <w:p w14:paraId="183F1452" w14:textId="2015017F" w:rsidR="00130C65" w:rsidRPr="00AA4F21" w:rsidRDefault="00130C65" w:rsidP="00130C65">
      <w:pPr>
        <w:pStyle w:val="NApunkts1"/>
      </w:pPr>
      <w:r w:rsidRPr="00AA4F21">
        <w:t>Iekšējā modelī tiek ņemti vērā visi maksājumi apdrošinājuma ņēmējiem, labuma guvējiem un cedentiem neatkarīgi no tā, vai tie ir garantēti atbilstoši noslēgtā apdrošināšanas vai pārapdrošināšanas līguma nosacījumiem.</w:t>
      </w:r>
    </w:p>
    <w:p w14:paraId="7B45B304" w14:textId="60E7237A" w:rsidR="00130C65" w:rsidRPr="00AA4F21" w:rsidRDefault="006C5377" w:rsidP="00CD44FF">
      <w:pPr>
        <w:pStyle w:val="NAnodalaromiesucipari"/>
      </w:pPr>
      <w:r w:rsidRPr="00AA4F21">
        <w:t>Prasības attiecībā uz k</w:t>
      </w:r>
      <w:r w:rsidR="00130C65" w:rsidRPr="00AA4F21">
        <w:t>alibrēšanas standarti</w:t>
      </w:r>
      <w:r w:rsidRPr="00AA4F21">
        <w:t>em</w:t>
      </w:r>
    </w:p>
    <w:p w14:paraId="17D95030" w14:textId="1E48DDF5" w:rsidR="00130C65" w:rsidRPr="00AA4F21" w:rsidRDefault="00130C65" w:rsidP="00130C65">
      <w:pPr>
        <w:pStyle w:val="NApunkts1"/>
      </w:pPr>
      <w:r w:rsidRPr="00AA4F21">
        <w:t xml:space="preserve">Izstrādājot iekšējo modeli, apdrošinātājs vai pārapdrošinātājs, ievērojot </w:t>
      </w:r>
      <w:r w:rsidR="0097116F" w:rsidRPr="00AA4F21">
        <w:t>R</w:t>
      </w:r>
      <w:r w:rsidRPr="00AA4F21">
        <w:t>egulas Nr.</w:t>
      </w:r>
      <w:r w:rsidR="00046DC7" w:rsidRPr="00AA4F21">
        <w:t> </w:t>
      </w:r>
      <w:r w:rsidRPr="00AA4F21">
        <w:t>2015/35 prasības, var izmantot citādu laika posmu vai riska mēru, nekā norādīts Apdrošināšanas un pārapdrošināšanas likuma 119.</w:t>
      </w:r>
      <w:r w:rsidR="00046DC7" w:rsidRPr="00AA4F21">
        <w:t> </w:t>
      </w:r>
      <w:r w:rsidRPr="00AA4F21">
        <w:t>panta ceturtajā daļā, ja apdrošinātājs vai pārapdrošinātājs var izmantot iekšējā modeļa rezultātu, lai aprēķinātu maksātspējas kapitāla prasību, nodrošinot apdrošinājuma ņēmējiem un labuma guvējiem aizsardzības līmeni, kas atbilst Apdrošināšanas un pārapdrošināšanas likuma 119.</w:t>
      </w:r>
      <w:r w:rsidR="00046DC7" w:rsidRPr="00AA4F21">
        <w:t> </w:t>
      </w:r>
      <w:r w:rsidRPr="00AA4F21">
        <w:t>pantā norādītajam.</w:t>
      </w:r>
    </w:p>
    <w:p w14:paraId="47B1A5B7" w14:textId="0CDA5E8F" w:rsidR="00130C65" w:rsidRPr="00AA4F21" w:rsidRDefault="00130C65" w:rsidP="00130C65">
      <w:pPr>
        <w:pStyle w:val="NApunkts1"/>
      </w:pPr>
      <w:r w:rsidRPr="00AA4F21">
        <w:t>Ja iespējams, apdrošinātājs vai pārapdrošinātājs iegūst maksātspējas kapitāla prasību tieši no varbūtības sadalījuma prognozes, kas noteikta ar iekšējo modeli, izmantojot Apdrošināšanas un pārapdrošināšanas likuma 119.</w:t>
      </w:r>
      <w:r w:rsidR="00046DC7" w:rsidRPr="00AA4F21">
        <w:t> </w:t>
      </w:r>
      <w:r w:rsidRPr="00AA4F21">
        <w:t>panta ceturtajā daļā norādīto riskam pakļautās vērtības mēru.</w:t>
      </w:r>
    </w:p>
    <w:p w14:paraId="46813E78" w14:textId="6F8E2D31" w:rsidR="00130C65" w:rsidRPr="00AA4F21" w:rsidRDefault="00130C65" w:rsidP="00130C65">
      <w:pPr>
        <w:pStyle w:val="NApunkts1"/>
      </w:pPr>
      <w:r w:rsidRPr="00AA4F21">
        <w:t xml:space="preserve">Ja apdrošinātājs vai pārapdrošinātājs maksātspējas kapitāla prasību nevar iegūt tieši no varbūtības sadalījuma prognozes, kas noteikta ar iekšējo modeli, maksātspējas kapitāla prasības aprēķināšanas procesā ir atļauts izmantot tuvinājumus. Tuvinājumu izmantošanas gadījumā apdrošinātājs vai pārapdrošinātājs sniedz </w:t>
      </w:r>
      <w:r w:rsidR="005451C9" w:rsidRPr="00AA4F21">
        <w:t xml:space="preserve">Latvijas Bankai </w:t>
      </w:r>
      <w:r w:rsidRPr="00AA4F21">
        <w:t xml:space="preserve">informāciju atbilstoši </w:t>
      </w:r>
      <w:r w:rsidR="0097116F" w:rsidRPr="00AA4F21">
        <w:t>R</w:t>
      </w:r>
      <w:r w:rsidRPr="00AA4F21">
        <w:t>egulas Nr.</w:t>
      </w:r>
      <w:r w:rsidR="00046DC7" w:rsidRPr="00AA4F21">
        <w:t> </w:t>
      </w:r>
      <w:r w:rsidRPr="00AA4F21">
        <w:t>2015/35 238.</w:t>
      </w:r>
      <w:r w:rsidR="004D0CC5" w:rsidRPr="00AA4F21">
        <w:t> </w:t>
      </w:r>
      <w:r w:rsidRPr="00AA4F21">
        <w:t>panta prasībām, kas apliecina, ka apdrošinājuma ņēmējiem ir nodrošināts Apdrošināšanas un pārapdrošināšanas likuma 119.</w:t>
      </w:r>
      <w:r w:rsidR="00046DC7" w:rsidRPr="00AA4F21">
        <w:t> </w:t>
      </w:r>
      <w:r w:rsidRPr="00AA4F21">
        <w:t>panta prasībām atbilst</w:t>
      </w:r>
      <w:r w:rsidR="00494F21">
        <w:t>oš</w:t>
      </w:r>
      <w:r w:rsidRPr="00AA4F21">
        <w:t>s aizsardzības līmenis.</w:t>
      </w:r>
    </w:p>
    <w:p w14:paraId="008987A4" w14:textId="24C63D03" w:rsidR="00351E29" w:rsidRPr="00AA4F21" w:rsidRDefault="00351E29" w:rsidP="00130C65">
      <w:pPr>
        <w:pStyle w:val="NApunkts1"/>
      </w:pPr>
      <w:r w:rsidRPr="00AA4F21">
        <w:t>Ja apdrošinātājs vai pārapdrošinātājs izmanto analītiskas slēgtas formulas, lai pārkalibrētu tās kapitāla prasību no iekšējā riska mēra uz riskam pakļautās vērtības mēru ar 99</w:t>
      </w:r>
      <w:r w:rsidR="00CD44FF">
        <w:t>.</w:t>
      </w:r>
      <w:r w:rsidRPr="00AA4F21">
        <w:t>5</w:t>
      </w:r>
      <w:r w:rsidR="00046DC7" w:rsidRPr="00AA4F21">
        <w:t> </w:t>
      </w:r>
      <w:r w:rsidRPr="00AA4F21">
        <w:t xml:space="preserve">procentu </w:t>
      </w:r>
      <w:r w:rsidR="00CD44FF" w:rsidRPr="00AA4F21">
        <w:t xml:space="preserve">ticamības līmeni </w:t>
      </w:r>
      <w:r w:rsidRPr="00AA4F21">
        <w:t>viena gada laikā, tas nodrošina, ka formulas pamatā esošie pieņēmumi ir reālistiski un ir spēkā arī ārkārtējus zaudējumus izraisošos apstākļos atbilst</w:t>
      </w:r>
      <w:r w:rsidR="00CD44FF">
        <w:t>oš</w:t>
      </w:r>
      <w:r w:rsidRPr="00AA4F21">
        <w:t>i sabiedrības riska profilam.</w:t>
      </w:r>
    </w:p>
    <w:p w14:paraId="606AED1D" w14:textId="088CC32E" w:rsidR="00351E29" w:rsidRPr="00AA4F21" w:rsidRDefault="00351E29" w:rsidP="00351E29">
      <w:pPr>
        <w:pStyle w:val="NApunkts1"/>
      </w:pPr>
      <w:r w:rsidRPr="00AA4F21">
        <w:t>Ja apdrošinātājs vai pārapdrošinātājs ir izmantojis vairākus tuvinājumus, tas novērtē iespējamo mijiedarbību starp šiem tuvinājumiem.</w:t>
      </w:r>
    </w:p>
    <w:p w14:paraId="4B878A6A" w14:textId="46FC64EB" w:rsidR="00130C65" w:rsidRPr="00AA4F21" w:rsidRDefault="006C5377" w:rsidP="00CD44FF">
      <w:pPr>
        <w:pStyle w:val="NAnodalaromiesucipari"/>
      </w:pPr>
      <w:r w:rsidRPr="00AA4F21">
        <w:t>Prasības p</w:t>
      </w:r>
      <w:r w:rsidR="00130C65" w:rsidRPr="00AA4F21">
        <w:t xml:space="preserve">eļņas </w:t>
      </w:r>
      <w:r w:rsidR="00B64755" w:rsidRPr="00AA4F21">
        <w:t>vai</w:t>
      </w:r>
      <w:r w:rsidR="00130C65" w:rsidRPr="00AA4F21">
        <w:t xml:space="preserve"> zaudējumu attiecinājum</w:t>
      </w:r>
      <w:r w:rsidR="006F50F2" w:rsidRPr="00AA4F21">
        <w:t>am</w:t>
      </w:r>
      <w:r w:rsidRPr="00AA4F21">
        <w:t xml:space="preserve"> uz nozīmīgām komercdarbības struktūrvienībām</w:t>
      </w:r>
    </w:p>
    <w:p w14:paraId="7B90230D" w14:textId="0037A1F6" w:rsidR="00130C65" w:rsidRPr="00AA4F21" w:rsidRDefault="00130C65" w:rsidP="00130C65">
      <w:pPr>
        <w:pStyle w:val="NApunkts1"/>
      </w:pPr>
      <w:r w:rsidRPr="00AA4F21">
        <w:t xml:space="preserve">Apdrošinātājs vai pārapdrošinātājs vismaz reizi gadā pārskata katras nozīmīgas </w:t>
      </w:r>
      <w:r w:rsidR="003A5F1D" w:rsidRPr="00AA4F21">
        <w:t>komercdarbības struktūrvienības</w:t>
      </w:r>
      <w:r w:rsidRPr="00AA4F21">
        <w:t xml:space="preserve"> peļņas vai zaudējumu iemeslus un avotus.</w:t>
      </w:r>
    </w:p>
    <w:p w14:paraId="32D745CB" w14:textId="31C0242C" w:rsidR="00130C65" w:rsidRPr="00AA4F21" w:rsidRDefault="00130C65" w:rsidP="00130C65">
      <w:pPr>
        <w:pStyle w:val="NApunkts1"/>
      </w:pPr>
      <w:r w:rsidRPr="00AA4F21">
        <w:t xml:space="preserve">Apdrošinātājs vai pārapdrošinātājs atbilstoši </w:t>
      </w:r>
      <w:r w:rsidR="0097116F" w:rsidRPr="00AA4F21">
        <w:t>R</w:t>
      </w:r>
      <w:r w:rsidRPr="00AA4F21">
        <w:t>egulas Nr.</w:t>
      </w:r>
      <w:r w:rsidR="00046DC7" w:rsidRPr="00AA4F21">
        <w:t> </w:t>
      </w:r>
      <w:r w:rsidRPr="00AA4F21">
        <w:t xml:space="preserve">2015/35 prasībām pamato, kā iekšējā modeļa vajadzībām izvēlētā riska klasificēšana izskaidro peļņas vai zaudējumu iemeslus un avotus. </w:t>
      </w:r>
      <w:r w:rsidR="000B4857" w:rsidRPr="00AA4F21">
        <w:t>Apdrošinātājs vai pārapdrošinātājs nodrošina, ka r</w:t>
      </w:r>
      <w:r w:rsidRPr="00AA4F21">
        <w:t>iska klasificēšana un peļņas vai zaudējumu attiecinājums atspoguļo apdrošinātāja vai pārapdrošinātāja riska profilu.</w:t>
      </w:r>
    </w:p>
    <w:p w14:paraId="77F7DAEF" w14:textId="33387EC8" w:rsidR="00130C65" w:rsidRPr="00AA4F21" w:rsidRDefault="006C5377" w:rsidP="00CD44FF">
      <w:pPr>
        <w:pStyle w:val="NAnodalaromiesucipari"/>
      </w:pPr>
      <w:r w:rsidRPr="00AA4F21">
        <w:lastRenderedPageBreak/>
        <w:t>Prasības attiecībā uz a</w:t>
      </w:r>
      <w:r w:rsidR="00130C65" w:rsidRPr="00AA4F21">
        <w:t>pstiprināšanas (validācijas) standarti</w:t>
      </w:r>
      <w:r w:rsidRPr="00AA4F21">
        <w:t>em</w:t>
      </w:r>
    </w:p>
    <w:p w14:paraId="32E6CAC8" w14:textId="19648D7C" w:rsidR="00130C65" w:rsidRPr="00AA4F21" w:rsidRDefault="00130C65" w:rsidP="00130C65">
      <w:pPr>
        <w:pStyle w:val="NApunkts1"/>
      </w:pPr>
      <w:r w:rsidRPr="00AA4F21">
        <w:t xml:space="preserve">Apdrošinātājs vai pārapdrošinātājs regulāri veic iekšējā modeļa validāciju, kurā tiek ietverta iekšējā modeļa aprēķinu rezultātu pārbaude, tā specifikācijas pastāvīgas atbilstības pārbaude un rezultātu salīdzināšana ar pieredzi un kura atbilst </w:t>
      </w:r>
      <w:r w:rsidR="0097116F" w:rsidRPr="00AA4F21">
        <w:t>R</w:t>
      </w:r>
      <w:r w:rsidRPr="00AA4F21">
        <w:t>egulas Nr.</w:t>
      </w:r>
      <w:r w:rsidR="00046DC7" w:rsidRPr="00AA4F21">
        <w:t> </w:t>
      </w:r>
      <w:r w:rsidRPr="00AA4F21">
        <w:t>2015/35 prasībām.</w:t>
      </w:r>
    </w:p>
    <w:p w14:paraId="7B9FB7B3" w14:textId="2C226047" w:rsidR="00130C65" w:rsidRPr="00AA4F21" w:rsidRDefault="00130C65" w:rsidP="00130C65">
      <w:pPr>
        <w:pStyle w:val="NApunkts1"/>
      </w:pPr>
      <w:r w:rsidRPr="00AA4F21">
        <w:t xml:space="preserve">Iekšējā modeļa validācija ietver iekšējā modeļa validācijas statistikas procesu, kas atbilst </w:t>
      </w:r>
      <w:r w:rsidR="0097116F" w:rsidRPr="00AA4F21">
        <w:t>R</w:t>
      </w:r>
      <w:r w:rsidRPr="00AA4F21">
        <w:t>egulas Nr.</w:t>
      </w:r>
      <w:r w:rsidR="00046DC7" w:rsidRPr="00AA4F21">
        <w:t> </w:t>
      </w:r>
      <w:r w:rsidRPr="00AA4F21">
        <w:t>2015/35 prasībām un kas uzskatāmi demonstrē, ka ar iekšējā modeļa palīdzību aprēķinātā kapitāla prasība ir atbilstīga.</w:t>
      </w:r>
    </w:p>
    <w:p w14:paraId="3D15A228" w14:textId="274CF19D" w:rsidR="00130C65" w:rsidRPr="00AA4F21" w:rsidRDefault="00130C65" w:rsidP="00130C65">
      <w:pPr>
        <w:pStyle w:val="NApunkts1"/>
      </w:pPr>
      <w:r w:rsidRPr="00AA4F21">
        <w:t>Validācijas procesā izmanto statistikas metodes, ar kurām pārbauda varbūtības sadalījuma prognozes piemērotību, salīdzinot ar darbības rezultātā radušos zaudējumu pieredzi, kā arī visus ar to saistītos būtiskos jaunos datus un informāciju.</w:t>
      </w:r>
    </w:p>
    <w:p w14:paraId="52C2812A" w14:textId="5FE4B2F2" w:rsidR="00130C65" w:rsidRPr="00AA4F21" w:rsidRDefault="00130C65" w:rsidP="00130C65">
      <w:pPr>
        <w:pStyle w:val="NApunkts1"/>
      </w:pPr>
      <w:r w:rsidRPr="00AA4F21">
        <w:t>Validācijas process ietver:</w:t>
      </w:r>
    </w:p>
    <w:p w14:paraId="3B848C85" w14:textId="11B7119F" w:rsidR="00130C65" w:rsidRPr="00AA4F21" w:rsidRDefault="00130C65" w:rsidP="00130C65">
      <w:pPr>
        <w:pStyle w:val="NApunkts2"/>
      </w:pPr>
      <w:r w:rsidRPr="00AA4F21">
        <w:t>iekšējā modeļa stabilitātes analīzi un īpaši iekšējā modeļa rezultātu jutības pārbaudi attiecībā uz izmaiņām galvenajos pamata pieņēmumos;</w:t>
      </w:r>
    </w:p>
    <w:p w14:paraId="23FEAAB4" w14:textId="16F6FCA8" w:rsidR="00130C65" w:rsidRPr="00AA4F21" w:rsidRDefault="00130C65" w:rsidP="00130C65">
      <w:pPr>
        <w:pStyle w:val="NApunkts2"/>
      </w:pPr>
      <w:r w:rsidRPr="00AA4F21">
        <w:t>iekšējā modelī izmantoto datu precizitātes, pilnīguma un atbilstības novērtējumu.</w:t>
      </w:r>
    </w:p>
    <w:p w14:paraId="0198C59F" w14:textId="2269E643" w:rsidR="00FE54E0" w:rsidRPr="00AA4F21" w:rsidRDefault="00FE54E0" w:rsidP="00FE54E0">
      <w:pPr>
        <w:pStyle w:val="NApunkts1"/>
      </w:pPr>
      <w:r w:rsidRPr="00AA4F21">
        <w:t>Apdrošinātājs vai pārapdrošinātājs validācijas procesā sagatavo validācijas ziņojum</w:t>
      </w:r>
      <w:r w:rsidR="003B1428">
        <w:t>u</w:t>
      </w:r>
      <w:r w:rsidRPr="00AA4F21">
        <w:t xml:space="preserve">, kurā tiek dokumentēti validācijas rezultāti, kā arī no validācijas analīzes izrietošie secinājumi un sekas un </w:t>
      </w:r>
      <w:r w:rsidR="00CC23BD">
        <w:t>kurš</w:t>
      </w:r>
      <w:r w:rsidR="00CC23BD" w:rsidRPr="00AA4F21">
        <w:t xml:space="preserve"> </w:t>
      </w:r>
      <w:r w:rsidRPr="00AA4F21">
        <w:t xml:space="preserve">ietver atsauci </w:t>
      </w:r>
      <w:r w:rsidR="00642034" w:rsidRPr="00AA4F21">
        <w:t xml:space="preserve">uz </w:t>
      </w:r>
      <w:r w:rsidRPr="00AA4F21">
        <w:t>validācijas datu kopumu, kā arī validācijas procesa galveno dalībnieku apstiprinājumu.</w:t>
      </w:r>
    </w:p>
    <w:p w14:paraId="4F6B3388" w14:textId="2927387F" w:rsidR="005A5466" w:rsidRPr="00AA4F21" w:rsidRDefault="005A5466" w:rsidP="005A5466">
      <w:pPr>
        <w:pStyle w:val="NApunkts1"/>
      </w:pPr>
      <w:r w:rsidRPr="00AA4F21">
        <w:t>Apdrošinātājs vai pārapdrošinātājs, nosakot validācijas mērķi un darbības jomu:</w:t>
      </w:r>
    </w:p>
    <w:p w14:paraId="5EA4D487" w14:textId="3C604DAE" w:rsidR="005A5466" w:rsidRPr="00AA4F21" w:rsidRDefault="005A5466" w:rsidP="000C0033">
      <w:pPr>
        <w:pStyle w:val="NApunkts2"/>
      </w:pPr>
      <w:r w:rsidRPr="00AA4F21">
        <w:t>skaidri no</w:t>
      </w:r>
      <w:r w:rsidR="003B1428">
        <w:t>saka</w:t>
      </w:r>
      <w:r w:rsidRPr="00AA4F21">
        <w:t xml:space="preserve"> katras iekšējā modeļa sastāvdaļas validācijas mērķi;</w:t>
      </w:r>
    </w:p>
    <w:p w14:paraId="747A1D00" w14:textId="7772DFAD" w:rsidR="005A5466" w:rsidRPr="00AA4F21" w:rsidRDefault="005A5466" w:rsidP="000C0033">
      <w:pPr>
        <w:pStyle w:val="NApunkts2"/>
      </w:pPr>
      <w:r w:rsidRPr="00AA4F21">
        <w:t>validācijas darbības jomā iekļau</w:t>
      </w:r>
      <w:r w:rsidR="003B1428">
        <w:t>j</w:t>
      </w:r>
      <w:r w:rsidRPr="00AA4F21">
        <w:t xml:space="preserve"> iekšējā modeļa kvalitatīv</w:t>
      </w:r>
      <w:r w:rsidR="003B1428">
        <w:t>os</w:t>
      </w:r>
      <w:r w:rsidRPr="00AA4F21">
        <w:t xml:space="preserve"> un kvantitatīv</w:t>
      </w:r>
      <w:r w:rsidR="003B1428">
        <w:t>os</w:t>
      </w:r>
      <w:r w:rsidRPr="00AA4F21">
        <w:t xml:space="preserve"> aspekt</w:t>
      </w:r>
      <w:r w:rsidR="003B1428">
        <w:t>us</w:t>
      </w:r>
      <w:r w:rsidRPr="00AA4F21">
        <w:t>.</w:t>
      </w:r>
    </w:p>
    <w:p w14:paraId="3D60614D" w14:textId="37D30182" w:rsidR="005A5466" w:rsidRPr="00AA4F21" w:rsidRDefault="005A5466" w:rsidP="005A5466">
      <w:pPr>
        <w:pStyle w:val="NApunkts1"/>
      </w:pPr>
      <w:r w:rsidRPr="00AA4F21">
        <w:t xml:space="preserve">Ja lēmums par validācijas darbību intensitāti pamatojas uz būtiskumu, apdrošinātājs vai pārapdrošinātājs apsver validējamās iekšējā modeļa sastāvdaļas būtiskumu ne tikai izolēti, bet arī kombinēti. Nosakot būtiskumu, apdrošinātājs vai pārapdrošinātājs ņem vērā jutīguma testus. </w:t>
      </w:r>
    </w:p>
    <w:p w14:paraId="4A78CC6C" w14:textId="6BA96FBF" w:rsidR="005A5466" w:rsidRPr="00AA4F21" w:rsidRDefault="005A5466" w:rsidP="005A5466">
      <w:pPr>
        <w:pStyle w:val="NApunkts1"/>
      </w:pPr>
      <w:r w:rsidRPr="00AA4F21">
        <w:t>Apdrošinātājs vai pārapdrošinātājs dokumentē visus zināmos validācijas procesa ierobežojumus, kā arī nodrošina to, ka validācijas procesa kvalitātes novērtējums skaidri formulē apstākļus, kuros validācija ir neefektīva.</w:t>
      </w:r>
    </w:p>
    <w:p w14:paraId="1F889A06" w14:textId="53B35182" w:rsidR="005A5466" w:rsidRPr="00AA4F21" w:rsidRDefault="005A5466" w:rsidP="005A5466">
      <w:pPr>
        <w:pStyle w:val="NApunkts1"/>
      </w:pPr>
      <w:r w:rsidRPr="00AA4F21">
        <w:t xml:space="preserve">Apdrošinātājs vai pārapdrošinātājs izveido pārvaldības procesu, lai iekšēji komunicētu validācijas rezultātus, </w:t>
      </w:r>
      <w:r w:rsidR="00494F21">
        <w:t>un tajā</w:t>
      </w:r>
      <w:r w:rsidRPr="00AA4F21">
        <w:t>:</w:t>
      </w:r>
    </w:p>
    <w:p w14:paraId="5689A67B" w14:textId="4212D099" w:rsidR="005A5466" w:rsidRPr="00AA4F21" w:rsidRDefault="005A5466" w:rsidP="000C0033">
      <w:pPr>
        <w:pStyle w:val="NApunkts2"/>
      </w:pPr>
      <w:r w:rsidRPr="00AA4F21">
        <w:t>definē kritērij</w:t>
      </w:r>
      <w:r w:rsidR="003B1428">
        <w:t>us</w:t>
      </w:r>
      <w:r w:rsidRPr="00AA4F21">
        <w:t xml:space="preserve"> un apstākļ</w:t>
      </w:r>
      <w:r w:rsidR="003B1428">
        <w:t>us</w:t>
      </w:r>
      <w:r w:rsidRPr="00AA4F21">
        <w:t>, lai noteiktu, vai validācijas rezultātiem vai to daļai būtu jāpievērš pastiprināta uzmanība;</w:t>
      </w:r>
    </w:p>
    <w:p w14:paraId="79C48F67" w14:textId="5DCB248B" w:rsidR="005A5466" w:rsidRPr="00AA4F21" w:rsidRDefault="005A5466" w:rsidP="000C0033">
      <w:pPr>
        <w:pStyle w:val="NApunkts2"/>
      </w:pPr>
      <w:r w:rsidRPr="00AA4F21">
        <w:t>no</w:t>
      </w:r>
      <w:r w:rsidR="003B1428">
        <w:t>saka</w:t>
      </w:r>
      <w:r w:rsidRPr="00AA4F21">
        <w:t xml:space="preserve"> kārtīb</w:t>
      </w:r>
      <w:r w:rsidR="003B1428">
        <w:t>u</w:t>
      </w:r>
      <w:r w:rsidRPr="00AA4F21">
        <w:t>, kādā tiek komunicēta informācija pastiprinātas uzmanības gadījumā;</w:t>
      </w:r>
    </w:p>
    <w:p w14:paraId="1320DCE3" w14:textId="70348F4D" w:rsidR="005A5466" w:rsidRPr="00AA4F21" w:rsidRDefault="005A5466" w:rsidP="005A5466">
      <w:pPr>
        <w:pStyle w:val="NApunkts2"/>
      </w:pPr>
      <w:r w:rsidRPr="00AA4F21">
        <w:t>ziņo par dažādu validācijas instrumentu rezultātiem gan regulārā validācijā, gan īpašu apstākļu izraisītā papildu validācijā.</w:t>
      </w:r>
    </w:p>
    <w:p w14:paraId="0ED46FB8" w14:textId="214AD8C5" w:rsidR="00E6313A" w:rsidRPr="000271C4" w:rsidRDefault="005E1A92" w:rsidP="005E1A92">
      <w:pPr>
        <w:pStyle w:val="NApunkts1"/>
      </w:pPr>
      <w:r w:rsidRPr="00AA4F21">
        <w:t xml:space="preserve">Ja validācijas procesa konkrētu uzdevumu veikšanā piedalās puses, kuras nav iesaistītas riska vadības funkcijā, apdrošinātājs vai pārapdrošinātājs nodrošina to, ka riska vadības funkcija ievēro savu vispārējo atbildību </w:t>
      </w:r>
      <w:r w:rsidR="003B1428">
        <w:t xml:space="preserve">atbilstoši </w:t>
      </w:r>
      <w:r w:rsidRPr="00AA4F21">
        <w:rPr>
          <w:iCs/>
        </w:rPr>
        <w:t xml:space="preserve">Apdrošināšanas un pārapdrošināšanas likuma </w:t>
      </w:r>
      <w:r w:rsidRPr="00AA4F21">
        <w:t>64.</w:t>
      </w:r>
      <w:r w:rsidR="00494F21">
        <w:t> </w:t>
      </w:r>
      <w:r w:rsidRPr="00AA4F21">
        <w:t>pantā</w:t>
      </w:r>
      <w:r w:rsidR="003B1428">
        <w:t xml:space="preserve"> noteiktajam</w:t>
      </w:r>
      <w:r w:rsidRPr="00AA4F21">
        <w:t xml:space="preserve">, tostarp atbildību par dažādu uzdevumu veikšanas nodrošināšanu </w:t>
      </w:r>
      <w:r w:rsidRPr="000271C4">
        <w:t>validācijas procesā.</w:t>
      </w:r>
    </w:p>
    <w:p w14:paraId="3FAC2DB5" w14:textId="59B80873" w:rsidR="00E6313A" w:rsidRPr="000271C4" w:rsidRDefault="00E6313A" w:rsidP="00E6313A">
      <w:pPr>
        <w:pStyle w:val="NApunkts1"/>
      </w:pPr>
      <w:r w:rsidRPr="000271C4">
        <w:lastRenderedPageBreak/>
        <w:t xml:space="preserve">Grupas iekšējā modeļa gadījumā </w:t>
      </w:r>
      <w:r w:rsidR="00735C5F">
        <w:t>a</w:t>
      </w:r>
      <w:r w:rsidR="00735C5F" w:rsidRPr="00AA4F21">
        <w:t xml:space="preserve">pdrošinātājs vai pārapdrošinātājs </w:t>
      </w:r>
      <w:r w:rsidRPr="000271C4">
        <w:t>nodrošina</w:t>
      </w:r>
      <w:r w:rsidR="00891A93" w:rsidRPr="000271C4">
        <w:t xml:space="preserve"> vienotu validācijas politiku</w:t>
      </w:r>
      <w:r w:rsidRPr="000271C4">
        <w:t xml:space="preserve">, </w:t>
      </w:r>
      <w:r w:rsidR="00E16344" w:rsidRPr="000271C4">
        <w:t>kurā ietver gan</w:t>
      </w:r>
      <w:r w:rsidRPr="000271C4">
        <w:t xml:space="preserve"> iekšējā modeļa validācija</w:t>
      </w:r>
      <w:r w:rsidR="00E16344" w:rsidRPr="000271C4">
        <w:t>s</w:t>
      </w:r>
      <w:r w:rsidRPr="000271C4">
        <w:t xml:space="preserve"> </w:t>
      </w:r>
      <w:r w:rsidR="00E16344" w:rsidRPr="000271C4">
        <w:t>proces</w:t>
      </w:r>
      <w:r w:rsidR="00735C5F">
        <w:t>u</w:t>
      </w:r>
      <w:r w:rsidR="00E16344" w:rsidRPr="000271C4">
        <w:t xml:space="preserve"> </w:t>
      </w:r>
      <w:r w:rsidRPr="000271C4">
        <w:t xml:space="preserve">saistībā ar grupas konsolidētās maksātspējas kapitāla prasības </w:t>
      </w:r>
      <w:r w:rsidR="00E16344" w:rsidRPr="000271C4">
        <w:t>aprēķinu, gan iekšējā modeļa validācijas proces</w:t>
      </w:r>
      <w:r w:rsidR="00475806">
        <w:t>u</w:t>
      </w:r>
      <w:r w:rsidR="00E16344" w:rsidRPr="000271C4">
        <w:t xml:space="preserve"> saistībā ar </w:t>
      </w:r>
      <w:r w:rsidRPr="000271C4">
        <w:t>saistītās sabiedrības maksātspējas kapitāla prasības aprēķinu, izmantojot grupas iekšējo modeli.</w:t>
      </w:r>
    </w:p>
    <w:p w14:paraId="059F7973" w14:textId="4F6AD0A9" w:rsidR="005153F1" w:rsidRPr="00AA4F21" w:rsidRDefault="0005052B" w:rsidP="000C0033">
      <w:pPr>
        <w:pStyle w:val="NApunkts1"/>
      </w:pPr>
      <w:r w:rsidRPr="000271C4">
        <w:t>Apdrošinātājs vai pārapdrošinātājs nodrošina, ka tā lietotie kvalitatīvie vai kvantitatīvie validācijas līdzekļi ir atbilst</w:t>
      </w:r>
      <w:r w:rsidR="00494F21">
        <w:t>īg</w:t>
      </w:r>
      <w:r w:rsidRPr="000271C4">
        <w:t>i un droši, lai veiktu iekšējā modeļa validāciju iekšējā modeļa iekšējai lietošanai, kā arī maksātspējas</w:t>
      </w:r>
      <w:r w:rsidRPr="00AA4F21">
        <w:t xml:space="preserve"> kapitāla prasības aprēķināšanai</w:t>
      </w:r>
      <w:r w:rsidR="005153F1" w:rsidRPr="00AA4F21">
        <w:t>.</w:t>
      </w:r>
    </w:p>
    <w:p w14:paraId="7E3914A0" w14:textId="4FD3CE17" w:rsidR="005153F1" w:rsidRPr="00AA4F21" w:rsidRDefault="005153F1" w:rsidP="000271C4">
      <w:pPr>
        <w:pStyle w:val="NApunkts1"/>
      </w:pPr>
      <w:r w:rsidRPr="00AA4F21">
        <w:t>A</w:t>
      </w:r>
      <w:r w:rsidR="00DE6E7D" w:rsidRPr="00AA4F21">
        <w:t xml:space="preserve">pdrošinātājs vai </w:t>
      </w:r>
      <w:proofErr w:type="spellStart"/>
      <w:r w:rsidR="00DE6E7D" w:rsidRPr="00AA4F21">
        <w:t>pārapdrošinātājs</w:t>
      </w:r>
      <w:proofErr w:type="spellEnd"/>
      <w:r w:rsidR="0005052B" w:rsidRPr="00AA4F21">
        <w:t xml:space="preserve"> ievieš procesu atbilst</w:t>
      </w:r>
      <w:r w:rsidR="00494F21">
        <w:t>īg</w:t>
      </w:r>
      <w:r w:rsidR="0005052B" w:rsidRPr="00AA4F21">
        <w:t>a validācijas līdzekļu kopuma izvēlei, lai nodrošinātu pilnvērtīgu validācijas procesu</w:t>
      </w:r>
      <w:r w:rsidRPr="00AA4F21">
        <w:t>.</w:t>
      </w:r>
    </w:p>
    <w:p w14:paraId="5CB714D8" w14:textId="246A4267" w:rsidR="0005052B" w:rsidRPr="00AA4F21" w:rsidRDefault="005153F1" w:rsidP="000271C4">
      <w:pPr>
        <w:pStyle w:val="NApunkts1"/>
      </w:pPr>
      <w:r w:rsidRPr="00AA4F21">
        <w:t>A</w:t>
      </w:r>
      <w:r w:rsidR="00DE6E7D" w:rsidRPr="00AA4F21">
        <w:t>pdrošinātājs vai pārapdrošinātājs</w:t>
      </w:r>
      <w:r w:rsidR="0005052B" w:rsidRPr="00AA4F21">
        <w:t xml:space="preserve"> dokumentē līdzekļu izvēles procesu un, izvēloties validācijas līdzekļus, apsver vismaz šo līdzekļu sarežģītības līmeni, raksturu, nepieciešamās zināšanas, neatkarību, informācijas vajadzības un validācijas ciklu. </w:t>
      </w:r>
    </w:p>
    <w:p w14:paraId="36A37B2B" w14:textId="7FAD4B64" w:rsidR="005E1A92" w:rsidRPr="00AA4F21" w:rsidRDefault="00DE6E7D" w:rsidP="005E1A92">
      <w:pPr>
        <w:pStyle w:val="NApunkts1"/>
      </w:pPr>
      <w:r w:rsidRPr="00AA4F21">
        <w:t>Apdrošinātājs vai pārapdrošinātājs nodrošina izvēlētā validācijas līdzekļa piemērotību katras iekšējā modeļa sastāvdaļas validācijas mērķiem, ņemot vērā validācijā esošās modeļa sastāvdaļas būtiskumu, līdzekļ</w:t>
      </w:r>
      <w:r w:rsidR="00B11529">
        <w:t>u</w:t>
      </w:r>
      <w:r w:rsidRPr="00AA4F21">
        <w:t xml:space="preserve"> piemēro</w:t>
      </w:r>
      <w:r w:rsidR="003B1428">
        <w:t>šanas līmeni</w:t>
      </w:r>
      <w:r w:rsidRPr="00AA4F21">
        <w:t xml:space="preserve"> (sākot </w:t>
      </w:r>
      <w:r w:rsidR="00B414EE">
        <w:t>ar</w:t>
      </w:r>
      <w:r w:rsidR="00B414EE" w:rsidRPr="00AA4F21">
        <w:t xml:space="preserve"> </w:t>
      </w:r>
      <w:r w:rsidRPr="00AA4F21">
        <w:t>atsevišķiem riskiem, modelēšanas blokiem, portfe</w:t>
      </w:r>
      <w:r w:rsidR="002D7F99">
        <w:t>li</w:t>
      </w:r>
      <w:r w:rsidRPr="00AA4F21">
        <w:t>, sabiedrības struktūrvienīb</w:t>
      </w:r>
      <w:r w:rsidR="002D7F99">
        <w:t>u,</w:t>
      </w:r>
      <w:r w:rsidRPr="00AA4F21">
        <w:t xml:space="preserve"> līdz pat apkopotajiem rezultātiem), kā arī validācijas paredzamo iznākumu.</w:t>
      </w:r>
    </w:p>
    <w:p w14:paraId="7C11BDC6" w14:textId="400D2460" w:rsidR="00130C65" w:rsidRPr="00AA4F21" w:rsidRDefault="006C5377" w:rsidP="00CD44FF">
      <w:pPr>
        <w:pStyle w:val="NAnodalaromiesucipari"/>
      </w:pPr>
      <w:r w:rsidRPr="00AA4F21">
        <w:t>Prasības attiecībā uz d</w:t>
      </w:r>
      <w:r w:rsidR="00130C65" w:rsidRPr="00AA4F21">
        <w:t>okumentēšanas standarti</w:t>
      </w:r>
      <w:r w:rsidRPr="00AA4F21">
        <w:t>em</w:t>
      </w:r>
    </w:p>
    <w:p w14:paraId="335E1A43" w14:textId="53394660" w:rsidR="00130C65" w:rsidRPr="00AA4F21" w:rsidRDefault="00130C65" w:rsidP="00130C65">
      <w:pPr>
        <w:pStyle w:val="NApunkts1"/>
      </w:pPr>
      <w:r w:rsidRPr="00AA4F21">
        <w:t xml:space="preserve">Apdrošinātājs vai pārapdrošinātājs dokumentē sava iekšējā modeļa koncepciju un darbības aspektus atbilstoši </w:t>
      </w:r>
      <w:r w:rsidR="0097116F" w:rsidRPr="00AA4F21">
        <w:t>R</w:t>
      </w:r>
      <w:r w:rsidRPr="00AA4F21">
        <w:t>egulas Nr.</w:t>
      </w:r>
      <w:r w:rsidR="00046DC7" w:rsidRPr="00AA4F21">
        <w:t> </w:t>
      </w:r>
      <w:r w:rsidRPr="00AA4F21">
        <w:t>2015/35 prasībām.</w:t>
      </w:r>
    </w:p>
    <w:p w14:paraId="2566541D" w14:textId="717DD698" w:rsidR="00130C65" w:rsidRPr="00AA4F21" w:rsidRDefault="00130C65" w:rsidP="00130C65">
      <w:pPr>
        <w:pStyle w:val="NApunkts1"/>
      </w:pPr>
      <w:r w:rsidRPr="00AA4F21">
        <w:t>Iekšējā modeļa dokumentācija ietver pamatojumu, kas apliecina iekšējā modeļa atbilstību izmantošanas testa, statistiskās kvalitātes standartu, kalibrēšanas standartu, peļņas vai zaudējumu attiecinājuma un validācijas standartu prasībām.</w:t>
      </w:r>
    </w:p>
    <w:p w14:paraId="7323B565" w14:textId="574DA000" w:rsidR="00130C65" w:rsidRPr="00AA4F21" w:rsidRDefault="00130C65" w:rsidP="00130C65">
      <w:pPr>
        <w:pStyle w:val="NApunkts1"/>
      </w:pPr>
      <w:r w:rsidRPr="00AA4F21">
        <w:t xml:space="preserve">Iekšējā modeļa dokumentācija ietver teorijas, pieņēmumu un iekšējā modeļa pamatā esošā matemātiskā un empīriskā pamatojuma detalizētu izklāstu. Dokumentācijas minimālo saturu nosaka </w:t>
      </w:r>
      <w:r w:rsidR="0097116F" w:rsidRPr="00AA4F21">
        <w:t>R</w:t>
      </w:r>
      <w:r w:rsidRPr="00AA4F21">
        <w:t>egula Nr.</w:t>
      </w:r>
      <w:r w:rsidR="00046DC7" w:rsidRPr="00AA4F21">
        <w:t> </w:t>
      </w:r>
      <w:r w:rsidRPr="00AA4F21">
        <w:t>2015/35.</w:t>
      </w:r>
    </w:p>
    <w:p w14:paraId="228B9F6F" w14:textId="57FFF2A5" w:rsidR="00130C65" w:rsidRPr="00AA4F21" w:rsidRDefault="00130C65" w:rsidP="00130C65">
      <w:pPr>
        <w:pStyle w:val="NApunkts1"/>
      </w:pPr>
      <w:r w:rsidRPr="00AA4F21">
        <w:t xml:space="preserve">Apdrošinātājs vai pārapdrošinātājs, ņemot vērā </w:t>
      </w:r>
      <w:r w:rsidR="0097116F" w:rsidRPr="00AA4F21">
        <w:t>R</w:t>
      </w:r>
      <w:r w:rsidRPr="00AA4F21">
        <w:t>egulā Nr.</w:t>
      </w:r>
      <w:r w:rsidR="00046DC7" w:rsidRPr="00AA4F21">
        <w:t> </w:t>
      </w:r>
      <w:r w:rsidRPr="00AA4F21">
        <w:t>2015/35 noteiktos aspektus, izvērtē un dokumentācijā norāda visus apstākļus, kādos iekšējais modelis nefunkcionē efektīvi.</w:t>
      </w:r>
    </w:p>
    <w:p w14:paraId="4D12F950" w14:textId="110C8B32" w:rsidR="00130C65" w:rsidRPr="00AA4F21" w:rsidRDefault="00130C65" w:rsidP="00130C65">
      <w:pPr>
        <w:pStyle w:val="NApunkts1"/>
      </w:pPr>
      <w:r w:rsidRPr="00AA4F21">
        <w:t>Apdrošinātājs vai pārapdrošinātājs dokumentē visas Apdrošināšanas un pārapdrošināšanas likuma 123.</w:t>
      </w:r>
      <w:r w:rsidR="00046DC7" w:rsidRPr="00AA4F21">
        <w:t> </w:t>
      </w:r>
      <w:r w:rsidRPr="00AA4F21">
        <w:t xml:space="preserve">panta otrajā daļā minētās iekšējā modeļa būtiskās izmaiņas, norādot informāciju atbilstoši </w:t>
      </w:r>
      <w:r w:rsidR="0097116F" w:rsidRPr="00AA4F21">
        <w:t>R</w:t>
      </w:r>
      <w:r w:rsidRPr="00AA4F21">
        <w:t>egulas Nr.</w:t>
      </w:r>
      <w:r w:rsidR="00046DC7" w:rsidRPr="00AA4F21">
        <w:t> </w:t>
      </w:r>
      <w:r w:rsidRPr="00AA4F21">
        <w:t>2015/35 prasībām.</w:t>
      </w:r>
    </w:p>
    <w:p w14:paraId="218B9A6E" w14:textId="2944BC2E" w:rsidR="0020605D" w:rsidRPr="00AA4F21" w:rsidRDefault="0020605D" w:rsidP="0020605D">
      <w:pPr>
        <w:pStyle w:val="NApunkts1"/>
      </w:pPr>
      <w:r w:rsidRPr="00AA4F21">
        <w:t>Apdrošinātājs vai pārapdrošinātājs izveido iekšējā modeļa dokumentācijas kontroles procedūru, kas nodrošina, ka iekšējā modeļa dokumentācija ir atjaunināta un regulāri pārskatīta.</w:t>
      </w:r>
    </w:p>
    <w:p w14:paraId="16FADB6C" w14:textId="3CA484FA" w:rsidR="00581471" w:rsidRPr="00AA4F21" w:rsidRDefault="00690B67" w:rsidP="00CD44FF">
      <w:pPr>
        <w:pStyle w:val="NAnodalaromiesucipari"/>
      </w:pPr>
      <w:r>
        <w:t xml:space="preserve">Prasības </w:t>
      </w:r>
      <w:r w:rsidR="0092433E">
        <w:t xml:space="preserve">ārējiem </w:t>
      </w:r>
      <w:r w:rsidR="00581471" w:rsidRPr="00AA4F21">
        <w:t>modeļi</w:t>
      </w:r>
      <w:r>
        <w:t>em</w:t>
      </w:r>
      <w:r w:rsidR="00581471" w:rsidRPr="00AA4F21">
        <w:t xml:space="preserve"> un dati</w:t>
      </w:r>
      <w:r>
        <w:t>em</w:t>
      </w:r>
    </w:p>
    <w:p w14:paraId="30C07742" w14:textId="4CF40155" w:rsidR="00581471" w:rsidRPr="0092433E" w:rsidRDefault="00581471" w:rsidP="00581471">
      <w:pPr>
        <w:pStyle w:val="NApunkts1"/>
      </w:pPr>
      <w:r w:rsidRPr="00AA4F21">
        <w:t xml:space="preserve">Apdrošinātājs vai pārapdrošinātājs, </w:t>
      </w:r>
      <w:r w:rsidRPr="0092433E">
        <w:t>ņemot vērā ārējo datu raksturu, izvērtē iekšējā modelī izmantoto ārējo datu īpatnības (to būtiskus pārveidojumus, pārrēķinu</w:t>
      </w:r>
      <w:r w:rsidR="009E48AF" w:rsidRPr="0092433E">
        <w:t>,</w:t>
      </w:r>
      <w:r w:rsidRPr="0092433E">
        <w:t xml:space="preserve"> sezonalitāti un ārējiem datiem raksturīgu cita veida apstrādi), tai skaitā:</w:t>
      </w:r>
    </w:p>
    <w:p w14:paraId="62ABDB38" w14:textId="138E0B68" w:rsidR="00581471" w:rsidRPr="0092433E" w:rsidRDefault="00581471" w:rsidP="000C0033">
      <w:pPr>
        <w:pStyle w:val="NApunkts2"/>
      </w:pPr>
      <w:r w:rsidRPr="0092433E">
        <w:t>izvērtē ārējo datu īpašības un ierobežojumus vai citas īpatnības;</w:t>
      </w:r>
    </w:p>
    <w:p w14:paraId="7605CEAE" w14:textId="030CC60C" w:rsidR="00581471" w:rsidRPr="0092433E" w:rsidRDefault="00581471" w:rsidP="000C0033">
      <w:pPr>
        <w:pStyle w:val="NApunkts2"/>
      </w:pPr>
      <w:r w:rsidRPr="0092433E">
        <w:lastRenderedPageBreak/>
        <w:t>izstrādā procesus trūkstošo ārējo datu un citu ierobežojumu konstatēšanai;</w:t>
      </w:r>
    </w:p>
    <w:p w14:paraId="57D6D329" w14:textId="5F0C726E" w:rsidR="00581471" w:rsidRPr="0092433E" w:rsidRDefault="00581471" w:rsidP="000C0033">
      <w:pPr>
        <w:pStyle w:val="NApunkts2"/>
      </w:pPr>
      <w:r w:rsidRPr="0092433E">
        <w:t>izprot tuvinājumus un datu apstrādi, kas veikta, lai novērstu ārējo datu iztrūkumu vai ticamības trūkumu;</w:t>
      </w:r>
    </w:p>
    <w:p w14:paraId="676F9FBD" w14:textId="160A22B0" w:rsidR="00581471" w:rsidRPr="0092433E" w:rsidRDefault="00581471" w:rsidP="000C0033">
      <w:pPr>
        <w:pStyle w:val="NApunkts2"/>
      </w:pPr>
      <w:r w:rsidRPr="0092433E">
        <w:t>izstrādā procesus savlaicīgu konsekvences pārbaužu veikšanai, tostarp salīdzināšanai ar citiem svarīgiem avotiem</w:t>
      </w:r>
      <w:r w:rsidR="00657AD8">
        <w:t>,</w:t>
      </w:r>
      <w:r w:rsidRPr="0092433E">
        <w:t xml:space="preserve"> ciktāl dati ir praktiski pieejami.</w:t>
      </w:r>
    </w:p>
    <w:p w14:paraId="571C623B" w14:textId="455DD1F1" w:rsidR="00581471" w:rsidRPr="0092433E" w:rsidRDefault="00581471" w:rsidP="00581471">
      <w:pPr>
        <w:pStyle w:val="NApunkts1"/>
      </w:pPr>
      <w:r w:rsidRPr="0092433E">
        <w:t>Apdrošinātājs vai pārapdrošinātājs nodrošina, ka visām ārējā modeļa lietošanā iesaistītajām pusēm ir pietiekami detalizēta izpratne par nozīmīgām ārējā modeļa sastāvdaļām, tostarp pieņēmumiem, tehniskajiem un operacionālajiem aspektiem, kas uz tām attiecas.</w:t>
      </w:r>
    </w:p>
    <w:p w14:paraId="2165F3AA" w14:textId="40030380" w:rsidR="00581471" w:rsidRPr="0092433E" w:rsidRDefault="00581471" w:rsidP="00581471">
      <w:pPr>
        <w:pStyle w:val="NApunkts1"/>
      </w:pPr>
      <w:r w:rsidRPr="0092433E">
        <w:t>Apdrošinātājs vai pārapdrošinātājs periodiski pārskata ārējā modeļa vai ārēju datu kopuma izvēles pamatojumu, izveido plānu pakalpojumu sniedzēja kļūdu ietekmes mazināšanai, kā arī pastāvīgi izvērtē ārējā modeļa vai tādu datu</w:t>
      </w:r>
      <w:r w:rsidR="00657AD8" w:rsidRPr="00657AD8">
        <w:t xml:space="preserve"> </w:t>
      </w:r>
      <w:r w:rsidR="00657AD8" w:rsidRPr="0092433E">
        <w:t>atjauninājumus</w:t>
      </w:r>
      <w:r w:rsidRPr="0092433E">
        <w:t xml:space="preserve">, </w:t>
      </w:r>
      <w:r w:rsidR="003D3417">
        <w:t>kuri</w:t>
      </w:r>
      <w:r w:rsidR="003D3417" w:rsidRPr="0092433E">
        <w:t xml:space="preserve"> </w:t>
      </w:r>
      <w:r w:rsidRPr="0092433E">
        <w:t>ļauj apdrošinātājam vai pārapdrošinātājam labāk novērtēt tā riskus.</w:t>
      </w:r>
    </w:p>
    <w:p w14:paraId="7095CB1E" w14:textId="4EAA25DB" w:rsidR="00581471" w:rsidRPr="00AA4F21" w:rsidRDefault="00581471" w:rsidP="00581471">
      <w:pPr>
        <w:pStyle w:val="NApunkts1"/>
      </w:pPr>
      <w:r w:rsidRPr="0092433E">
        <w:t>Ja apdrošinātājs vai pārapdrošinātājs nolēmis iekšējā modeļa ietvaros integrēt ārējo modeli, t</w:t>
      </w:r>
      <w:r w:rsidR="003B6A62" w:rsidRPr="0092433E">
        <w:t>as</w:t>
      </w:r>
      <w:r w:rsidRPr="0092433E">
        <w:t xml:space="preserve"> nodrošina, ka izvēlētā pieeja</w:t>
      </w:r>
      <w:r w:rsidRPr="00AA4F21">
        <w:t xml:space="preserve"> ir atbilst</w:t>
      </w:r>
      <w:r w:rsidR="002D7F99">
        <w:t>īg</w:t>
      </w:r>
      <w:r w:rsidRPr="00AA4F21">
        <w:t>a.</w:t>
      </w:r>
    </w:p>
    <w:p w14:paraId="77B9201B" w14:textId="2C834D05" w:rsidR="00581471" w:rsidRPr="00AA4F21" w:rsidRDefault="00581471" w:rsidP="00581471">
      <w:pPr>
        <w:pStyle w:val="NApunkts1"/>
      </w:pPr>
      <w:r w:rsidRPr="00AA4F21">
        <w:t>Apdrošinātājs vai pārapdrošinātājs:</w:t>
      </w:r>
    </w:p>
    <w:p w14:paraId="1411B2AF" w14:textId="707B3306" w:rsidR="00581471" w:rsidRPr="00AA4F21" w:rsidRDefault="00581471" w:rsidP="000C0033">
      <w:pPr>
        <w:pStyle w:val="NApunkts2"/>
      </w:pPr>
      <w:r w:rsidRPr="00AA4F21">
        <w:t>veic to ārējā modeļa būtisko pieņēmumu validācij</w:t>
      </w:r>
      <w:r w:rsidR="007721A7">
        <w:t>u</w:t>
      </w:r>
      <w:r w:rsidRPr="00AA4F21">
        <w:t xml:space="preserve">, </w:t>
      </w:r>
      <w:r w:rsidR="00657AD8">
        <w:t>kuri</w:t>
      </w:r>
      <w:r w:rsidR="00657AD8" w:rsidRPr="00AA4F21">
        <w:t xml:space="preserve"> </w:t>
      </w:r>
      <w:r w:rsidR="004163B8">
        <w:t xml:space="preserve">ir </w:t>
      </w:r>
      <w:r w:rsidRPr="00AA4F21">
        <w:t xml:space="preserve">svarīgi tā riska profilam; </w:t>
      </w:r>
    </w:p>
    <w:p w14:paraId="06009541" w14:textId="077811AC" w:rsidR="00581471" w:rsidRPr="00AA4F21" w:rsidRDefault="00F545E4" w:rsidP="000C0033">
      <w:pPr>
        <w:pStyle w:val="NApunkts2"/>
      </w:pPr>
      <w:r>
        <w:t xml:space="preserve">veic </w:t>
      </w:r>
      <w:r w:rsidR="00581471" w:rsidRPr="00AA4F21">
        <w:t>procesu validācij</w:t>
      </w:r>
      <w:r>
        <w:t>u</w:t>
      </w:r>
      <w:r w:rsidR="00581471" w:rsidRPr="00AA4F21">
        <w:t xml:space="preserve"> ārējā modeļa un datu integrācijai </w:t>
      </w:r>
      <w:r w:rsidR="004163B8">
        <w:t>tā</w:t>
      </w:r>
      <w:r w:rsidR="00581471" w:rsidRPr="00AA4F21">
        <w:t xml:space="preserve"> procesos un iekšējā modelī;</w:t>
      </w:r>
    </w:p>
    <w:p w14:paraId="5F6AA27F" w14:textId="23AE0FF4" w:rsidR="00581471" w:rsidRPr="00AA4F21" w:rsidRDefault="00581471" w:rsidP="000C0033">
      <w:pPr>
        <w:pStyle w:val="NApunkts2"/>
      </w:pPr>
      <w:r w:rsidRPr="00AA4F21">
        <w:t>izvērtē ārējā modelī pieejamo īpašību vai opciju izvēles vai neizvēlēšanās atbilstīb</w:t>
      </w:r>
      <w:r w:rsidR="00F545E4">
        <w:t>u</w:t>
      </w:r>
      <w:r w:rsidRPr="00AA4F21">
        <w:t>;</w:t>
      </w:r>
    </w:p>
    <w:p w14:paraId="18E8D1B5" w14:textId="4ADD16D4" w:rsidR="00581471" w:rsidRPr="00AA4F21" w:rsidRDefault="00581471" w:rsidP="000C0033">
      <w:pPr>
        <w:pStyle w:val="NApunkts2"/>
      </w:pPr>
      <w:r w:rsidRPr="00AA4F21">
        <w:t>apsv</w:t>
      </w:r>
      <w:r w:rsidR="00F545E4">
        <w:t>er</w:t>
      </w:r>
      <w:r w:rsidRPr="00AA4F21">
        <w:t xml:space="preserve"> atbilst</w:t>
      </w:r>
      <w:r w:rsidR="002D7F99">
        <w:t>īg</w:t>
      </w:r>
      <w:r w:rsidRPr="00AA4F21">
        <w:t>u informāciju</w:t>
      </w:r>
      <w:r w:rsidR="002D7F99">
        <w:t>,</w:t>
      </w:r>
      <w:r w:rsidRPr="00AA4F21">
        <w:t xml:space="preserve"> īpaši piegādātāja vai citas trešās personas veikt</w:t>
      </w:r>
      <w:r w:rsidR="00F545E4">
        <w:t>o</w:t>
      </w:r>
      <w:r w:rsidRPr="00AA4F21">
        <w:t xml:space="preserve"> analīz</w:t>
      </w:r>
      <w:r w:rsidR="00F545E4">
        <w:t>i</w:t>
      </w:r>
      <w:r w:rsidRPr="00AA4F21">
        <w:t>.</w:t>
      </w:r>
    </w:p>
    <w:p w14:paraId="44A1AA75" w14:textId="6186086E" w:rsidR="00581471" w:rsidRPr="00AA4F21" w:rsidRDefault="00581471" w:rsidP="00581471">
      <w:pPr>
        <w:pStyle w:val="NApunkts1"/>
      </w:pPr>
      <w:r w:rsidRPr="00AA4F21">
        <w:t>Apdrošinātājs vai pārapdrošinātājs sagatavo dokumentāciju, kurā ir iespējams izmantot arī piegādātāju un pakalpojumu sniedzēju izstrādātu dokumentāciju, vismaz par:</w:t>
      </w:r>
    </w:p>
    <w:p w14:paraId="0915124A" w14:textId="49FF5D4C" w:rsidR="00581471" w:rsidRPr="00AA4F21" w:rsidRDefault="00581471" w:rsidP="000C0033">
      <w:pPr>
        <w:pStyle w:val="NApunkts2"/>
      </w:pPr>
      <w:r w:rsidRPr="00AA4F21">
        <w:t>tā riska profilam nozīmīgajiem ārējā modeļa un ārējo datu aspektiem;</w:t>
      </w:r>
    </w:p>
    <w:p w14:paraId="086B54D0" w14:textId="14DAF378" w:rsidR="00581471" w:rsidRPr="00AA4F21" w:rsidRDefault="00581471" w:rsidP="000C0033">
      <w:pPr>
        <w:pStyle w:val="NApunkts2"/>
      </w:pPr>
      <w:r w:rsidRPr="00AA4F21">
        <w:t>ārējā modeļa vai ārējo datu integrāciju tā procesos un iekšējā modelī;</w:t>
      </w:r>
    </w:p>
    <w:p w14:paraId="18A15E52" w14:textId="5486C541" w:rsidR="00581471" w:rsidRPr="00AA4F21" w:rsidRDefault="00581471" w:rsidP="000C0033">
      <w:pPr>
        <w:pStyle w:val="NApunkts2"/>
      </w:pPr>
      <w:r w:rsidRPr="00AA4F21">
        <w:t>ārējā modeļa datu, īpaši ievades datu, vai ārējā modeļa darbības rezultātu integrāciju tā procesos un iekšējā modelī;</w:t>
      </w:r>
    </w:p>
    <w:p w14:paraId="01AC3075" w14:textId="1EC19969" w:rsidR="00581471" w:rsidRPr="00AA4F21" w:rsidRDefault="00581471" w:rsidP="000C0033">
      <w:pPr>
        <w:pStyle w:val="NApunkts2"/>
      </w:pPr>
      <w:r w:rsidRPr="00AA4F21">
        <w:t>iekšējā modelī izmantotajiem ārējiem datiem, to avotu un lietojumu.</w:t>
      </w:r>
    </w:p>
    <w:p w14:paraId="302A3E06" w14:textId="7F628ED2" w:rsidR="00581471" w:rsidRPr="00AA4F21" w:rsidRDefault="00581471" w:rsidP="00581471">
      <w:pPr>
        <w:pStyle w:val="NApunkts1"/>
      </w:pPr>
      <w:r w:rsidRPr="00AA4F21">
        <w:t>Apdrošinātājs vai pārapdrošinātājs saglabā atbildību par pienākumu veikšanu</w:t>
      </w:r>
      <w:r w:rsidR="008D3C85">
        <w:t>,</w:t>
      </w:r>
      <w:r w:rsidR="008D3C85" w:rsidRPr="008D3C85">
        <w:t xml:space="preserve"> </w:t>
      </w:r>
      <w:r w:rsidR="008D3C85">
        <w:t>kuri saistīti ar iekšējo modeli,</w:t>
      </w:r>
      <w:r w:rsidRPr="00AA4F21">
        <w:t xml:space="preserve"> </w:t>
      </w:r>
      <w:r w:rsidR="008D3C85">
        <w:t xml:space="preserve">kā arī </w:t>
      </w:r>
      <w:r w:rsidRPr="00AA4F21">
        <w:t>par ārējā modeļa vai datu lomu iekšējā modelī un par jebkur</w:t>
      </w:r>
      <w:r w:rsidR="008D3C85">
        <w:t>u</w:t>
      </w:r>
      <w:r w:rsidRPr="00AA4F21">
        <w:t xml:space="preserve"> cit</w:t>
      </w:r>
      <w:r w:rsidR="008D3C85">
        <w:t>u</w:t>
      </w:r>
      <w:r w:rsidRPr="00AA4F21">
        <w:t xml:space="preserve"> prasīb</w:t>
      </w:r>
      <w:r w:rsidR="008D3C85">
        <w:t>u izpildi</w:t>
      </w:r>
      <w:r w:rsidRPr="00AA4F21">
        <w:t>.</w:t>
      </w:r>
    </w:p>
    <w:p w14:paraId="39E5E5C7" w14:textId="6A645CDA" w:rsidR="0020605D" w:rsidRDefault="00581471" w:rsidP="00581471">
      <w:pPr>
        <w:pStyle w:val="NApunkts1"/>
      </w:pPr>
      <w:r w:rsidRPr="00AA4F21">
        <w:t>Ja apdrošinātājs vai pārapdrošinātājs izvēlas neizmantot ārējo modeli tiešā veidā un ir noslēdzis ārpakalpojuma līgumu vai ar ārpakalpojuma līguma palīdzību uzdod pakalpojumu sniedzējam veikt atsevišķus ar ārējiem datiem saistītus uzdevumus, tas nodrošina, ka vis</w:t>
      </w:r>
      <w:r w:rsidR="00F545E4">
        <w:t>os</w:t>
      </w:r>
      <w:r w:rsidRPr="00AA4F21">
        <w:t xml:space="preserve"> ārpakalpojuma līgum</w:t>
      </w:r>
      <w:r w:rsidR="00F545E4">
        <w:t>os</w:t>
      </w:r>
      <w:r w:rsidRPr="00AA4F21">
        <w:t xml:space="preserve"> par iekšējā modeļa </w:t>
      </w:r>
      <w:r w:rsidR="001F53D1">
        <w:t>izmantošanu</w:t>
      </w:r>
      <w:r w:rsidRPr="00AA4F21">
        <w:t xml:space="preserve"> vai ar ārējiem datiem saistītu uzdevumu veikšanu </w:t>
      </w:r>
      <w:r w:rsidR="00F545E4">
        <w:t>ir noteikti</w:t>
      </w:r>
      <w:r w:rsidRPr="00AA4F21">
        <w:t xml:space="preserve"> pušu pienākum</w:t>
      </w:r>
      <w:r w:rsidR="00F545E4">
        <w:t>i</w:t>
      </w:r>
      <w:r w:rsidRPr="00AA4F21">
        <w:t xml:space="preserve"> atbilstoši </w:t>
      </w:r>
      <w:r w:rsidR="00135EE6" w:rsidRPr="00AA4F21">
        <w:t>Apdrošināšanas un pārapdrošināšanas likuma</w:t>
      </w:r>
      <w:r w:rsidRPr="00AA4F21">
        <w:t xml:space="preserve"> </w:t>
      </w:r>
      <w:r w:rsidR="00135EE6" w:rsidRPr="00AA4F21">
        <w:t>VIII</w:t>
      </w:r>
      <w:r w:rsidR="002D7F99">
        <w:t> </w:t>
      </w:r>
      <w:r w:rsidR="00135EE6" w:rsidRPr="00AA4F21">
        <w:t>nodaļā</w:t>
      </w:r>
      <w:r w:rsidRPr="00AA4F21">
        <w:t xml:space="preserve"> ārpakalpojumiem noteiktajām prasībām.</w:t>
      </w:r>
    </w:p>
    <w:p w14:paraId="1FB55056" w14:textId="77777777" w:rsidR="00311694" w:rsidRPr="00AA4F21" w:rsidRDefault="00311694" w:rsidP="00CD44FF">
      <w:pPr>
        <w:pStyle w:val="NAnodalaromiesucipari"/>
      </w:pPr>
      <w:r w:rsidRPr="00AA4F21">
        <w:t xml:space="preserve">Iekšējo modeļu </w:t>
      </w:r>
      <w:proofErr w:type="spellStart"/>
      <w:r w:rsidRPr="00AA4F21">
        <w:t>pirmspieteikuma</w:t>
      </w:r>
      <w:proofErr w:type="spellEnd"/>
      <w:r w:rsidRPr="00AA4F21">
        <w:t xml:space="preserve"> process</w:t>
      </w:r>
    </w:p>
    <w:p w14:paraId="09D7BB54" w14:textId="274AFA8D" w:rsidR="00311694" w:rsidRPr="001932F3" w:rsidRDefault="00311694" w:rsidP="00311694">
      <w:pPr>
        <w:pStyle w:val="NApunkts1"/>
      </w:pPr>
      <w:r w:rsidRPr="00AA4F21">
        <w:t xml:space="preserve">Iekšējo modeļu </w:t>
      </w:r>
      <w:proofErr w:type="spellStart"/>
      <w:r w:rsidRPr="00AA4F21">
        <w:t>pirmspieteikuma</w:t>
      </w:r>
      <w:proofErr w:type="spellEnd"/>
      <w:r w:rsidRPr="00AA4F21">
        <w:t xml:space="preserve"> procesā Latvijas Banka</w:t>
      </w:r>
      <w:r>
        <w:t>i</w:t>
      </w:r>
      <w:r w:rsidRPr="00AA4F21">
        <w:t xml:space="preserve"> </w:t>
      </w:r>
      <w:r>
        <w:t xml:space="preserve">ir jāgūst pārliecība </w:t>
      </w:r>
      <w:r w:rsidRPr="00AA4F21">
        <w:t xml:space="preserve">par apdrošinātāja vai pārapdrošinātāja </w:t>
      </w:r>
      <w:r>
        <w:t xml:space="preserve">gatavību </w:t>
      </w:r>
      <w:r w:rsidRPr="00AA4F21">
        <w:t>iesniegt pieteikumu par iekšējā modeļa izmantošanu maksātspējas kapitāla prasības aprēķināšanai saskaņā ar Apdrošināšanas un pārapdrošināšanas likuma 121. panta prasībām un</w:t>
      </w:r>
      <w:r>
        <w:t xml:space="preserve"> par to</w:t>
      </w:r>
      <w:r w:rsidRPr="00AA4F21">
        <w:t xml:space="preserve">, </w:t>
      </w:r>
      <w:r>
        <w:t xml:space="preserve">ka apdrošinātājs vai </w:t>
      </w:r>
      <w:r>
        <w:lastRenderedPageBreak/>
        <w:t xml:space="preserve">pārapdrošinātājs spēs izpildīt </w:t>
      </w:r>
      <w:r w:rsidRPr="001932F3">
        <w:t xml:space="preserve">Apdrošināšanas un pārapdrošināšanas likumā, īpaši tā 121., 122., 123., 124., 206. un 207. pantā, šo noteikumu II, III, IV, V, VI, VII un VIII nodaļā un Regulā Nr. 2015/35 iekšējiem modeļiem izvirzītās prasības. </w:t>
      </w:r>
    </w:p>
    <w:p w14:paraId="343A2EF4" w14:textId="77777777" w:rsidR="00311694" w:rsidRPr="00AA4F21" w:rsidRDefault="00311694" w:rsidP="00311694">
      <w:pPr>
        <w:pStyle w:val="NApunkts1"/>
      </w:pPr>
      <w:r w:rsidRPr="001932F3">
        <w:t xml:space="preserve">Apdrošinātāja vai </w:t>
      </w:r>
      <w:proofErr w:type="spellStart"/>
      <w:r w:rsidRPr="001932F3">
        <w:t>pārapdrošinātāja</w:t>
      </w:r>
      <w:proofErr w:type="spellEnd"/>
      <w:r w:rsidRPr="001932F3">
        <w:t xml:space="preserve"> dalība </w:t>
      </w:r>
      <w:proofErr w:type="spellStart"/>
      <w:r w:rsidRPr="001932F3">
        <w:t>pirmspieteikuma</w:t>
      </w:r>
      <w:proofErr w:type="spellEnd"/>
      <w:r w:rsidRPr="001932F3">
        <w:t xml:space="preserve"> procesā ir brīvprātīga. Apdrošinātājs vai pārapdrošinātājs var iesniegt Latvijas</w:t>
      </w:r>
      <w:r w:rsidRPr="00AA4F21">
        <w:t xml:space="preserve"> Bankai pieteikumu par iekšējā modeļa izmantošanu maksātspējas kapitāla prasības aprēķināšanai arī bez piedalīšanās </w:t>
      </w:r>
      <w:proofErr w:type="spellStart"/>
      <w:r w:rsidRPr="00AA4F21">
        <w:t>pirmspieteikuma</w:t>
      </w:r>
      <w:proofErr w:type="spellEnd"/>
      <w:r w:rsidRPr="00AA4F21">
        <w:t xml:space="preserve"> procesā.</w:t>
      </w:r>
    </w:p>
    <w:p w14:paraId="37280B47" w14:textId="027AC785" w:rsidR="00311694" w:rsidRPr="00AA4F21" w:rsidRDefault="00311694" w:rsidP="00311694">
      <w:pPr>
        <w:pStyle w:val="NApunkts1"/>
      </w:pPr>
      <w:proofErr w:type="spellStart"/>
      <w:r w:rsidRPr="00AA4F21">
        <w:t>Pirmspieteikuma</w:t>
      </w:r>
      <w:proofErr w:type="spellEnd"/>
      <w:r w:rsidRPr="00AA4F21">
        <w:t xml:space="preserve"> procesā apdrošinātājs vai pārapdrošinātājs nodrošina Latvijas Banku ar nepieciešamo informāciju, lai Latvijas Banka varētu izveidot viedokli par to, vai apdrošinātājs vai pārapdrošinātājs ir gatavs iesniegt pieteikumu iekšējā modeļa izmantošanai maksātspējas kapitāla prasības aprēķinā un kā </w:t>
      </w:r>
      <w:proofErr w:type="spellStart"/>
      <w:r w:rsidRPr="00AA4F21">
        <w:t>pirmspieteikuma</w:t>
      </w:r>
      <w:proofErr w:type="spellEnd"/>
      <w:r w:rsidRPr="00AA4F21">
        <w:t xml:space="preserve"> procesā iesaistītais apdrošinātājs vai pārapdrošinātājs veic atbilstošos pasākumus, lai:</w:t>
      </w:r>
    </w:p>
    <w:p w14:paraId="164564F5" w14:textId="77777777" w:rsidR="00311694" w:rsidRPr="00AA4F21" w:rsidRDefault="00311694" w:rsidP="00311694">
      <w:pPr>
        <w:pStyle w:val="NApunkts2"/>
      </w:pPr>
      <w:r w:rsidRPr="00AA4F21">
        <w:t>veidotu iekšējā modeļa segumu veidā, kas nodrošina apdrošinātāja vai pārapdrošinātāja gatavību lietot iekšējo modeli gan riska vadības mērķiem, gan pamatdarbības</w:t>
      </w:r>
      <w:r>
        <w:t>,</w:t>
      </w:r>
      <w:r w:rsidRPr="00AA4F21">
        <w:t xml:space="preserve"> tai skaitā stratēģisku</w:t>
      </w:r>
      <w:r>
        <w:t>,</w:t>
      </w:r>
      <w:r w:rsidRPr="00AA4F21">
        <w:t xml:space="preserve"> un citu būtisku lēmumu pieņemšanas mērķiem </w:t>
      </w:r>
      <w:r>
        <w:t xml:space="preserve">un </w:t>
      </w:r>
      <w:r w:rsidRPr="00AA4F21">
        <w:t>maksātspējas kapitāla prasības aprēķināšanā;</w:t>
      </w:r>
    </w:p>
    <w:p w14:paraId="7F3ECD63" w14:textId="77777777" w:rsidR="00311694" w:rsidRPr="00AA4F21" w:rsidRDefault="00311694" w:rsidP="00311694">
      <w:pPr>
        <w:pStyle w:val="NApunkts2"/>
      </w:pPr>
      <w:r w:rsidRPr="00AA4F21">
        <w:t>sagatavotos iespējai, ka tā iekšējais modelis varētu netikt apstiprināts, un izveidotu procesus maksātspējas kapitāla aprēķināšanai ar standarta formulu, kā arī apsvērtu, kā tas ietekmēs kapitāla plānošanu.</w:t>
      </w:r>
    </w:p>
    <w:p w14:paraId="275A4C9F" w14:textId="77777777" w:rsidR="00311694" w:rsidRPr="00AA4F21" w:rsidRDefault="00311694" w:rsidP="00311694">
      <w:pPr>
        <w:pStyle w:val="NApunkts1"/>
      </w:pPr>
      <w:r w:rsidRPr="00AA4F21">
        <w:t xml:space="preserve">Dalība </w:t>
      </w:r>
      <w:proofErr w:type="spellStart"/>
      <w:r w:rsidRPr="00AA4F21">
        <w:t>pirmspieteikuma</w:t>
      </w:r>
      <w:proofErr w:type="spellEnd"/>
      <w:r w:rsidRPr="00AA4F21">
        <w:t xml:space="preserve"> procesā negarantē iekšējā modeļa apstiprināšanu pēc tam, kad iesniegts pieteikums.</w:t>
      </w:r>
    </w:p>
    <w:p w14:paraId="4E3A3AC4" w14:textId="77777777" w:rsidR="00311694" w:rsidRPr="00AA4F21" w:rsidRDefault="00311694" w:rsidP="00311694">
      <w:pPr>
        <w:pStyle w:val="NApunkts1"/>
      </w:pPr>
      <w:r w:rsidRPr="00AA4F21">
        <w:t xml:space="preserve">Lai paziņotu par savu dalību </w:t>
      </w:r>
      <w:proofErr w:type="spellStart"/>
      <w:r w:rsidRPr="00AA4F21">
        <w:t>pirmspieteikuma</w:t>
      </w:r>
      <w:proofErr w:type="spellEnd"/>
      <w:r w:rsidRPr="00AA4F21">
        <w:t xml:space="preserve"> procesā, apdrošinātājs vai pārapdrošinātājs iesniedz Latvijas Bankai Regulas Nr. 2015/460 2. pantā minēto pieteikumu, kura pavadvēstulē norāda vismaz šādu informāciju:</w:t>
      </w:r>
    </w:p>
    <w:p w14:paraId="2AED443A" w14:textId="77777777" w:rsidR="00311694" w:rsidRPr="00AA4F21" w:rsidRDefault="00311694" w:rsidP="00311694">
      <w:pPr>
        <w:pStyle w:val="NApunkts2"/>
      </w:pPr>
      <w:r w:rsidRPr="00AA4F21">
        <w:t>paziņojumu, ka apdrošinātājs vai pārapdrošinātājs vēlas iesniegt Latvijas Bankai pieteikumu, lai saņemtu atļauju veikt maksātspējas kapitāla prasības aprēķinu saskaņā ar iekšējo modeli;</w:t>
      </w:r>
    </w:p>
    <w:p w14:paraId="6B5F226F" w14:textId="77777777" w:rsidR="00311694" w:rsidRPr="00AA4F21" w:rsidRDefault="00311694" w:rsidP="00311694">
      <w:pPr>
        <w:pStyle w:val="NApunkts2"/>
      </w:pPr>
      <w:r w:rsidRPr="00AA4F21">
        <w:t>datumu, kurā apdrošinātājs vai pārapdrošinātājs plāno iesniegt pieteikumu iekšējā modeļa apstiprināšanai;</w:t>
      </w:r>
    </w:p>
    <w:p w14:paraId="3BB8F376" w14:textId="77777777" w:rsidR="00311694" w:rsidRPr="00AA4F21" w:rsidRDefault="00311694" w:rsidP="00311694">
      <w:pPr>
        <w:pStyle w:val="NApunkts2"/>
      </w:pPr>
      <w:r w:rsidRPr="00AA4F21">
        <w:t>plānoto iekšējā modeļa segumu un iekšējā modeļa piemērošanas jomu, norādot, kuras no apdrošinātāja vai pārapdrošinātāja funkcijām plāno izmantot iekšējo modeli;</w:t>
      </w:r>
    </w:p>
    <w:p w14:paraId="4160C883" w14:textId="77777777" w:rsidR="00311694" w:rsidRPr="00AA4F21" w:rsidRDefault="00311694" w:rsidP="00311694">
      <w:pPr>
        <w:pStyle w:val="NApunkts2"/>
      </w:pPr>
      <w:r w:rsidRPr="00AA4F21">
        <w:t>apdrošinātāja vai pārapdrošinātāja plānot</w:t>
      </w:r>
      <w:r>
        <w:t>o</w:t>
      </w:r>
      <w:r w:rsidRPr="00AA4F21">
        <w:t xml:space="preserve"> iekšējā modeļa izstrādes un ieviešanas procesa grafik</w:t>
      </w:r>
      <w:r>
        <w:t>u</w:t>
      </w:r>
      <w:r w:rsidRPr="00AA4F21">
        <w:t>.</w:t>
      </w:r>
    </w:p>
    <w:p w14:paraId="38F930D7" w14:textId="7E783F22" w:rsidR="00311694" w:rsidRPr="001932F3" w:rsidRDefault="00311694" w:rsidP="00311694">
      <w:pPr>
        <w:pStyle w:val="NApunkts1"/>
      </w:pPr>
      <w:r w:rsidRPr="00AA4F21">
        <w:t xml:space="preserve">Katrā atsevišķā gadījumā apdrošinātājs vai pārapdrošinātājs vienojas ar Latvijas Banku par iekšējā </w:t>
      </w:r>
      <w:r w:rsidRPr="001932F3">
        <w:t xml:space="preserve">modeļa </w:t>
      </w:r>
      <w:proofErr w:type="spellStart"/>
      <w:r w:rsidRPr="001932F3">
        <w:t>pirmspieteikuma</w:t>
      </w:r>
      <w:proofErr w:type="spellEnd"/>
      <w:r w:rsidRPr="001932F3">
        <w:t xml:space="preserve"> procesa grafiku, saskaņā ar kuru apdrošinātājs vai pārapdrošinātājs iesniedz Latvijas Bankai viedokļa izveidošanai nepieciešamo informāciju un dokumentāros pierādījumus, kas norādīti Regulas Nr. 2015/460 2. pantā un šo noteikumu X nodaļā.</w:t>
      </w:r>
    </w:p>
    <w:p w14:paraId="4AD38D7C" w14:textId="77777777" w:rsidR="00311694" w:rsidRPr="00AA4F21" w:rsidRDefault="00311694" w:rsidP="00311694">
      <w:pPr>
        <w:pStyle w:val="NApunkts1"/>
      </w:pPr>
      <w:proofErr w:type="spellStart"/>
      <w:r w:rsidRPr="001932F3">
        <w:t>Pirmspieteikuma</w:t>
      </w:r>
      <w:proofErr w:type="spellEnd"/>
      <w:r w:rsidRPr="001932F3">
        <w:t xml:space="preserve"> procesa</w:t>
      </w:r>
      <w:r w:rsidRPr="00AA4F21">
        <w:t xml:space="preserve"> ietvaros apdrošinātājs vai pārapdrošinātājs paziņo Latvijas Bankai par visām pēc informācijas iesniegšanas veiktajām vai plānotajām iekšējā modeļa izmaiņām, kuras apdrošinātājs vai pārapdrošinātājs uzskata par būtiskām.</w:t>
      </w:r>
    </w:p>
    <w:p w14:paraId="30E79EAC" w14:textId="77777777" w:rsidR="00311694" w:rsidRPr="00AA4F21" w:rsidRDefault="00311694" w:rsidP="00311694">
      <w:pPr>
        <w:pStyle w:val="NApunkts1"/>
      </w:pPr>
      <w:r w:rsidRPr="00AA4F21">
        <w:t xml:space="preserve">Attiecībā uz izmaiņām, ko apdrošinātājs vai pārapdrošinātājs veic iekšējā modelī </w:t>
      </w:r>
      <w:proofErr w:type="spellStart"/>
      <w:r w:rsidRPr="00AA4F21">
        <w:t>pirmspieteikuma</w:t>
      </w:r>
      <w:proofErr w:type="spellEnd"/>
      <w:r w:rsidRPr="00AA4F21">
        <w:t xml:space="preserve"> procesa laikā, apdrošinātājs vai pārapdrošinātājs iesniedz informāciju par:</w:t>
      </w:r>
    </w:p>
    <w:p w14:paraId="40BEF10B" w14:textId="77777777" w:rsidR="00311694" w:rsidRPr="00AA4F21" w:rsidRDefault="00311694" w:rsidP="00311694">
      <w:pPr>
        <w:pStyle w:val="NApunkts2"/>
      </w:pPr>
      <w:r w:rsidRPr="00AA4F21">
        <w:lastRenderedPageBreak/>
        <w:t xml:space="preserve">pārvaldības sistēmas procesiem, ko apdrošinātājs vai pārapdrošinātājs izveido saistībā ar šīm izmaiņām, tai skaitā </w:t>
      </w:r>
      <w:r>
        <w:t xml:space="preserve">informāciju par </w:t>
      </w:r>
      <w:r w:rsidRPr="00AA4F21">
        <w:t>izmaiņu apstiprināšanas procedūru, iekšējo informēšanas procesu, izmaiņu dokumentēšanu un validāciju;</w:t>
      </w:r>
    </w:p>
    <w:p w14:paraId="5F38863D" w14:textId="3C04E1C5" w:rsidR="00311694" w:rsidRPr="00AA4F21" w:rsidRDefault="00311694" w:rsidP="00BB006A">
      <w:pPr>
        <w:pStyle w:val="NApunkts2"/>
      </w:pPr>
      <w:r w:rsidRPr="00AA4F21">
        <w:t>apdrošinātāja vai pārapdrošinātāja izveidoto izmaiņu klasifikāciju, kā arī kvalitatīvos vai kvantitatīvos rādītājus, kas objektīvi nosaka būtiskas izmaiņas.</w:t>
      </w:r>
    </w:p>
    <w:p w14:paraId="1966A47B" w14:textId="0FC055F2" w:rsidR="00C55CF2" w:rsidRPr="00AA4F21" w:rsidRDefault="00B100A8" w:rsidP="00CD44FF">
      <w:pPr>
        <w:pStyle w:val="NAnodalaromiesucipari"/>
      </w:pPr>
      <w:r w:rsidRPr="00AA4F21">
        <w:t>P</w:t>
      </w:r>
      <w:r w:rsidR="00C55CF2" w:rsidRPr="00AA4F21">
        <w:t>ieteikum</w:t>
      </w:r>
      <w:r w:rsidRPr="00AA4F21">
        <w:t>s</w:t>
      </w:r>
      <w:r w:rsidR="00C55CF2" w:rsidRPr="00AA4F21">
        <w:t xml:space="preserve"> par iekšējā modeļa izmantošanu maksātspējas kapitāla prasības aprēķināšanai</w:t>
      </w:r>
    </w:p>
    <w:p w14:paraId="4E99EB7E" w14:textId="66DAD6EE" w:rsidR="00C55CF2" w:rsidRPr="000271C4" w:rsidRDefault="00C55CF2" w:rsidP="00C55CF2">
      <w:pPr>
        <w:pStyle w:val="NApunkts1"/>
      </w:pPr>
      <w:r w:rsidRPr="00AA4F21">
        <w:t>Pieteikum</w:t>
      </w:r>
      <w:r w:rsidR="00B100A8" w:rsidRPr="00AA4F21">
        <w:t>s</w:t>
      </w:r>
      <w:r w:rsidRPr="00AA4F21">
        <w:t xml:space="preserve"> par iekšējā modeļa izmantošanu maksātspējas kapitāla prasības aprēķināšanai, </w:t>
      </w:r>
      <w:r w:rsidR="00B100A8" w:rsidRPr="00AA4F21">
        <w:t xml:space="preserve">ko </w:t>
      </w:r>
      <w:r w:rsidRPr="00AA4F21">
        <w:t>apdrošinātājs vai pārapdrošinātājs iesniedz Latvijas Bankai</w:t>
      </w:r>
      <w:r w:rsidR="00B100A8" w:rsidRPr="00AA4F21">
        <w:t xml:space="preserve">, ietver </w:t>
      </w:r>
      <w:r w:rsidR="00657EBB" w:rsidRPr="00AA4F21">
        <w:t>dokumentār</w:t>
      </w:r>
      <w:r w:rsidR="005216FA">
        <w:t>u</w:t>
      </w:r>
      <w:r w:rsidR="00657EBB" w:rsidRPr="00AA4F21">
        <w:t>s pierādījumus</w:t>
      </w:r>
      <w:r w:rsidRPr="00AA4F21">
        <w:t>, kas apliecina iekšēj</w:t>
      </w:r>
      <w:r w:rsidR="00657EBB" w:rsidRPr="00AA4F21">
        <w:t>ā</w:t>
      </w:r>
      <w:r w:rsidRPr="00AA4F21">
        <w:t xml:space="preserve"> mode</w:t>
      </w:r>
      <w:r w:rsidR="00B100A8" w:rsidRPr="00AA4F21">
        <w:t>ļa prasību izpildi</w:t>
      </w:r>
      <w:r w:rsidRPr="00AA4F21">
        <w:t>, kā noteikts Komisijas 2015.</w:t>
      </w:r>
      <w:r w:rsidR="00046DC7" w:rsidRPr="00AA4F21">
        <w:t> </w:t>
      </w:r>
      <w:r w:rsidRPr="00AA4F21">
        <w:t>gada 19.</w:t>
      </w:r>
      <w:r w:rsidR="00046DC7" w:rsidRPr="00AA4F21">
        <w:t> </w:t>
      </w:r>
      <w:r w:rsidRPr="00AA4F21">
        <w:t xml:space="preserve">marta īstenošanas regulas (ES) 2015/460, ar ko nosaka īstenošanas tehniskos standartus attiecībā uz procedūru iekšējā modeļa apstiprināšanai saskaņā ar Eiropas Parlamenta un Padomes </w:t>
      </w:r>
      <w:r w:rsidR="0097116F" w:rsidRPr="00AA4F21">
        <w:t>d</w:t>
      </w:r>
      <w:r w:rsidRPr="00AA4F21">
        <w:t>irektīvu 2009/138/EK (turpmāk</w:t>
      </w:r>
      <w:r w:rsidR="00046DC7" w:rsidRPr="00AA4F21">
        <w:t> </w:t>
      </w:r>
      <w:r w:rsidRPr="00AA4F21">
        <w:t xml:space="preserve">– </w:t>
      </w:r>
      <w:r w:rsidR="0097116F" w:rsidRPr="00AA4F21">
        <w:t>R</w:t>
      </w:r>
      <w:r w:rsidRPr="00AA4F21">
        <w:t>egula Nr.</w:t>
      </w:r>
      <w:r w:rsidR="00046DC7" w:rsidRPr="00AA4F21">
        <w:t> </w:t>
      </w:r>
      <w:r w:rsidRPr="00AA4F21">
        <w:t>20</w:t>
      </w:r>
      <w:r w:rsidR="006879AC" w:rsidRPr="00AA4F21">
        <w:t>15</w:t>
      </w:r>
      <w:r w:rsidRPr="00AA4F21">
        <w:t>/</w:t>
      </w:r>
      <w:r w:rsidR="006879AC" w:rsidRPr="00AA4F21">
        <w:t>460)</w:t>
      </w:r>
      <w:r w:rsidRPr="00AA4F21">
        <w:t xml:space="preserve"> 2.</w:t>
      </w:r>
      <w:r w:rsidR="00046DC7" w:rsidRPr="00AA4F21">
        <w:t> </w:t>
      </w:r>
      <w:r w:rsidRPr="000271C4">
        <w:t>panta 4.</w:t>
      </w:r>
      <w:r w:rsidR="00046DC7" w:rsidRPr="000271C4">
        <w:t> </w:t>
      </w:r>
      <w:r w:rsidRPr="000271C4">
        <w:t>punktā</w:t>
      </w:r>
      <w:r w:rsidR="005216FA" w:rsidRPr="000271C4">
        <w:t xml:space="preserve">, kā arī </w:t>
      </w:r>
      <w:r w:rsidR="0097116F" w:rsidRPr="000271C4">
        <w:t>R</w:t>
      </w:r>
      <w:r w:rsidR="006879AC" w:rsidRPr="000271C4">
        <w:t>egula</w:t>
      </w:r>
      <w:r w:rsidR="00657EBB" w:rsidRPr="000271C4">
        <w:t>s</w:t>
      </w:r>
      <w:r w:rsidR="006879AC" w:rsidRPr="000271C4">
        <w:t xml:space="preserve"> Nr.</w:t>
      </w:r>
      <w:r w:rsidR="00046DC7" w:rsidRPr="000271C4">
        <w:t> </w:t>
      </w:r>
      <w:r w:rsidR="006879AC" w:rsidRPr="000271C4">
        <w:t>2015/35</w:t>
      </w:r>
      <w:r w:rsidRPr="000271C4">
        <w:t xml:space="preserve"> 343.</w:t>
      </w:r>
      <w:r w:rsidR="00046DC7" w:rsidRPr="000271C4">
        <w:t> </w:t>
      </w:r>
      <w:r w:rsidRPr="000271C4">
        <w:t>panta 5.</w:t>
      </w:r>
      <w:r w:rsidR="00046DC7" w:rsidRPr="000271C4">
        <w:t> </w:t>
      </w:r>
      <w:r w:rsidRPr="000271C4">
        <w:t>punktā un 347.</w:t>
      </w:r>
      <w:r w:rsidR="00046DC7" w:rsidRPr="000271C4">
        <w:t> </w:t>
      </w:r>
      <w:r w:rsidRPr="000271C4">
        <w:t>panta 6.</w:t>
      </w:r>
      <w:r w:rsidR="00046DC7" w:rsidRPr="000271C4">
        <w:t> </w:t>
      </w:r>
      <w:r w:rsidRPr="000271C4">
        <w:t>punktā.</w:t>
      </w:r>
    </w:p>
    <w:p w14:paraId="236B3B17" w14:textId="74745302" w:rsidR="002F1827" w:rsidRPr="000271C4" w:rsidRDefault="0097116F" w:rsidP="00C55CF2">
      <w:pPr>
        <w:pStyle w:val="NApunkts1"/>
      </w:pPr>
      <w:r w:rsidRPr="000271C4">
        <w:t>R</w:t>
      </w:r>
      <w:r w:rsidR="002F1827" w:rsidRPr="000271C4">
        <w:t>egulas Nr.</w:t>
      </w:r>
      <w:r w:rsidR="00046DC7" w:rsidRPr="000271C4">
        <w:t> </w:t>
      </w:r>
      <w:r w:rsidR="002F1827" w:rsidRPr="000271C4">
        <w:t>2015/460 2.</w:t>
      </w:r>
      <w:r w:rsidR="00046DC7" w:rsidRPr="000271C4">
        <w:t> </w:t>
      </w:r>
      <w:r w:rsidR="002F1827" w:rsidRPr="000271C4">
        <w:t>panta 4.</w:t>
      </w:r>
      <w:r w:rsidR="00046DC7" w:rsidRPr="000271C4">
        <w:t> </w:t>
      </w:r>
      <w:r w:rsidR="002F1827" w:rsidRPr="000271C4">
        <w:t>punkta a)</w:t>
      </w:r>
      <w:r w:rsidR="00046DC7" w:rsidRPr="000271C4">
        <w:t> </w:t>
      </w:r>
      <w:r w:rsidR="002F1827" w:rsidRPr="000271C4">
        <w:t>apakšpunktā minētajā pavadvēstulē:</w:t>
      </w:r>
    </w:p>
    <w:p w14:paraId="63D89C45" w14:textId="5760842E" w:rsidR="002F1827" w:rsidRPr="00AA4F21" w:rsidRDefault="006C33DF" w:rsidP="002F1827">
      <w:pPr>
        <w:pStyle w:val="NApunkts2"/>
      </w:pPr>
      <w:r w:rsidRPr="000271C4">
        <w:t>vispārēj</w:t>
      </w:r>
      <w:r w:rsidR="0063062E" w:rsidRPr="000271C4">
        <w:t>u</w:t>
      </w:r>
      <w:r w:rsidRPr="000271C4">
        <w:t xml:space="preserve"> paskaidrojum</w:t>
      </w:r>
      <w:r w:rsidR="0063062E" w:rsidRPr="000271C4">
        <w:t>u</w:t>
      </w:r>
      <w:r w:rsidRPr="000271C4">
        <w:t xml:space="preserve"> par iekšējo modeli</w:t>
      </w:r>
      <w:r w:rsidRPr="000271C4" w:rsidDel="006C33DF">
        <w:t xml:space="preserve"> </w:t>
      </w:r>
      <w:r w:rsidR="0063062E" w:rsidRPr="000271C4">
        <w:t>sniedz</w:t>
      </w:r>
      <w:r w:rsidR="002F1827" w:rsidRPr="000271C4">
        <w:t>, izmantojot grafisku attēlojumu, kur</w:t>
      </w:r>
      <w:r w:rsidR="00724F24">
        <w:t>ā</w:t>
      </w:r>
      <w:r w:rsidR="002F1827" w:rsidRPr="000271C4">
        <w:t xml:space="preserve"> norādītas galvenās iekšējā modeļa sastāvdaļas ar īsu katra komponenta aprakstu</w:t>
      </w:r>
      <w:r w:rsidR="00724F24">
        <w:t>,</w:t>
      </w:r>
      <w:r w:rsidR="002F1827" w:rsidRPr="000271C4">
        <w:t xml:space="preserve"> un aprakstot platformu</w:t>
      </w:r>
      <w:r w:rsidR="002F1827" w:rsidRPr="00AA4F21">
        <w:t>, kas atbalsta katru komponentu;</w:t>
      </w:r>
    </w:p>
    <w:p w14:paraId="7253E990" w14:textId="15FBEE2F" w:rsidR="002F1827" w:rsidRPr="00AA4F21" w:rsidRDefault="002F1827" w:rsidP="002F1827">
      <w:pPr>
        <w:pStyle w:val="NApunkts2"/>
      </w:pPr>
      <w:r w:rsidRPr="00AA4F21">
        <w:t xml:space="preserve">iekšējā modeļa </w:t>
      </w:r>
      <w:r w:rsidR="004038FE">
        <w:t>piemērošanas</w:t>
      </w:r>
      <w:r w:rsidRPr="00AA4F21">
        <w:t xml:space="preserve"> jomas aprakst</w:t>
      </w:r>
      <w:r w:rsidR="0063062E">
        <w:t>u sniedz</w:t>
      </w:r>
      <w:r w:rsidRPr="00AA4F21">
        <w:t>, izmantojot sarakstu vai tabulu, kurā norādīt</w:t>
      </w:r>
      <w:r w:rsidR="0063062E">
        <w:t>as</w:t>
      </w:r>
      <w:r w:rsidRPr="00AA4F21">
        <w:t xml:space="preserve"> iekļautās </w:t>
      </w:r>
      <w:r w:rsidR="003A5F1D" w:rsidRPr="00AA4F21">
        <w:t>komercdarbības struktūrvienības</w:t>
      </w:r>
      <w:r w:rsidRPr="00AA4F21">
        <w:t xml:space="preserve"> un virzieni, kā arī iekšējā modelī modelētie riski. Veidojot sarakstu vai tabulu, piemēro būtiskuma principu</w:t>
      </w:r>
      <w:r w:rsidR="00114245" w:rsidRPr="00AA4F21">
        <w:t>. Attiecīgo būtiskumu piemēro</w:t>
      </w:r>
      <w:r w:rsidR="0063062E">
        <w:t xml:space="preserve">, </w:t>
      </w:r>
      <w:r w:rsidR="00114245" w:rsidRPr="00AA4F21">
        <w:t xml:space="preserve">norādot </w:t>
      </w:r>
      <w:r w:rsidR="0063062E">
        <w:t xml:space="preserve">arī </w:t>
      </w:r>
      <w:r w:rsidR="00114245" w:rsidRPr="00AA4F21">
        <w:t>no iekšējā modeļa izslēgtos riskus</w:t>
      </w:r>
      <w:r w:rsidR="0063062E">
        <w:t>,</w:t>
      </w:r>
      <w:r w:rsidR="00114245" w:rsidRPr="00AA4F21">
        <w:t xml:space="preserve"> </w:t>
      </w:r>
      <w:r w:rsidR="003A5F1D" w:rsidRPr="00AA4F21">
        <w:t>komercdarbības struktūrvienības</w:t>
      </w:r>
      <w:r w:rsidR="00114245" w:rsidRPr="00AA4F21">
        <w:t xml:space="preserve"> un virzienus</w:t>
      </w:r>
      <w:r w:rsidR="00ED7B14" w:rsidRPr="00AA4F21">
        <w:t>;</w:t>
      </w:r>
    </w:p>
    <w:p w14:paraId="17B7986C" w14:textId="34161E2B" w:rsidR="00ED7B14" w:rsidRPr="00AA4F21" w:rsidRDefault="0063062E" w:rsidP="00ED7B14">
      <w:pPr>
        <w:pStyle w:val="NApunkts2"/>
      </w:pPr>
      <w:r>
        <w:t>sniedz</w:t>
      </w:r>
      <w:r w:rsidR="00ED7B14" w:rsidRPr="00AA4F21">
        <w:t xml:space="preserve"> papildu informāciju</w:t>
      </w:r>
      <w:r>
        <w:t xml:space="preserve"> atbilstoši </w:t>
      </w:r>
      <w:r w:rsidR="0097116F" w:rsidRPr="00AA4F21">
        <w:t>R</w:t>
      </w:r>
      <w:r w:rsidR="00ED7B14" w:rsidRPr="00AA4F21">
        <w:t>egulas Nr.</w:t>
      </w:r>
      <w:r w:rsidR="00046DC7" w:rsidRPr="00AA4F21">
        <w:t> </w:t>
      </w:r>
      <w:r w:rsidR="00ED7B14" w:rsidRPr="00AA4F21">
        <w:t>2015/35 343.</w:t>
      </w:r>
      <w:r w:rsidR="00046DC7" w:rsidRPr="00AA4F21">
        <w:t> </w:t>
      </w:r>
      <w:r w:rsidR="00ED7B14" w:rsidRPr="00AA4F21">
        <w:t>pant</w:t>
      </w:r>
      <w:r>
        <w:t xml:space="preserve">am, ja pieteikums tiek iesniegts, pamatojoties uz </w:t>
      </w:r>
      <w:r w:rsidRPr="00AA4F21">
        <w:t>Apdrošināšanas un pārapdrošināšanas likuma 206. panta prasībām</w:t>
      </w:r>
      <w:r w:rsidR="00ED7B14" w:rsidRPr="00AA4F21">
        <w:t>;</w:t>
      </w:r>
    </w:p>
    <w:p w14:paraId="795F3635" w14:textId="4F901D4E" w:rsidR="00ED7B14" w:rsidRPr="00AA4F21" w:rsidRDefault="000D2B30" w:rsidP="00ED7B14">
      <w:pPr>
        <w:pStyle w:val="NApunkts2"/>
      </w:pPr>
      <w:r>
        <w:t>sniedz</w:t>
      </w:r>
      <w:r w:rsidR="00ED7B14" w:rsidRPr="00AA4F21">
        <w:t xml:space="preserve"> papildu informāciju</w:t>
      </w:r>
      <w:r>
        <w:t xml:space="preserve"> atbilstoši </w:t>
      </w:r>
      <w:r w:rsidR="0097116F" w:rsidRPr="00AA4F21">
        <w:t>R</w:t>
      </w:r>
      <w:r w:rsidR="00ED7B14" w:rsidRPr="00AA4F21">
        <w:t>egulas Nr.</w:t>
      </w:r>
      <w:r w:rsidR="00046DC7" w:rsidRPr="00AA4F21">
        <w:t> </w:t>
      </w:r>
      <w:r w:rsidR="00ED7B14" w:rsidRPr="00AA4F21">
        <w:t>2015/35 347.</w:t>
      </w:r>
      <w:r w:rsidR="00046DC7" w:rsidRPr="00AA4F21">
        <w:t> </w:t>
      </w:r>
      <w:r w:rsidR="00ED7B14" w:rsidRPr="00AA4F21">
        <w:t>pant</w:t>
      </w:r>
      <w:r>
        <w:t xml:space="preserve">am, ja </w:t>
      </w:r>
      <w:r w:rsidRPr="00AA4F21">
        <w:t>pieteikum</w:t>
      </w:r>
      <w:r>
        <w:t xml:space="preserve">s tiek iesniegts, pamatojoties uz </w:t>
      </w:r>
      <w:r w:rsidRPr="00AA4F21">
        <w:t>Apdrošināšanas un pārapdrošināšanas likuma 207. panta prasībām</w:t>
      </w:r>
      <w:r w:rsidR="00ED7B14" w:rsidRPr="00AA4F21">
        <w:t>. Katra saistītā sabiedrība, kas plāno izmantot grupas iekšējo modeli savas individuālās maksātspējas kapitāla prasības aprēķinam, apstiprina, ka ir iesniegti visi paskaidrojumi un apliecinošā dokumentācija un ka pieteikumā ietverti visi būtiskie fakti, kas attiecas uz pieteikuma apstiprināšanu</w:t>
      </w:r>
      <w:r w:rsidR="00046DC7" w:rsidRPr="00AA4F21">
        <w:t>;</w:t>
      </w:r>
    </w:p>
    <w:p w14:paraId="4A3A69D1" w14:textId="3B44FA0E" w:rsidR="00ED7B14" w:rsidRPr="00AA4F21" w:rsidRDefault="009C6DDF" w:rsidP="00ED7B14">
      <w:pPr>
        <w:pStyle w:val="NApunkts2"/>
      </w:pPr>
      <w:r>
        <w:t xml:space="preserve">iekļauj </w:t>
      </w:r>
      <w:r w:rsidR="00ED7B14" w:rsidRPr="00AA4F21">
        <w:t>paskaidrojum</w:t>
      </w:r>
      <w:r>
        <w:t>u</w:t>
      </w:r>
      <w:r w:rsidR="00ED7B14" w:rsidRPr="00AA4F21">
        <w:t xml:space="preserve"> par to, kā tiek veikt</w:t>
      </w:r>
      <w:r w:rsidR="00B933F4" w:rsidRPr="00AA4F21">
        <w:t>a</w:t>
      </w:r>
      <w:r w:rsidR="00ED7B14" w:rsidRPr="00AA4F21">
        <w:t xml:space="preserve"> uzdevum</w:t>
      </w:r>
      <w:r w:rsidR="00B933F4" w:rsidRPr="00AA4F21">
        <w:t>u sadale</w:t>
      </w:r>
      <w:r w:rsidR="00ED7B14" w:rsidRPr="00AA4F21">
        <w:t xml:space="preserve"> grupas ietvaros</w:t>
      </w:r>
      <w:r>
        <w:t xml:space="preserve">, ja </w:t>
      </w:r>
      <w:r w:rsidRPr="00AA4F21">
        <w:t xml:space="preserve">to grupas iekšējā modeļa komponentu izstrādi, ieviešanu vai validāciju, </w:t>
      </w:r>
      <w:r w:rsidR="00724F24">
        <w:t>kuri</w:t>
      </w:r>
      <w:r w:rsidR="00724F24" w:rsidRPr="00AA4F21">
        <w:t xml:space="preserve"> </w:t>
      </w:r>
      <w:r w:rsidRPr="00AA4F21">
        <w:t>ir nepieciešami kādas saistītās sabiedrības individuālās maksātspējas kapitāla prasības aprēķināšanai, veic cita saistītā sabiedrība</w:t>
      </w:r>
      <w:r w:rsidR="00ED7B14" w:rsidRPr="00AA4F21">
        <w:t>.</w:t>
      </w:r>
    </w:p>
    <w:p w14:paraId="2093063A" w14:textId="2A6E7F67" w:rsidR="00B578BF" w:rsidRPr="00AA4F21" w:rsidRDefault="00B578BF" w:rsidP="00B578BF">
      <w:pPr>
        <w:pStyle w:val="NApunkts1"/>
      </w:pPr>
      <w:r w:rsidRPr="00AA4F21">
        <w:t xml:space="preserve">Sniedzot paskaidrojumu par to, kā iekšējais modelis aptver visus </w:t>
      </w:r>
      <w:r w:rsidR="00A14FD2">
        <w:t>apdrošinātāja vai pārapdrošinātāja</w:t>
      </w:r>
      <w:r w:rsidRPr="00AA4F21">
        <w:t xml:space="preserve"> </w:t>
      </w:r>
      <w:r w:rsidR="00284DD5">
        <w:t>materiālos</w:t>
      </w:r>
      <w:r w:rsidRPr="00AA4F21">
        <w:t xml:space="preserve"> un kvantificējamos riskus atbilstoši </w:t>
      </w:r>
      <w:r w:rsidR="0097116F" w:rsidRPr="00AA4F21">
        <w:t>R</w:t>
      </w:r>
      <w:r w:rsidRPr="00AA4F21">
        <w:t>egulas Nr.</w:t>
      </w:r>
      <w:r w:rsidR="00046DC7" w:rsidRPr="00AA4F21">
        <w:t> </w:t>
      </w:r>
      <w:r w:rsidRPr="00AA4F21">
        <w:t>2015/460 2.</w:t>
      </w:r>
      <w:r w:rsidR="00046DC7" w:rsidRPr="00AA4F21">
        <w:t> </w:t>
      </w:r>
      <w:r w:rsidRPr="00AA4F21">
        <w:t>panta 4.</w:t>
      </w:r>
      <w:r w:rsidR="00046DC7" w:rsidRPr="00AA4F21">
        <w:t> </w:t>
      </w:r>
      <w:r w:rsidRPr="00AA4F21">
        <w:t>punkta b)</w:t>
      </w:r>
      <w:r w:rsidR="00046DC7" w:rsidRPr="00AA4F21">
        <w:t> </w:t>
      </w:r>
      <w:r w:rsidRPr="00AA4F21">
        <w:t>apakšpunktā noteiktajam:</w:t>
      </w:r>
    </w:p>
    <w:p w14:paraId="4362A3EE" w14:textId="6C1A54BA" w:rsidR="00B578BF" w:rsidRPr="00AA4F21" w:rsidRDefault="00531143" w:rsidP="000C0033">
      <w:pPr>
        <w:pStyle w:val="NApunkts2"/>
      </w:pPr>
      <w:r w:rsidRPr="00AA4F21">
        <w:t>tiek</w:t>
      </w:r>
      <w:r w:rsidR="00B578BF" w:rsidRPr="00AA4F21">
        <w:t xml:space="preserve"> ņemt</w:t>
      </w:r>
      <w:r w:rsidRPr="00AA4F21">
        <w:t>i</w:t>
      </w:r>
      <w:r w:rsidR="00B578BF" w:rsidRPr="00AA4F21">
        <w:t xml:space="preserve"> vērā </w:t>
      </w:r>
      <w:r w:rsidR="0097116F" w:rsidRPr="00AA4F21">
        <w:t>R</w:t>
      </w:r>
      <w:r w:rsidRPr="00AA4F21">
        <w:t>egulas Nr.</w:t>
      </w:r>
      <w:r w:rsidR="00046DC7" w:rsidRPr="00AA4F21">
        <w:t> </w:t>
      </w:r>
      <w:r w:rsidRPr="00AA4F21">
        <w:t xml:space="preserve">2015/35 </w:t>
      </w:r>
      <w:r w:rsidR="00B578BF" w:rsidRPr="00AA4F21">
        <w:t>233.</w:t>
      </w:r>
      <w:r w:rsidR="00046DC7" w:rsidRPr="00AA4F21">
        <w:t> </w:t>
      </w:r>
      <w:r w:rsidR="00B578BF" w:rsidRPr="00AA4F21">
        <w:t>pantā noteikt</w:t>
      </w:r>
      <w:r w:rsidRPr="00AA4F21">
        <w:t>ie</w:t>
      </w:r>
      <w:r w:rsidR="00B578BF" w:rsidRPr="00AA4F21">
        <w:t xml:space="preserve"> kvalitatīv</w:t>
      </w:r>
      <w:r w:rsidRPr="00AA4F21">
        <w:t>ie</w:t>
      </w:r>
      <w:r w:rsidR="00B578BF" w:rsidRPr="00AA4F21">
        <w:t xml:space="preserve"> un kvantitatīv</w:t>
      </w:r>
      <w:r w:rsidRPr="00AA4F21">
        <w:t>ie</w:t>
      </w:r>
      <w:r w:rsidR="00B578BF" w:rsidRPr="00AA4F21">
        <w:t xml:space="preserve"> rādītāj</w:t>
      </w:r>
      <w:r w:rsidRPr="00AA4F21">
        <w:t>i;</w:t>
      </w:r>
    </w:p>
    <w:p w14:paraId="4834A62A" w14:textId="05606508" w:rsidR="00B578BF" w:rsidRPr="00AA4F21" w:rsidRDefault="00531143" w:rsidP="00531143">
      <w:pPr>
        <w:pStyle w:val="NApunkts2"/>
      </w:pPr>
      <w:r w:rsidRPr="00AA4F21">
        <w:t>Apdrošināšanas un pārapdrošināšanas likuma 121.</w:t>
      </w:r>
      <w:r w:rsidR="00046DC7" w:rsidRPr="00AA4F21">
        <w:t> </w:t>
      </w:r>
      <w:r w:rsidRPr="00AA4F21">
        <w:t>pantā minētā daļēja iekšējā modeļa</w:t>
      </w:r>
      <w:r w:rsidR="00B578BF" w:rsidRPr="00AA4F21">
        <w:t xml:space="preserve"> </w:t>
      </w:r>
      <w:r w:rsidRPr="00AA4F21">
        <w:t xml:space="preserve">gadījumā tiek sniegta </w:t>
      </w:r>
      <w:r w:rsidR="00BF5744" w:rsidRPr="00AA4F21">
        <w:t>informācija par iemesliem</w:t>
      </w:r>
      <w:r w:rsidR="00B578BF" w:rsidRPr="00AA4F21">
        <w:t xml:space="preserve">, kāpēc citu </w:t>
      </w:r>
      <w:r w:rsidR="00BF5744" w:rsidRPr="00AA4F21">
        <w:t xml:space="preserve">risku, </w:t>
      </w:r>
      <w:r w:rsidR="003A5F1D" w:rsidRPr="00AA4F21">
        <w:t>komercdarbības struktūrvienību</w:t>
      </w:r>
      <w:r w:rsidR="00BF5744" w:rsidRPr="00AA4F21">
        <w:t xml:space="preserve"> vai virzienu maksātspējas kapitāla prasības aprēķināšanai tiek izmantota </w:t>
      </w:r>
      <w:r w:rsidR="00B578BF" w:rsidRPr="00AA4F21">
        <w:t>standarta formula.</w:t>
      </w:r>
    </w:p>
    <w:p w14:paraId="736ED366" w14:textId="3B6D14B7" w:rsidR="00F10A0C" w:rsidRPr="00AA4F21" w:rsidRDefault="00F10A0C" w:rsidP="00F10A0C">
      <w:pPr>
        <w:pStyle w:val="NApunkts1"/>
      </w:pPr>
      <w:r w:rsidRPr="00AA4F21">
        <w:lastRenderedPageBreak/>
        <w:t xml:space="preserve">Sniedzot skaidrojumu par to, cik piemērota un efektīva ir iekšējā modeļa integrēšana riska pārvaldības sistēmā atbilstoši </w:t>
      </w:r>
      <w:r w:rsidR="0097116F" w:rsidRPr="00AA4F21">
        <w:t>R</w:t>
      </w:r>
      <w:r w:rsidRPr="00AA4F21">
        <w:t>egulas Nr.</w:t>
      </w:r>
      <w:r w:rsidR="00046DC7" w:rsidRPr="00AA4F21">
        <w:t> </w:t>
      </w:r>
      <w:r w:rsidRPr="00AA4F21">
        <w:t>2015/460 2.</w:t>
      </w:r>
      <w:r w:rsidR="00046DC7" w:rsidRPr="00AA4F21">
        <w:t> </w:t>
      </w:r>
      <w:r w:rsidRPr="00AA4F21">
        <w:t>panta 4.</w:t>
      </w:r>
      <w:r w:rsidR="00046DC7" w:rsidRPr="00AA4F21">
        <w:t> </w:t>
      </w:r>
      <w:r w:rsidRPr="00AA4F21">
        <w:t>punkta c)</w:t>
      </w:r>
      <w:r w:rsidR="00046DC7" w:rsidRPr="00AA4F21">
        <w:t> </w:t>
      </w:r>
      <w:r w:rsidRPr="00AA4F21">
        <w:t>apakšpunktā noteiktajam</w:t>
      </w:r>
      <w:r w:rsidR="005C1886" w:rsidRPr="00AA4F21">
        <w:t>, tiek sniegta informācija</w:t>
      </w:r>
      <w:r w:rsidRPr="00AA4F21">
        <w:t>:</w:t>
      </w:r>
    </w:p>
    <w:p w14:paraId="06A21573" w14:textId="7D94FD38" w:rsidR="00F10A0C" w:rsidRPr="00AA4F21" w:rsidRDefault="005C1886" w:rsidP="000C0033">
      <w:pPr>
        <w:pStyle w:val="NApunkts2"/>
      </w:pPr>
      <w:r w:rsidRPr="00AA4F21">
        <w:t>par to</w:t>
      </w:r>
      <w:r w:rsidR="00F10A0C" w:rsidRPr="00AA4F21">
        <w:t>, kā iekšējais modelis ir integrēts riska pārvaldības sistēmā;</w:t>
      </w:r>
    </w:p>
    <w:p w14:paraId="131D9DBE" w14:textId="2C52F119" w:rsidR="00F10A0C" w:rsidRPr="00AA4F21" w:rsidRDefault="006A7AD4" w:rsidP="000C0033">
      <w:pPr>
        <w:pStyle w:val="NApunkts2"/>
      </w:pPr>
      <w:r>
        <w:t xml:space="preserve">par to, </w:t>
      </w:r>
      <w:r w:rsidR="00F10A0C" w:rsidRPr="00AA4F21">
        <w:t xml:space="preserve">cik lielā mērā riska pārvaldības funkcija ir </w:t>
      </w:r>
      <w:r w:rsidR="00957E8C">
        <w:t>iesaist</w:t>
      </w:r>
      <w:r w:rsidR="00577C9C">
        <w:t>ī</w:t>
      </w:r>
      <w:r w:rsidR="00957E8C">
        <w:t xml:space="preserve">ta </w:t>
      </w:r>
      <w:r w:rsidR="00F10A0C" w:rsidRPr="00AA4F21">
        <w:t>iekšējā modeļa izstrād</w:t>
      </w:r>
      <w:r w:rsidR="00957E8C">
        <w:t>ē</w:t>
      </w:r>
      <w:r w:rsidR="00F10A0C" w:rsidRPr="00AA4F21">
        <w:t>, ieviešan</w:t>
      </w:r>
      <w:r w:rsidR="00957E8C">
        <w:t>ā</w:t>
      </w:r>
      <w:r w:rsidR="00F10A0C" w:rsidRPr="00AA4F21">
        <w:t>, testēšan</w:t>
      </w:r>
      <w:r w:rsidR="00957E8C">
        <w:t>ā</w:t>
      </w:r>
      <w:r w:rsidR="00F10A0C" w:rsidRPr="00AA4F21">
        <w:t>, veiktspējas analīz</w:t>
      </w:r>
      <w:r w:rsidR="00957E8C">
        <w:t>ē</w:t>
      </w:r>
      <w:r w:rsidR="00F10A0C" w:rsidRPr="00AA4F21">
        <w:t>, validācij</w:t>
      </w:r>
      <w:r w:rsidR="00957E8C">
        <w:t>ā</w:t>
      </w:r>
      <w:r w:rsidR="00F10A0C" w:rsidRPr="00AA4F21">
        <w:t xml:space="preserve"> un dokumentēšan</w:t>
      </w:r>
      <w:r w:rsidR="00957E8C">
        <w:t>ā</w:t>
      </w:r>
      <w:r w:rsidR="00041CE3" w:rsidRPr="00AA4F21">
        <w:t>;</w:t>
      </w:r>
    </w:p>
    <w:p w14:paraId="72394801" w14:textId="77CEC927" w:rsidR="00F10A0C" w:rsidRPr="00AA4F21" w:rsidRDefault="00F10A0C" w:rsidP="000C0033">
      <w:pPr>
        <w:pStyle w:val="NApunkts2"/>
      </w:pPr>
      <w:r w:rsidRPr="00AA4F21">
        <w:t>par iekšējā modeļa lomu dažād</w:t>
      </w:r>
      <w:r w:rsidR="00041CE3" w:rsidRPr="00AA4F21">
        <w:t>ās</w:t>
      </w:r>
      <w:r w:rsidRPr="00AA4F21">
        <w:t xml:space="preserve"> risk</w:t>
      </w:r>
      <w:r w:rsidR="00041CE3" w:rsidRPr="00AA4F21">
        <w:t>u</w:t>
      </w:r>
      <w:r w:rsidRPr="00AA4F21">
        <w:t xml:space="preserve"> pārvaldības</w:t>
      </w:r>
      <w:r w:rsidR="00041CE3" w:rsidRPr="00AA4F21">
        <w:t xml:space="preserve"> sistēmas</w:t>
      </w:r>
      <w:r w:rsidRPr="00AA4F21">
        <w:t xml:space="preserve"> </w:t>
      </w:r>
      <w:r w:rsidR="00041CE3" w:rsidRPr="00AA4F21">
        <w:t>jomās</w:t>
      </w:r>
      <w:r w:rsidRPr="00AA4F21">
        <w:t xml:space="preserve">, </w:t>
      </w:r>
      <w:r w:rsidR="00041CE3" w:rsidRPr="00AA4F21">
        <w:t>tai skaitā</w:t>
      </w:r>
      <w:r w:rsidRPr="00AA4F21">
        <w:t xml:space="preserve"> </w:t>
      </w:r>
      <w:r w:rsidR="00041CE3" w:rsidRPr="00AA4F21">
        <w:t>Apdrošināšanas un pārapdrošināšanas likuma 65.</w:t>
      </w:r>
      <w:r w:rsidR="00046DC7" w:rsidRPr="00AA4F21">
        <w:t> </w:t>
      </w:r>
      <w:r w:rsidR="00041CE3" w:rsidRPr="00AA4F21">
        <w:t>pantā minētajā risku un maksātspējas pašu novērtējumā</w:t>
      </w:r>
      <w:r w:rsidRPr="00AA4F21">
        <w:t xml:space="preserve">, </w:t>
      </w:r>
      <w:r w:rsidR="00041CE3" w:rsidRPr="00AA4F21">
        <w:t>nosakot pieļaujamos riska limitus</w:t>
      </w:r>
      <w:r w:rsidRPr="00AA4F21">
        <w:t xml:space="preserve"> </w:t>
      </w:r>
      <w:r w:rsidR="00041CE3" w:rsidRPr="00AA4F21">
        <w:t xml:space="preserve">risku </w:t>
      </w:r>
      <w:r w:rsidRPr="00AA4F21">
        <w:t>identificēšanai, mērīšanai, uzraudzībai, pārvaldībai un ziņošanai. Š</w:t>
      </w:r>
      <w:r w:rsidR="00957E8C">
        <w:t>os</w:t>
      </w:r>
      <w:r w:rsidRPr="00AA4F21">
        <w:t xml:space="preserve"> </w:t>
      </w:r>
      <w:r w:rsidR="005C1886" w:rsidRPr="00AA4F21">
        <w:t>dokumentār</w:t>
      </w:r>
      <w:r w:rsidR="00957E8C">
        <w:t>os</w:t>
      </w:r>
      <w:r w:rsidR="005C1886" w:rsidRPr="00AA4F21">
        <w:t xml:space="preserve"> </w:t>
      </w:r>
      <w:r w:rsidRPr="00AA4F21">
        <w:t>pierādījum</w:t>
      </w:r>
      <w:r w:rsidR="00957E8C">
        <w:t>us</w:t>
      </w:r>
      <w:r w:rsidRPr="00AA4F21">
        <w:t xml:space="preserve"> </w:t>
      </w:r>
      <w:r w:rsidR="00957E8C">
        <w:t xml:space="preserve">iesniedz </w:t>
      </w:r>
      <w:r w:rsidRPr="00AA4F21">
        <w:t xml:space="preserve">kopā ar attiecīgajiem </w:t>
      </w:r>
      <w:r w:rsidR="00041CE3" w:rsidRPr="00AA4F21">
        <w:t>risku pārvaldības politik</w:t>
      </w:r>
      <w:r w:rsidR="005C1886" w:rsidRPr="00AA4F21">
        <w:t>as</w:t>
      </w:r>
      <w:r w:rsidR="00041CE3" w:rsidRPr="00AA4F21">
        <w:t xml:space="preserve"> </w:t>
      </w:r>
      <w:r w:rsidRPr="00AA4F21">
        <w:t>izrakstiem</w:t>
      </w:r>
      <w:r w:rsidR="005C1886" w:rsidRPr="00AA4F21">
        <w:t>;</w:t>
      </w:r>
    </w:p>
    <w:p w14:paraId="1A8C413B" w14:textId="03BE676D" w:rsidR="00F10A0C" w:rsidRPr="00AA4F21" w:rsidRDefault="005C1886" w:rsidP="000C0033">
      <w:pPr>
        <w:pStyle w:val="NApunkts2"/>
      </w:pPr>
      <w:r w:rsidRPr="00AA4F21">
        <w:t xml:space="preserve">par </w:t>
      </w:r>
      <w:r w:rsidR="00F10A0C" w:rsidRPr="00AA4F21">
        <w:t xml:space="preserve">ziņošanas un </w:t>
      </w:r>
      <w:r w:rsidRPr="00AA4F21">
        <w:t>lēmumu pieņemšanas procesiem</w:t>
      </w:r>
      <w:r w:rsidR="006A7AD4">
        <w:t>,</w:t>
      </w:r>
      <w:r w:rsidR="00F10A0C" w:rsidRPr="00AA4F21">
        <w:t xml:space="preserve"> risk</w:t>
      </w:r>
      <w:r w:rsidRPr="00AA4F21">
        <w:t>u</w:t>
      </w:r>
      <w:r w:rsidR="00F10A0C" w:rsidRPr="00AA4F21">
        <w:t xml:space="preserve"> komitej</w:t>
      </w:r>
      <w:r w:rsidRPr="00AA4F21">
        <w:t>u</w:t>
      </w:r>
      <w:r w:rsidR="00F10A0C" w:rsidRPr="00AA4F21">
        <w:t xml:space="preserve"> struktūru un pienākum</w:t>
      </w:r>
      <w:r w:rsidRPr="00AA4F21">
        <w:t>iem;</w:t>
      </w:r>
    </w:p>
    <w:p w14:paraId="5021851A" w14:textId="46F33000" w:rsidR="00F10A0C" w:rsidRPr="00AA4F21" w:rsidRDefault="00F10A0C" w:rsidP="00F10A0C">
      <w:pPr>
        <w:pStyle w:val="NApunkts2"/>
      </w:pPr>
      <w:r w:rsidRPr="00AA4F21">
        <w:t xml:space="preserve">par identificēto risku būtību, to izcelsmi, iespēju vai nepieciešamību tos kontrolēt un </w:t>
      </w:r>
      <w:r w:rsidR="00DC170E" w:rsidRPr="00AA4F21">
        <w:t>to iestāšanās sekām.</w:t>
      </w:r>
    </w:p>
    <w:p w14:paraId="089D424F" w14:textId="6039C287" w:rsidR="00EE4D91" w:rsidRPr="00AA4F21" w:rsidRDefault="00EE4D91" w:rsidP="00EE4D91">
      <w:pPr>
        <w:pStyle w:val="NApunkts1"/>
      </w:pPr>
      <w:r w:rsidRPr="00AA4F21">
        <w:t xml:space="preserve">Sniedzot apdrošinātāja vai pārapdrošinātāja novērtējumu un pamatojumu par iekšējā modeļa būtiskajām priekšrocībām, trūkumiem un ierobežojumiem atbilstoši </w:t>
      </w:r>
      <w:r w:rsidR="0097116F" w:rsidRPr="00AA4F21">
        <w:t>R</w:t>
      </w:r>
      <w:r w:rsidRPr="00AA4F21">
        <w:t>egulas Nr.</w:t>
      </w:r>
      <w:r w:rsidR="00046DC7" w:rsidRPr="00AA4F21">
        <w:t> </w:t>
      </w:r>
      <w:r w:rsidRPr="00AA4F21">
        <w:t>2015/460 2.</w:t>
      </w:r>
      <w:r w:rsidR="00046DC7" w:rsidRPr="00AA4F21">
        <w:t> </w:t>
      </w:r>
      <w:r w:rsidRPr="00AA4F21">
        <w:t>panta 4.</w:t>
      </w:r>
      <w:r w:rsidR="00046DC7" w:rsidRPr="00AA4F21">
        <w:t> </w:t>
      </w:r>
      <w:r w:rsidRPr="00AA4F21">
        <w:t xml:space="preserve">punkta </w:t>
      </w:r>
      <w:r w:rsidR="00D511CB">
        <w:t>d</w:t>
      </w:r>
      <w:r w:rsidRPr="00AA4F21">
        <w:t>)</w:t>
      </w:r>
      <w:r w:rsidR="008A794C">
        <w:t> </w:t>
      </w:r>
      <w:r w:rsidRPr="00AA4F21">
        <w:t>apakšpunktā noteiktajam:</w:t>
      </w:r>
    </w:p>
    <w:p w14:paraId="302B7105" w14:textId="101CB333" w:rsidR="00EE4D91" w:rsidRPr="00AA4F21" w:rsidRDefault="00D30CC9" w:rsidP="00EE4D91">
      <w:pPr>
        <w:pStyle w:val="NApunkts2"/>
      </w:pPr>
      <w:r w:rsidRPr="00AA4F21">
        <w:t>p</w:t>
      </w:r>
      <w:r w:rsidR="00A5087E" w:rsidRPr="00AA4F21">
        <w:t>ieteikuma iesniedzējs</w:t>
      </w:r>
      <w:r w:rsidR="00EE4D91" w:rsidRPr="00AA4F21">
        <w:t xml:space="preserve"> sniedz atsevišķu vispārēju iekšējā modeļa būtisko priekšrocību un trūkumu novērtējumu, kā arī plānu turpmākiem uzlabojumiem, lai novērstu iekšējā modeļa trūkumus, ierobežojumus un nepilnības, norādot to sarežģītības pakāpi, kā arī laika grafiku un iespējamos šķēršļus to labošanai</w:t>
      </w:r>
      <w:r w:rsidR="00A5087E" w:rsidRPr="00AA4F21">
        <w:t>;</w:t>
      </w:r>
    </w:p>
    <w:p w14:paraId="7FB187BD" w14:textId="37126E8C" w:rsidR="00A5087E" w:rsidRPr="001932F3" w:rsidRDefault="00A5087E" w:rsidP="00EE4D91">
      <w:pPr>
        <w:pStyle w:val="NApunkts2"/>
      </w:pPr>
      <w:r w:rsidRPr="00AA4F21">
        <w:t>pieteikuma iesniedzējs apkopo normatīvo aktu prasības, kas attiecas uz iekšējiem modeļiem</w:t>
      </w:r>
      <w:r w:rsidR="00D511CB">
        <w:t>,</w:t>
      </w:r>
      <w:r w:rsidRPr="00AA4F21">
        <w:t xml:space="preserve"> un sniedz pašnovērtējumu iekšējā modeļa atbilstībai normatīvo aktu prasībām, norādot attiecīgās iesniegtās dokumentācijas sadaļas. Pašnovērtējuma veikšanai</w:t>
      </w:r>
      <w:r w:rsidR="007D6DA9" w:rsidRPr="00AA4F21">
        <w:t xml:space="preserve"> un pieteikuma iesniegšanai Latvijas Bankā</w:t>
      </w:r>
      <w:r w:rsidRPr="00AA4F21">
        <w:t xml:space="preserve"> pieteikuma iesniedzējs ir tiesīgs izmantot Eiropas Apdrošināšanas un aroda pensiju </w:t>
      </w:r>
      <w:r w:rsidRPr="001932F3">
        <w:t xml:space="preserve">iestādes izstrādātu interaktīvu </w:t>
      </w:r>
      <w:r w:rsidR="007D6DA9" w:rsidRPr="001932F3">
        <w:t>pašnovērtējuma rīku</w:t>
      </w:r>
      <w:r w:rsidR="008B64D4" w:rsidRPr="001932F3">
        <w:t>;</w:t>
      </w:r>
    </w:p>
    <w:p w14:paraId="6154F33E" w14:textId="087CFCE6" w:rsidR="008B64D4" w:rsidRPr="001932F3" w:rsidRDefault="008B64D4" w:rsidP="00EE4D91">
      <w:pPr>
        <w:pStyle w:val="NApunkts2"/>
      </w:pPr>
      <w:r w:rsidRPr="001932F3">
        <w:t xml:space="preserve">šo noteikumu </w:t>
      </w:r>
      <w:r w:rsidR="00311694" w:rsidRPr="001932F3">
        <w:t>I</w:t>
      </w:r>
      <w:r w:rsidRPr="001932F3">
        <w:t>X</w:t>
      </w:r>
      <w:r w:rsidR="00046DC7" w:rsidRPr="001932F3">
        <w:t> </w:t>
      </w:r>
      <w:r w:rsidRPr="001932F3">
        <w:t xml:space="preserve">nodaļā norādītā iekšējā modeļa </w:t>
      </w:r>
      <w:proofErr w:type="spellStart"/>
      <w:r w:rsidR="00461C14" w:rsidRPr="001932F3">
        <w:t>pirmspieteikuma</w:t>
      </w:r>
      <w:proofErr w:type="spellEnd"/>
      <w:r w:rsidR="00461C14" w:rsidRPr="001932F3">
        <w:t xml:space="preserve"> </w:t>
      </w:r>
      <w:r w:rsidRPr="001932F3">
        <w:t>procesa pašnovērtējuma izpildes gadījumā ir pieļaujams, ka atbilstīb</w:t>
      </w:r>
      <w:r w:rsidR="00957E8C" w:rsidRPr="001932F3">
        <w:t>u</w:t>
      </w:r>
      <w:r w:rsidRPr="001932F3">
        <w:t xml:space="preserve"> normatīvo aktu prasībām </w:t>
      </w:r>
      <w:r w:rsidR="00957E8C" w:rsidRPr="001932F3">
        <w:t xml:space="preserve">novērtē </w:t>
      </w:r>
      <w:r w:rsidRPr="001932F3">
        <w:t xml:space="preserve">pakāpeniski saskaņā ar šo noteikumu </w:t>
      </w:r>
      <w:r w:rsidR="00311694" w:rsidRPr="001932F3">
        <w:t>64</w:t>
      </w:r>
      <w:r w:rsidRPr="001932F3">
        <w:t>.</w:t>
      </w:r>
      <w:r w:rsidR="00AB2AF3" w:rsidRPr="001932F3">
        <w:t>4. apakš</w:t>
      </w:r>
      <w:r w:rsidRPr="001932F3">
        <w:t xml:space="preserve">punktā noteikto iekšējā modeļa </w:t>
      </w:r>
      <w:proofErr w:type="spellStart"/>
      <w:r w:rsidR="00461C14" w:rsidRPr="001932F3">
        <w:t>pirmspieteikuma</w:t>
      </w:r>
      <w:proofErr w:type="spellEnd"/>
      <w:r w:rsidR="00461C14" w:rsidRPr="001932F3">
        <w:t xml:space="preserve"> </w:t>
      </w:r>
      <w:r w:rsidRPr="001932F3">
        <w:t>procesa grafiku;</w:t>
      </w:r>
    </w:p>
    <w:p w14:paraId="4C399140" w14:textId="22E8A4EA" w:rsidR="00E4729B" w:rsidRPr="001932F3" w:rsidRDefault="008B64D4" w:rsidP="00EE4D91">
      <w:pPr>
        <w:pStyle w:val="NApunkts2"/>
      </w:pPr>
      <w:r w:rsidRPr="001932F3">
        <w:t>ja atsevišķas saistītās sabiedrības, kas plāno izmantot grupas iekšējo modeli, ne</w:t>
      </w:r>
      <w:r w:rsidR="00E4729B" w:rsidRPr="001932F3">
        <w:t>ievēro normatīvo aktu prasība</w:t>
      </w:r>
      <w:r w:rsidR="009D132E" w:rsidRPr="001932F3">
        <w:t>s</w:t>
      </w:r>
      <w:r w:rsidR="00E4729B" w:rsidRPr="001932F3">
        <w:t>, pieteikuma iesniedzējs to norāda pašnovērtējumā un pievieno skaidrojumu par daļēju atbilstību</w:t>
      </w:r>
      <w:r w:rsidRPr="001932F3">
        <w:t xml:space="preserve"> </w:t>
      </w:r>
      <w:r w:rsidR="00E4729B" w:rsidRPr="001932F3">
        <w:t>normatīvo aktu prasībām;</w:t>
      </w:r>
    </w:p>
    <w:p w14:paraId="5E082D9B" w14:textId="3C9B33D2" w:rsidR="00D30CC9" w:rsidRPr="001932F3" w:rsidRDefault="00E4729B" w:rsidP="00EE4D91">
      <w:pPr>
        <w:pStyle w:val="NApunkts2"/>
      </w:pPr>
      <w:r w:rsidRPr="001932F3">
        <w:t xml:space="preserve">ja grupas iekšējā modeļa segumu plānots paplašināt, iekļaujot tajā citas </w:t>
      </w:r>
      <w:r w:rsidR="003A5F1D" w:rsidRPr="001932F3">
        <w:t>komercdarbības struktūrvienības</w:t>
      </w:r>
      <w:r w:rsidRPr="001932F3">
        <w:t xml:space="preserve">, pieteikuma iesniedzējs par to informē pieteikumā, norādot </w:t>
      </w:r>
      <w:r w:rsidR="003A5F1D" w:rsidRPr="001932F3">
        <w:t xml:space="preserve">komercdarbības struktūrvienības </w:t>
      </w:r>
      <w:r w:rsidRPr="001932F3">
        <w:t>nosaukumu un iekļaušanas termiņu.</w:t>
      </w:r>
    </w:p>
    <w:p w14:paraId="3D5EB6D3" w14:textId="291FE69E" w:rsidR="008B64D4" w:rsidRPr="001932F3" w:rsidRDefault="0097116F" w:rsidP="00D30CC9">
      <w:pPr>
        <w:pStyle w:val="NApunkts1"/>
      </w:pPr>
      <w:r w:rsidRPr="001932F3">
        <w:t>R</w:t>
      </w:r>
      <w:r w:rsidR="00D30CC9" w:rsidRPr="001932F3">
        <w:t>egulas Nr.</w:t>
      </w:r>
      <w:r w:rsidR="00046DC7" w:rsidRPr="001932F3">
        <w:t> </w:t>
      </w:r>
      <w:r w:rsidR="00D30CC9" w:rsidRPr="001932F3">
        <w:t>2015/460 2.</w:t>
      </w:r>
      <w:r w:rsidR="00046DC7" w:rsidRPr="001932F3">
        <w:t> </w:t>
      </w:r>
      <w:r w:rsidR="00D30CC9" w:rsidRPr="001932F3">
        <w:t>panta 4.</w:t>
      </w:r>
      <w:r w:rsidR="00046DC7" w:rsidRPr="001932F3">
        <w:t> </w:t>
      </w:r>
      <w:r w:rsidR="00D30CC9" w:rsidRPr="001932F3">
        <w:t>punkta f)</w:t>
      </w:r>
      <w:r w:rsidR="00046DC7" w:rsidRPr="001932F3">
        <w:t> </w:t>
      </w:r>
      <w:r w:rsidR="00D30CC9" w:rsidRPr="001932F3">
        <w:t>apakšpunktā noteiktās iekšējā modeļa tehniskās specifikācijas ietver šādus dokumentārus pierādījumus:</w:t>
      </w:r>
    </w:p>
    <w:p w14:paraId="6D2658CE" w14:textId="6DD7EC8E" w:rsidR="00D30CC9" w:rsidRPr="001932F3" w:rsidRDefault="006833E1" w:rsidP="00D30CC9">
      <w:pPr>
        <w:pStyle w:val="NApunkts2"/>
      </w:pPr>
      <w:r w:rsidRPr="001932F3">
        <w:t>i</w:t>
      </w:r>
      <w:r w:rsidR="00D30CC9" w:rsidRPr="001932F3">
        <w:t>ekšējā modeļa struktūras aprakst</w:t>
      </w:r>
      <w:r w:rsidR="00C624EC" w:rsidRPr="001932F3">
        <w:t>u</w:t>
      </w:r>
      <w:r w:rsidRPr="001932F3">
        <w:t xml:space="preserve"> un diagramm</w:t>
      </w:r>
      <w:r w:rsidR="00C624EC" w:rsidRPr="001932F3">
        <w:t>u</w:t>
      </w:r>
      <w:r w:rsidR="00D30CC9" w:rsidRPr="001932F3">
        <w:t>, kas ietver aprēķinu galvenos soļus</w:t>
      </w:r>
      <w:r w:rsidRPr="001932F3">
        <w:t>;</w:t>
      </w:r>
    </w:p>
    <w:p w14:paraId="7329BF5C" w14:textId="5A42B1A0" w:rsidR="00D30CC9" w:rsidRPr="00AA4F21" w:rsidRDefault="00D30CC9" w:rsidP="00D30CC9">
      <w:pPr>
        <w:pStyle w:val="NApunkts2"/>
      </w:pPr>
      <w:r w:rsidRPr="001932F3">
        <w:t>informācij</w:t>
      </w:r>
      <w:r w:rsidR="00C624EC" w:rsidRPr="001932F3">
        <w:t>u</w:t>
      </w:r>
      <w:r w:rsidRPr="001932F3">
        <w:t xml:space="preserve"> par </w:t>
      </w:r>
      <w:r w:rsidR="006833E1" w:rsidRPr="001932F3">
        <w:t xml:space="preserve">pieņēmumiem par </w:t>
      </w:r>
      <w:r w:rsidR="00BA5133" w:rsidRPr="001932F3">
        <w:t>šo noteikumu 2</w:t>
      </w:r>
      <w:r w:rsidR="00385D6F" w:rsidRPr="001932F3">
        <w:t>2</w:t>
      </w:r>
      <w:r w:rsidR="00BA5133" w:rsidRPr="001932F3">
        <w:t>.</w:t>
      </w:r>
      <w:r w:rsidR="00181456" w:rsidRPr="001932F3">
        <w:t> </w:t>
      </w:r>
      <w:r w:rsidR="00BA5133" w:rsidRPr="001932F3">
        <w:t>punktā minētajiem turpmākajiem pārvaldības pasākumiem</w:t>
      </w:r>
      <w:r w:rsidR="008A794C" w:rsidRPr="001932F3">
        <w:t xml:space="preserve"> un</w:t>
      </w:r>
      <w:r w:rsidRPr="001932F3">
        <w:t xml:space="preserve"> apdrošinājuma ņēmēju darbībām</w:t>
      </w:r>
      <w:r w:rsidR="002756BF">
        <w:t>,</w:t>
      </w:r>
      <w:r w:rsidRPr="00AA4F21">
        <w:t xml:space="preserve"> </w:t>
      </w:r>
      <w:r w:rsidR="002756BF">
        <w:t>kā arī</w:t>
      </w:r>
      <w:r w:rsidR="002756BF" w:rsidRPr="00AA4F21">
        <w:t xml:space="preserve"> </w:t>
      </w:r>
      <w:r w:rsidR="00BA5133" w:rsidRPr="00AA4F21">
        <w:t>to īstenošanās pamatojum</w:t>
      </w:r>
      <w:r w:rsidR="008A794C">
        <w:t>u</w:t>
      </w:r>
      <w:r w:rsidR="00BA5133" w:rsidRPr="00AA4F21">
        <w:t>;</w:t>
      </w:r>
    </w:p>
    <w:p w14:paraId="239F1540" w14:textId="45C15FFD" w:rsidR="00D30CC9" w:rsidRPr="00AA4F21" w:rsidRDefault="00D30CC9" w:rsidP="00D30CC9">
      <w:pPr>
        <w:pStyle w:val="NApunkts2"/>
      </w:pPr>
      <w:r w:rsidRPr="00AA4F21">
        <w:t>izmantot</w:t>
      </w:r>
      <w:r w:rsidR="00BA5133" w:rsidRPr="00AA4F21">
        <w:t>o</w:t>
      </w:r>
      <w:r w:rsidRPr="00AA4F21">
        <w:t xml:space="preserve"> riska mazināšanas meto</w:t>
      </w:r>
      <w:r w:rsidR="00BA5133" w:rsidRPr="00AA4F21">
        <w:t>žu modelēšanas</w:t>
      </w:r>
      <w:r w:rsidR="00C624EC">
        <w:t xml:space="preserve"> </w:t>
      </w:r>
      <w:r w:rsidR="00957E8C">
        <w:t>aprakstu</w:t>
      </w:r>
      <w:r w:rsidR="00BA5133" w:rsidRPr="00AA4F21">
        <w:t xml:space="preserve">, </w:t>
      </w:r>
      <w:r w:rsidR="00957E8C">
        <w:t xml:space="preserve">izmantoto </w:t>
      </w:r>
      <w:r w:rsidR="00BA5133" w:rsidRPr="00AA4F21">
        <w:t>tehniku ietekm</w:t>
      </w:r>
      <w:r w:rsidR="00957E8C">
        <w:t>i</w:t>
      </w:r>
      <w:r w:rsidR="00BA5133" w:rsidRPr="00AA4F21">
        <w:t xml:space="preserve"> uz maksātspējas kapitāla prasību un pierādījum</w:t>
      </w:r>
      <w:r w:rsidR="00957E8C">
        <w:t>us</w:t>
      </w:r>
      <w:r w:rsidR="00BA5133" w:rsidRPr="00AA4F21">
        <w:t xml:space="preserve"> par to efektivitāti;</w:t>
      </w:r>
    </w:p>
    <w:p w14:paraId="28FEF039" w14:textId="521C3B56" w:rsidR="00D30CC9" w:rsidRPr="00AA4F21" w:rsidRDefault="00BA5133" w:rsidP="00D30CC9">
      <w:pPr>
        <w:pStyle w:val="NApunkts2"/>
      </w:pPr>
      <w:r w:rsidRPr="00AA4F21">
        <w:t>iekšējā modeļa pamatā</w:t>
      </w:r>
      <w:r w:rsidR="00AD5DBF">
        <w:t xml:space="preserve"> esoš</w:t>
      </w:r>
      <w:r w:rsidR="00957E8C">
        <w:t>o</w:t>
      </w:r>
      <w:r w:rsidR="00AD5DBF">
        <w:t xml:space="preserve"> </w:t>
      </w:r>
      <w:r w:rsidR="00AD5DBF" w:rsidRPr="00AA4F21">
        <w:rPr>
          <w:rFonts w:ascii="Segoe UI Emoji" w:hAnsi="Segoe UI Emoji" w:cs="Segoe UI Emoji"/>
        </w:rPr>
        <w:t>b</w:t>
      </w:r>
      <w:r w:rsidR="00AD5DBF" w:rsidRPr="00AA4F21">
        <w:t>ūtisk</w:t>
      </w:r>
      <w:r w:rsidR="00957E8C">
        <w:t>o</w:t>
      </w:r>
      <w:r w:rsidR="00AD5DBF" w:rsidRPr="00AA4F21">
        <w:t xml:space="preserve"> pieņēmumu</w:t>
      </w:r>
      <w:r w:rsidRPr="00AA4F21">
        <w:t xml:space="preserve"> sa</w:t>
      </w:r>
      <w:r w:rsidR="00D30CC9" w:rsidRPr="00AA4F21">
        <w:t>rakst</w:t>
      </w:r>
      <w:r w:rsidR="00957E8C">
        <w:t>u</w:t>
      </w:r>
      <w:r w:rsidR="00D30CC9" w:rsidRPr="00AA4F21">
        <w:t xml:space="preserve">, </w:t>
      </w:r>
      <w:r w:rsidR="00957E8C">
        <w:t>informāciju</w:t>
      </w:r>
      <w:r w:rsidR="00D30CC9" w:rsidRPr="00AA4F21">
        <w:t xml:space="preserve">, kā tie </w:t>
      </w:r>
      <w:r w:rsidR="00957E8C">
        <w:t xml:space="preserve">ir </w:t>
      </w:r>
      <w:r w:rsidR="00D30CC9" w:rsidRPr="00AA4F21">
        <w:t xml:space="preserve">iegūti, un </w:t>
      </w:r>
      <w:r w:rsidR="002756BF" w:rsidRPr="00AA4F21">
        <w:t>izmantot</w:t>
      </w:r>
      <w:r w:rsidR="002756BF">
        <w:t>ās</w:t>
      </w:r>
      <w:r w:rsidR="002756BF" w:rsidRPr="00AA4F21">
        <w:t xml:space="preserve"> pieeja</w:t>
      </w:r>
      <w:r w:rsidR="002756BF">
        <w:t xml:space="preserve">s </w:t>
      </w:r>
      <w:r w:rsidR="00957E8C">
        <w:t>pamatojumu</w:t>
      </w:r>
      <w:r w:rsidRPr="00AA4F21">
        <w:t>;</w:t>
      </w:r>
    </w:p>
    <w:p w14:paraId="5361BF09" w14:textId="1747CD6A" w:rsidR="00D30CC9" w:rsidRPr="00AA4F21" w:rsidRDefault="005D77E4" w:rsidP="00D30CC9">
      <w:pPr>
        <w:pStyle w:val="NApunkts2"/>
      </w:pPr>
      <w:r w:rsidRPr="00AA4F21">
        <w:lastRenderedPageBreak/>
        <w:t>grupas iekšējā modeļa izmantošanas pieteikuma gadījumā</w:t>
      </w:r>
      <w:r w:rsidR="00181456" w:rsidRPr="00AA4F21">
        <w:t> </w:t>
      </w:r>
      <w:r w:rsidRPr="00AA4F21">
        <w:t>–</w:t>
      </w:r>
      <w:r w:rsidR="00577C9C">
        <w:t xml:space="preserve"> </w:t>
      </w:r>
      <w:r w:rsidR="00957E8C">
        <w:t xml:space="preserve">detalizētu </w:t>
      </w:r>
      <w:r w:rsidR="00D30CC9" w:rsidRPr="00AA4F21">
        <w:t>informācij</w:t>
      </w:r>
      <w:r w:rsidR="00957E8C">
        <w:t>u</w:t>
      </w:r>
      <w:r w:rsidR="00D30CC9" w:rsidRPr="00AA4F21">
        <w:t xml:space="preserve"> par grupas iekšēj</w:t>
      </w:r>
      <w:r w:rsidRPr="00AA4F21">
        <w:t>iem</w:t>
      </w:r>
      <w:r w:rsidR="00D30CC9" w:rsidRPr="00AA4F21">
        <w:t xml:space="preserve"> darījum</w:t>
      </w:r>
      <w:r w:rsidRPr="00AA4F21">
        <w:t>iem</w:t>
      </w:r>
      <w:r w:rsidR="00D30CC9" w:rsidRPr="00AA4F21">
        <w:t xml:space="preserve"> un attiecīgā gadījumā to parametru sarakst</w:t>
      </w:r>
      <w:r w:rsidR="00957E8C">
        <w:t>u</w:t>
      </w:r>
      <w:r w:rsidR="00D30CC9" w:rsidRPr="00AA4F21">
        <w:t xml:space="preserve"> iekšējā modelī, kurus var iestatīt atšķirīgi, lai aprēķinātu grupas </w:t>
      </w:r>
      <w:r w:rsidRPr="00AA4F21">
        <w:t>maksātspējas kapitāla prasību un individuālo maksātspējas kapitāla prasību;</w:t>
      </w:r>
    </w:p>
    <w:p w14:paraId="698AB237" w14:textId="1B54210D" w:rsidR="005D77E4" w:rsidRPr="00AA4F21" w:rsidRDefault="005D77E4" w:rsidP="005D77E4">
      <w:pPr>
        <w:pStyle w:val="NApunkts2"/>
      </w:pPr>
      <w:r w:rsidRPr="00AA4F21">
        <w:t>dokumentācij</w:t>
      </w:r>
      <w:r w:rsidR="00C624EC">
        <w:t>u</w:t>
      </w:r>
      <w:r w:rsidRPr="00AA4F21">
        <w:t xml:space="preserve"> par iekšējā modelī izmantotaj</w:t>
      </w:r>
      <w:r w:rsidR="002E4D50" w:rsidRPr="00AA4F21">
        <w:t>ām</w:t>
      </w:r>
      <w:r w:rsidRPr="00AA4F21">
        <w:t xml:space="preserve"> summēšanas, savstarpējo atkarību un diversifikācijas komponent</w:t>
      </w:r>
      <w:r w:rsidR="002E4D50" w:rsidRPr="00AA4F21">
        <w:t>ē</w:t>
      </w:r>
      <w:r w:rsidRPr="00AA4F21">
        <w:t xml:space="preserve">m. Daļēja iekšējā modeļa gadījumā dokumentācijā ietver </w:t>
      </w:r>
      <w:r w:rsidR="002756BF">
        <w:t xml:space="preserve">to </w:t>
      </w:r>
      <w:r w:rsidRPr="00AA4F21">
        <w:t>izmantoto</w:t>
      </w:r>
      <w:r w:rsidR="006B12C0" w:rsidRPr="00AA4F21">
        <w:t xml:space="preserve"> integrācijas metožu</w:t>
      </w:r>
      <w:r w:rsidR="002756BF" w:rsidRPr="002756BF">
        <w:t xml:space="preserve"> </w:t>
      </w:r>
      <w:r w:rsidR="002756BF" w:rsidRPr="00AA4F21">
        <w:t>iespējamības un piemērotības pamatojum</w:t>
      </w:r>
      <w:r w:rsidR="002756BF">
        <w:t>u</w:t>
      </w:r>
      <w:r w:rsidR="006B12C0" w:rsidRPr="00AA4F21">
        <w:t>, ar kurām daļēju iekšējo modeli pilnībā iekļauj maksātspējas kapitāla prasības standarta formulā</w:t>
      </w:r>
      <w:r w:rsidR="002E4D50" w:rsidRPr="00AA4F21">
        <w:t>;</w:t>
      </w:r>
    </w:p>
    <w:p w14:paraId="08E3DAB3" w14:textId="6916CEBF" w:rsidR="005D77E4" w:rsidRPr="00AA4F21" w:rsidRDefault="002E4D50" w:rsidP="005D77E4">
      <w:pPr>
        <w:pStyle w:val="NApunkts2"/>
      </w:pPr>
      <w:r w:rsidRPr="00AA4F21">
        <w:t>k</w:t>
      </w:r>
      <w:r w:rsidR="005D77E4" w:rsidRPr="00AA4F21">
        <w:t>alibrēšanas standartu dokumentācij</w:t>
      </w:r>
      <w:r w:rsidR="00C624EC">
        <w:t>u</w:t>
      </w:r>
      <w:r w:rsidR="005D77E4" w:rsidRPr="00AA4F21">
        <w:t xml:space="preserve">, īpaši, ja riska rādītājs atšķiras no </w:t>
      </w:r>
      <w:r w:rsidRPr="00AA4F21">
        <w:t>Apdrošināšanas un pārapdrošināšanas likuma 119.</w:t>
      </w:r>
      <w:r w:rsidR="00181456" w:rsidRPr="00AA4F21">
        <w:t> </w:t>
      </w:r>
      <w:r w:rsidRPr="00AA4F21">
        <w:t>panta ceturtajā daļā</w:t>
      </w:r>
      <w:r w:rsidR="00AD5DBF">
        <w:t xml:space="preserve"> noteiktā</w:t>
      </w:r>
      <w:r w:rsidR="005D77E4" w:rsidRPr="00AA4F21">
        <w:t xml:space="preserve"> vai ja </w:t>
      </w:r>
      <w:r w:rsidRPr="00AA4F21">
        <w:t>maksātspējas kapitāla prasību</w:t>
      </w:r>
      <w:r w:rsidR="005D77E4" w:rsidRPr="00AA4F21">
        <w:t xml:space="preserve"> nevar aprēķināt tieši no varbūtības sadalījuma prognozes</w:t>
      </w:r>
      <w:r w:rsidR="00181456" w:rsidRPr="00AA4F21">
        <w:t>;</w:t>
      </w:r>
    </w:p>
    <w:p w14:paraId="1B88ECD9" w14:textId="340494F7" w:rsidR="005D77E4" w:rsidRPr="00AA4F21" w:rsidRDefault="005D77E4" w:rsidP="005D77E4">
      <w:pPr>
        <w:pStyle w:val="NApunkts2"/>
      </w:pPr>
      <w:r w:rsidRPr="00AA4F21">
        <w:t xml:space="preserve">pēc </w:t>
      </w:r>
      <w:r w:rsidR="002E4D50" w:rsidRPr="00AA4F21">
        <w:t xml:space="preserve">Latvijas Bankas </w:t>
      </w:r>
      <w:r w:rsidRPr="00AA4F21">
        <w:t>pieprasījuma</w:t>
      </w:r>
      <w:r w:rsidR="00181456" w:rsidRPr="00AA4F21">
        <w:t> </w:t>
      </w:r>
      <w:r w:rsidR="002E4D50" w:rsidRPr="00AA4F21">
        <w:t>– citas</w:t>
      </w:r>
      <w:r w:rsidRPr="00AA4F21">
        <w:t xml:space="preserve"> tehnisko specifikāciju </w:t>
      </w:r>
      <w:r w:rsidR="002E4D50" w:rsidRPr="00AA4F21">
        <w:t>sastāv</w:t>
      </w:r>
      <w:r w:rsidRPr="00AA4F21">
        <w:t>daļas, k</w:t>
      </w:r>
      <w:r w:rsidR="002756BF">
        <w:t>ur</w:t>
      </w:r>
      <w:r w:rsidRPr="00AA4F21">
        <w:t xml:space="preserve">as </w:t>
      </w:r>
      <w:r w:rsidR="002E4D50" w:rsidRPr="00AA4F21">
        <w:t>nav bijušas</w:t>
      </w:r>
      <w:r w:rsidRPr="00AA4F21">
        <w:t xml:space="preserve"> iekļautas pieteikumā.</w:t>
      </w:r>
    </w:p>
    <w:p w14:paraId="4D2E85F9" w14:textId="664174E2" w:rsidR="00A849F9" w:rsidRPr="00AA4F21" w:rsidRDefault="0097116F" w:rsidP="00A849F9">
      <w:pPr>
        <w:pStyle w:val="NApunkts1"/>
      </w:pPr>
      <w:r w:rsidRPr="00AA4F21">
        <w:t>R</w:t>
      </w:r>
      <w:r w:rsidR="00A849F9" w:rsidRPr="00AA4F21">
        <w:t>egulas Nr.</w:t>
      </w:r>
      <w:r w:rsidR="00181456" w:rsidRPr="00AA4F21">
        <w:t> </w:t>
      </w:r>
      <w:r w:rsidR="00A849F9" w:rsidRPr="00AA4F21">
        <w:t>2015/460 2.</w:t>
      </w:r>
      <w:r w:rsidR="00181456" w:rsidRPr="00AA4F21">
        <w:t> </w:t>
      </w:r>
      <w:r w:rsidR="00A849F9" w:rsidRPr="00AA4F21">
        <w:t>panta 4.</w:t>
      </w:r>
      <w:r w:rsidR="00181456" w:rsidRPr="00AA4F21">
        <w:t> </w:t>
      </w:r>
      <w:r w:rsidR="00A849F9" w:rsidRPr="00AA4F21">
        <w:t>punkta g)</w:t>
      </w:r>
      <w:r w:rsidR="00181456" w:rsidRPr="00AA4F21">
        <w:t> </w:t>
      </w:r>
      <w:r w:rsidR="00A849F9" w:rsidRPr="00AA4F21">
        <w:t>apakšpunktā noteiktais skaidrojums par apdrošināšanas vai pārapdrošināšanas sabiedrības iekšējās kontroles sistēmas piemērotību ietver šādus dokumentārus pierādījumus:</w:t>
      </w:r>
    </w:p>
    <w:p w14:paraId="49AFE0E4" w14:textId="5A85E10D" w:rsidR="00A849F9" w:rsidRPr="001932F3" w:rsidRDefault="00A849F9" w:rsidP="00A849F9">
      <w:pPr>
        <w:pStyle w:val="NApunkts2"/>
      </w:pPr>
      <w:r w:rsidRPr="00AA4F21">
        <w:t>iekšēj</w:t>
      </w:r>
      <w:r w:rsidR="00AE7062">
        <w:t>ās</w:t>
      </w:r>
      <w:r w:rsidRPr="00AA4F21">
        <w:t xml:space="preserve"> </w:t>
      </w:r>
      <w:r w:rsidRPr="0092433E">
        <w:t>kontroles sistēmas aprakst</w:t>
      </w:r>
      <w:r w:rsidR="004A212D" w:rsidRPr="0092433E">
        <w:t>u</w:t>
      </w:r>
      <w:r w:rsidRPr="0092433E">
        <w:t xml:space="preserve">, </w:t>
      </w:r>
      <w:r w:rsidR="00957E8C" w:rsidRPr="0092433E">
        <w:t xml:space="preserve">kas </w:t>
      </w:r>
      <w:r w:rsidRPr="0092433E">
        <w:t>ietver detalizētu informāciju par iekšējiem pārskatiem, lēmumu pieņemšanas procesu un iekšējā modeļa izmaiņu apstiprināšanu, pamato</w:t>
      </w:r>
      <w:r w:rsidR="00957E8C" w:rsidRPr="0092433E">
        <w:t>jumu</w:t>
      </w:r>
      <w:r w:rsidRPr="0092433E">
        <w:t xml:space="preserve"> iekšējā modeļa kontroles mehānismu piemērotīb</w:t>
      </w:r>
      <w:r w:rsidR="00957E8C" w:rsidRPr="0092433E">
        <w:t>ai</w:t>
      </w:r>
      <w:r w:rsidRPr="00AA4F21">
        <w:t xml:space="preserve"> un </w:t>
      </w:r>
      <w:r w:rsidR="005C2425" w:rsidRPr="00AA4F21">
        <w:t>samērīgum</w:t>
      </w:r>
      <w:r w:rsidR="00957E8C">
        <w:t>am</w:t>
      </w:r>
      <w:r w:rsidRPr="00AA4F21">
        <w:t xml:space="preserve"> ar </w:t>
      </w:r>
      <w:r w:rsidR="005C2425" w:rsidRPr="00AA4F21">
        <w:t>darbības apjomu un</w:t>
      </w:r>
      <w:r w:rsidRPr="00AA4F21">
        <w:t xml:space="preserve"> </w:t>
      </w:r>
      <w:r w:rsidRPr="001932F3">
        <w:t>īpašībām, kā arī ar risk</w:t>
      </w:r>
      <w:r w:rsidR="00F74E23" w:rsidRPr="001932F3">
        <w:t>a</w:t>
      </w:r>
      <w:r w:rsidRPr="001932F3">
        <w:t xml:space="preserve"> būtīb</w:t>
      </w:r>
      <w:r w:rsidR="00F74E23" w:rsidRPr="001932F3">
        <w:t>ai</w:t>
      </w:r>
      <w:r w:rsidRPr="001932F3">
        <w:t xml:space="preserve"> un sarežģītīb</w:t>
      </w:r>
      <w:r w:rsidR="00F74E23" w:rsidRPr="001932F3">
        <w:t>ai</w:t>
      </w:r>
      <w:r w:rsidR="005C2425" w:rsidRPr="001932F3">
        <w:t>;</w:t>
      </w:r>
    </w:p>
    <w:p w14:paraId="01B76000" w14:textId="4EBE3906" w:rsidR="004A7BB8" w:rsidRPr="001932F3" w:rsidRDefault="004A7BB8" w:rsidP="00A849F9">
      <w:pPr>
        <w:pStyle w:val="NApunkts2"/>
      </w:pPr>
      <w:r w:rsidRPr="001932F3">
        <w:t>informācij</w:t>
      </w:r>
      <w:r w:rsidR="004A212D" w:rsidRPr="001932F3">
        <w:t>u, kas</w:t>
      </w:r>
      <w:r w:rsidRPr="001932F3">
        <w:t xml:space="preserve"> </w:t>
      </w:r>
      <w:r w:rsidR="006735A2" w:rsidRPr="001932F3">
        <w:t>apliecina Apdrošināšanas un pārapdrošināšanas likuma 124.</w:t>
      </w:r>
      <w:r w:rsidR="00181456" w:rsidRPr="001932F3">
        <w:t> </w:t>
      </w:r>
      <w:r w:rsidR="006735A2" w:rsidRPr="001932F3">
        <w:t xml:space="preserve">panta un </w:t>
      </w:r>
      <w:r w:rsidR="000412F0" w:rsidRPr="001932F3">
        <w:t>šo noteikumu 6.</w:t>
      </w:r>
      <w:r w:rsidR="00181456" w:rsidRPr="001932F3">
        <w:t> </w:t>
      </w:r>
      <w:r w:rsidR="000412F0" w:rsidRPr="001932F3">
        <w:t>punkta prasīb</w:t>
      </w:r>
      <w:r w:rsidR="006735A2" w:rsidRPr="001932F3">
        <w:t>u izpildi</w:t>
      </w:r>
      <w:r w:rsidRPr="001932F3">
        <w:t>;</w:t>
      </w:r>
    </w:p>
    <w:p w14:paraId="4B737DF2" w14:textId="729E8D25" w:rsidR="00A849F9" w:rsidRPr="00AA4F21" w:rsidRDefault="00A849F9" w:rsidP="00A849F9">
      <w:pPr>
        <w:pStyle w:val="NApunkts2"/>
      </w:pPr>
      <w:r w:rsidRPr="001932F3">
        <w:t>informācij</w:t>
      </w:r>
      <w:r w:rsidR="004A212D" w:rsidRPr="001932F3">
        <w:t>u</w:t>
      </w:r>
      <w:r w:rsidRPr="001932F3">
        <w:t xml:space="preserve"> par dublēšanas procesiem, darbības nepārtrauktības plānošanu un </w:t>
      </w:r>
      <w:r w:rsidR="000412F0" w:rsidRPr="001932F3">
        <w:t>incidentu</w:t>
      </w:r>
      <w:r w:rsidRPr="001932F3">
        <w:t xml:space="preserve"> seku novēršanas plān</w:t>
      </w:r>
      <w:r w:rsidR="000412F0" w:rsidRPr="001932F3">
        <w:t>u</w:t>
      </w:r>
      <w:r w:rsidRPr="00AA4F21">
        <w:t>.</w:t>
      </w:r>
    </w:p>
    <w:p w14:paraId="70B20B16" w14:textId="71FED4AF" w:rsidR="003D404A" w:rsidRPr="00AA4F21" w:rsidRDefault="0097116F" w:rsidP="003D404A">
      <w:pPr>
        <w:pStyle w:val="NApunkts1"/>
      </w:pPr>
      <w:r w:rsidRPr="00AA4F21">
        <w:t>R</w:t>
      </w:r>
      <w:r w:rsidR="003D404A" w:rsidRPr="00AA4F21">
        <w:t>egulas Nr.</w:t>
      </w:r>
      <w:r w:rsidR="00181456" w:rsidRPr="00AA4F21">
        <w:t> </w:t>
      </w:r>
      <w:r w:rsidR="003D404A" w:rsidRPr="00AA4F21">
        <w:t>2015/460 2.</w:t>
      </w:r>
      <w:r w:rsidR="00181456" w:rsidRPr="00AA4F21">
        <w:t> </w:t>
      </w:r>
      <w:r w:rsidR="003D404A" w:rsidRPr="00AA4F21">
        <w:t>panta 4.</w:t>
      </w:r>
      <w:r w:rsidR="00181456" w:rsidRPr="00AA4F21">
        <w:t> </w:t>
      </w:r>
      <w:r w:rsidR="003D404A" w:rsidRPr="00AA4F21">
        <w:t>punkta h)</w:t>
      </w:r>
      <w:r w:rsidR="00181456" w:rsidRPr="00AA4F21">
        <w:t> </w:t>
      </w:r>
      <w:r w:rsidR="003D404A" w:rsidRPr="00AA4F21">
        <w:t>apakšpunktā noteiktais skaidrojums par personāla, kas ir atbildīgs par iekšējā modeļa izstrādi un apstiprināšanu, resursu, prasmju un objektivitātes atbilstību ietver šādus dokumentārus pierādījumus:</w:t>
      </w:r>
    </w:p>
    <w:p w14:paraId="79F1F348" w14:textId="2B066675" w:rsidR="003D404A" w:rsidRPr="00AA4F21" w:rsidRDefault="002756BF" w:rsidP="003D404A">
      <w:pPr>
        <w:pStyle w:val="NApunkts2"/>
      </w:pPr>
      <w:r>
        <w:t xml:space="preserve">to </w:t>
      </w:r>
      <w:r w:rsidR="003D404A" w:rsidRPr="00AA4F21">
        <w:t>darbinieku (tostarp ārēj</w:t>
      </w:r>
      <w:r w:rsidR="00F74E23">
        <w:t>o</w:t>
      </w:r>
      <w:r w:rsidR="003D404A" w:rsidRPr="00AA4F21">
        <w:t xml:space="preserve"> konsultant</w:t>
      </w:r>
      <w:r w:rsidR="00F74E23">
        <w:t>u</w:t>
      </w:r>
      <w:r w:rsidR="003D404A" w:rsidRPr="00AA4F21">
        <w:t>)</w:t>
      </w:r>
      <w:r w:rsidR="009C0A87">
        <w:t xml:space="preserve"> </w:t>
      </w:r>
      <w:r w:rsidR="009C0A87" w:rsidRPr="00AA4F21">
        <w:t>sarakst</w:t>
      </w:r>
      <w:r w:rsidR="009C0A87">
        <w:t>u</w:t>
      </w:r>
      <w:r w:rsidR="003D404A" w:rsidRPr="00AA4F21">
        <w:t xml:space="preserve">, </w:t>
      </w:r>
      <w:r>
        <w:t>kuri</w:t>
      </w:r>
      <w:r w:rsidRPr="00AA4F21">
        <w:t xml:space="preserve"> </w:t>
      </w:r>
      <w:r w:rsidR="003D404A" w:rsidRPr="00AA4F21">
        <w:t xml:space="preserve">ir iesaistīti iekšējā modeļa izstrādē un validācijā, norādot šo darbinieku pienākumus; </w:t>
      </w:r>
    </w:p>
    <w:p w14:paraId="520F0286" w14:textId="0DD0CD86" w:rsidR="003D404A" w:rsidRPr="00AA4F21" w:rsidRDefault="003D404A" w:rsidP="003D404A">
      <w:pPr>
        <w:pStyle w:val="NApunkts2"/>
      </w:pPr>
      <w:r w:rsidRPr="00AA4F21">
        <w:t>informāciju par to darbinieku</w:t>
      </w:r>
      <w:r w:rsidR="002756BF" w:rsidRPr="002756BF">
        <w:t xml:space="preserve"> </w:t>
      </w:r>
      <w:r w:rsidR="002756BF" w:rsidRPr="00AA4F21">
        <w:t>prasmju, kvalifikācij</w:t>
      </w:r>
      <w:r w:rsidR="00A464F9">
        <w:t>as</w:t>
      </w:r>
      <w:r w:rsidR="002756BF" w:rsidRPr="00AA4F21">
        <w:t>,</w:t>
      </w:r>
      <w:r w:rsidR="002756BF">
        <w:t xml:space="preserve"> </w:t>
      </w:r>
      <w:r w:rsidR="002756BF" w:rsidRPr="00AA4F21">
        <w:t>zināšanu un pieredzes atbilstību</w:t>
      </w:r>
      <w:r w:rsidRPr="00AA4F21">
        <w:t>, kuru pienākumi ietver iekšējā modeļa izstrādi un validāciju;</w:t>
      </w:r>
    </w:p>
    <w:p w14:paraId="14FC55E0" w14:textId="2B3A268B" w:rsidR="003D404A" w:rsidRPr="00AA4F21" w:rsidRDefault="003D404A" w:rsidP="003D404A">
      <w:pPr>
        <w:pStyle w:val="NApunkts2"/>
      </w:pPr>
      <w:r w:rsidRPr="00AA4F21">
        <w:t>iekšējās ziņošanas struktūr</w:t>
      </w:r>
      <w:r w:rsidR="00F74E23">
        <w:t>u</w:t>
      </w:r>
      <w:r w:rsidRPr="00AA4F21">
        <w:t xml:space="preserve"> saistībā ar iekšējā modeļa izstrādes un validācijas procesiem.</w:t>
      </w:r>
    </w:p>
    <w:p w14:paraId="6C7CFFA5" w14:textId="70E57B5C" w:rsidR="00917F09" w:rsidRPr="00AA4F21" w:rsidRDefault="0097116F" w:rsidP="00917F09">
      <w:pPr>
        <w:pStyle w:val="NApunkts1"/>
      </w:pPr>
      <w:r w:rsidRPr="00AA4F21">
        <w:t>R</w:t>
      </w:r>
      <w:r w:rsidR="00917F09" w:rsidRPr="00AA4F21">
        <w:t>egulas Nr.</w:t>
      </w:r>
      <w:r w:rsidR="00181456" w:rsidRPr="00AA4F21">
        <w:t> </w:t>
      </w:r>
      <w:r w:rsidR="00917F09" w:rsidRPr="00AA4F21">
        <w:t>2015/460 2.</w:t>
      </w:r>
      <w:r w:rsidR="00181456" w:rsidRPr="00AA4F21">
        <w:t> </w:t>
      </w:r>
      <w:r w:rsidR="00917F09" w:rsidRPr="00AA4F21">
        <w:t>panta 4.</w:t>
      </w:r>
      <w:r w:rsidR="00181456" w:rsidRPr="00AA4F21">
        <w:t> </w:t>
      </w:r>
      <w:r w:rsidR="00917F09" w:rsidRPr="00AA4F21">
        <w:t>punkta m)</w:t>
      </w:r>
      <w:r w:rsidR="00181456" w:rsidRPr="00AA4F21">
        <w:t> </w:t>
      </w:r>
      <w:r w:rsidR="00917F09" w:rsidRPr="00AA4F21">
        <w:t>apakšpunktā minētais iekšējā modeļa neatkarīgās apstiprināšanas procedūras apraksts un ziņojums par iepriekšējā novērtējuma rezultātiem ietver šādus dokumentārus pierādījumus:</w:t>
      </w:r>
    </w:p>
    <w:p w14:paraId="685EAF8B" w14:textId="2BD0A684" w:rsidR="00917F09" w:rsidRPr="00AA4F21" w:rsidRDefault="00917F09" w:rsidP="00917F09">
      <w:pPr>
        <w:pStyle w:val="NApunkts2"/>
      </w:pPr>
      <w:r w:rsidRPr="00AA4F21">
        <w:t>ziņojum</w:t>
      </w:r>
      <w:r w:rsidR="00F74E23">
        <w:t>u</w:t>
      </w:r>
      <w:r w:rsidRPr="00AA4F21">
        <w:t xml:space="preserve"> par iekšējā modeļa pēdējo apstiprinājumu. Šis ziņojums ir izstrādāts validācijas politikā aprakstītā procesa rezultātā, un tajā ir detalizēti aprakstīti validācijas darbības rezultāti, kas parāda, ka iekšējais modelis atbilst visām attiecīgajām prasībām, kā arī veiktās vai plānotās darbības, lai novērstu konstatētās nepilnības</w:t>
      </w:r>
      <w:r w:rsidR="00181456" w:rsidRPr="00AA4F21">
        <w:t>;</w:t>
      </w:r>
    </w:p>
    <w:p w14:paraId="138152F2" w14:textId="57C2251B" w:rsidR="00917F09" w:rsidRPr="00AA4F21" w:rsidRDefault="00917F09" w:rsidP="00917F09">
      <w:pPr>
        <w:pStyle w:val="NApunkts2"/>
      </w:pPr>
      <w:r w:rsidRPr="00AA4F21">
        <w:t>informācij</w:t>
      </w:r>
      <w:r w:rsidR="00F74E23">
        <w:t>u</w:t>
      </w:r>
      <w:r w:rsidRPr="00AA4F21">
        <w:t>, kas apliecina, ka apstiprināšanas process ir neatkarīgs no iekšējā modeļa izstrādes un darbības un ka šajā procesā ir iesaistīta</w:t>
      </w:r>
      <w:r w:rsidR="00FD14F3" w:rsidRPr="00AA4F21">
        <w:t xml:space="preserve"> apdrošinātāja vai pārapdrošinātāja padome, valde un vadība</w:t>
      </w:r>
      <w:r w:rsidRPr="00AA4F21">
        <w:t xml:space="preserve">. Ja </w:t>
      </w:r>
      <w:r w:rsidR="00FD14F3" w:rsidRPr="00AA4F21">
        <w:t>apdrošinātājs vai pārapdrošinātājs</w:t>
      </w:r>
      <w:r w:rsidRPr="00AA4F21">
        <w:t xml:space="preserve"> konstatē interešu konfliktu, tas izskaidro plānus, kas izstrādāti </w:t>
      </w:r>
      <w:r w:rsidR="00C1286D">
        <w:t xml:space="preserve">šā </w:t>
      </w:r>
      <w:r w:rsidRPr="00AA4F21">
        <w:t>interešu konflikt</w:t>
      </w:r>
      <w:r w:rsidR="00C1286D">
        <w:t>a</w:t>
      </w:r>
      <w:r w:rsidRPr="00AA4F21">
        <w:t xml:space="preserve"> mazināšanai</w:t>
      </w:r>
      <w:r w:rsidR="00FD14F3" w:rsidRPr="00AA4F21">
        <w:t>;</w:t>
      </w:r>
    </w:p>
    <w:p w14:paraId="427FCDD2" w14:textId="44D2A7E0" w:rsidR="00917F09" w:rsidRPr="00AA4F21" w:rsidRDefault="0068487E" w:rsidP="00917F09">
      <w:pPr>
        <w:pStyle w:val="NApunkts2"/>
      </w:pPr>
      <w:r>
        <w:t xml:space="preserve">pierādījumus tam, ka </w:t>
      </w:r>
      <w:r w:rsidR="00917F09" w:rsidRPr="00AA4F21">
        <w:t>validācij</w:t>
      </w:r>
      <w:r w:rsidR="00F74E23">
        <w:t>u</w:t>
      </w:r>
      <w:r w:rsidR="00917F09" w:rsidRPr="00AA4F21">
        <w:t xml:space="preserve"> vei</w:t>
      </w:r>
      <w:r w:rsidR="00F74E23">
        <w:t>c</w:t>
      </w:r>
      <w:r w:rsidR="00917F09" w:rsidRPr="00AA4F21">
        <w:t xml:space="preserve"> katra iekšējā modeļa komponenta līmenī, kā arī kopumā.</w:t>
      </w:r>
    </w:p>
    <w:p w14:paraId="7E1CC680" w14:textId="10A00B41" w:rsidR="00D3002C" w:rsidRPr="00AA4F21" w:rsidRDefault="00D3002C" w:rsidP="00D3002C">
      <w:pPr>
        <w:pStyle w:val="NApunkts1"/>
      </w:pPr>
      <w:r w:rsidRPr="00AA4F21">
        <w:t>Pieteikuma iesniedzējs nodrošina, ka vis</w:t>
      </w:r>
      <w:r w:rsidR="00470E5A">
        <w:t>i</w:t>
      </w:r>
      <w:r w:rsidRPr="00AA4F21">
        <w:t xml:space="preserve"> </w:t>
      </w:r>
      <w:r w:rsidR="0097116F" w:rsidRPr="00AA4F21">
        <w:t>R</w:t>
      </w:r>
      <w:r w:rsidRPr="00AA4F21">
        <w:t>egulas Nr.</w:t>
      </w:r>
      <w:r w:rsidR="00181456" w:rsidRPr="00AA4F21">
        <w:t> </w:t>
      </w:r>
      <w:r w:rsidRPr="00AA4F21">
        <w:t>2015/460 2.</w:t>
      </w:r>
      <w:r w:rsidR="00181456" w:rsidRPr="00AA4F21">
        <w:t> </w:t>
      </w:r>
      <w:r w:rsidRPr="00AA4F21">
        <w:t>panta 4.</w:t>
      </w:r>
      <w:r w:rsidR="00181456" w:rsidRPr="00AA4F21">
        <w:t> </w:t>
      </w:r>
      <w:r w:rsidRPr="00AA4F21">
        <w:t>punkta n)</w:t>
      </w:r>
      <w:r w:rsidR="00181456" w:rsidRPr="00AA4F21">
        <w:t> </w:t>
      </w:r>
      <w:r w:rsidRPr="00AA4F21">
        <w:t>apakšpunktā minēt</w:t>
      </w:r>
      <w:r w:rsidR="00F74E23">
        <w:t>ie</w:t>
      </w:r>
      <w:r w:rsidRPr="00AA4F21">
        <w:t xml:space="preserve"> dokument</w:t>
      </w:r>
      <w:r w:rsidR="00F74E23">
        <w:t>ārie pierādījumi</w:t>
      </w:r>
      <w:r w:rsidRPr="00AA4F21">
        <w:t xml:space="preserve"> ir nekavējoties pieejam</w:t>
      </w:r>
      <w:r w:rsidR="00F74E23">
        <w:t>i</w:t>
      </w:r>
      <w:r w:rsidRPr="00AA4F21">
        <w:t xml:space="preserve"> visa pieteikuma vai </w:t>
      </w:r>
      <w:proofErr w:type="spellStart"/>
      <w:r w:rsidR="00461C14" w:rsidRPr="00AA4F21">
        <w:t>pirmspieteikuma</w:t>
      </w:r>
      <w:proofErr w:type="spellEnd"/>
      <w:r w:rsidR="00461C14" w:rsidRPr="00AA4F21">
        <w:t xml:space="preserve"> </w:t>
      </w:r>
      <w:r w:rsidRPr="00AA4F21">
        <w:t>procesa laikā.</w:t>
      </w:r>
    </w:p>
    <w:p w14:paraId="1D61EC10" w14:textId="09B31E99" w:rsidR="002B42F2" w:rsidRPr="00AA4F21" w:rsidRDefault="00046B7E" w:rsidP="00D3002C">
      <w:pPr>
        <w:pStyle w:val="NApunkts1"/>
      </w:pPr>
      <w:r w:rsidRPr="00AA4F21">
        <w:lastRenderedPageBreak/>
        <w:t xml:space="preserve">Ja pieteikuma iesniedzējs izmanto modeli vai datus, kas iegūti no trešās personas, </w:t>
      </w:r>
      <w:r w:rsidR="0097116F" w:rsidRPr="00AA4F21">
        <w:t>R</w:t>
      </w:r>
      <w:r w:rsidRPr="00AA4F21">
        <w:t>egulas Nr.</w:t>
      </w:r>
      <w:r w:rsidR="00181456" w:rsidRPr="00AA4F21">
        <w:t> </w:t>
      </w:r>
      <w:r w:rsidRPr="00AA4F21">
        <w:t>2015/460 2.</w:t>
      </w:r>
      <w:r w:rsidR="00181456" w:rsidRPr="00AA4F21">
        <w:t> </w:t>
      </w:r>
      <w:r w:rsidRPr="00AA4F21">
        <w:t>panta 4.</w:t>
      </w:r>
      <w:r w:rsidR="00181456" w:rsidRPr="00AA4F21">
        <w:t> </w:t>
      </w:r>
      <w:r w:rsidRPr="00AA4F21">
        <w:t>punkta o)</w:t>
      </w:r>
      <w:r w:rsidR="00181456" w:rsidRPr="00AA4F21">
        <w:t> </w:t>
      </w:r>
      <w:r w:rsidRPr="00AA4F21">
        <w:t>apakšpunktā minētie dokumentārie pierādījumi ietver:</w:t>
      </w:r>
    </w:p>
    <w:p w14:paraId="6C9F4CFE" w14:textId="37A99572" w:rsidR="0098115D" w:rsidRPr="00AA4F21" w:rsidRDefault="0098115D" w:rsidP="00046B7E">
      <w:pPr>
        <w:pStyle w:val="NApunkts2"/>
      </w:pPr>
      <w:r w:rsidRPr="00AA4F21">
        <w:t>skaidrojumu par ārējā modeļa lomu vai datu lomu iekšējā modelī un sniedz ārējā modeļa vai datu izmantošanas priekšrocību pamatojumu salīdzinājumā ar savu iekšējo modeli vai datiem</w:t>
      </w:r>
      <w:r w:rsidR="00181456" w:rsidRPr="00AA4F21">
        <w:t>;</w:t>
      </w:r>
    </w:p>
    <w:p w14:paraId="105D4234" w14:textId="7FD70349" w:rsidR="00046B7E" w:rsidRPr="00AA4F21" w:rsidRDefault="0098115D" w:rsidP="00046B7E">
      <w:pPr>
        <w:pStyle w:val="NApunkts2"/>
      </w:pPr>
      <w:r w:rsidRPr="00AA4F21">
        <w:t>skaidrojumu</w:t>
      </w:r>
      <w:r w:rsidR="00046B7E" w:rsidRPr="00AA4F21">
        <w:t xml:space="preserve">, kā ārējais modelis vai dati atbilst šo noteikumu un </w:t>
      </w:r>
      <w:r w:rsidR="0097116F" w:rsidRPr="00AA4F21">
        <w:t>R</w:t>
      </w:r>
      <w:r w:rsidRPr="00AA4F21">
        <w:t>egulas Nr.</w:t>
      </w:r>
      <w:r w:rsidR="00181456" w:rsidRPr="00AA4F21">
        <w:t> </w:t>
      </w:r>
      <w:r w:rsidRPr="00AA4F21">
        <w:t>2015/35</w:t>
      </w:r>
      <w:r w:rsidR="00046B7E" w:rsidRPr="00AA4F21">
        <w:t xml:space="preserve"> 247.</w:t>
      </w:r>
      <w:r w:rsidR="00181456" w:rsidRPr="00AA4F21">
        <w:t> </w:t>
      </w:r>
      <w:r w:rsidR="00046B7E" w:rsidRPr="00AA4F21">
        <w:t>panta</w:t>
      </w:r>
      <w:r w:rsidRPr="00AA4F21">
        <w:t xml:space="preserve"> prasībām;</w:t>
      </w:r>
    </w:p>
    <w:p w14:paraId="64C1712C" w14:textId="3AAA79B1" w:rsidR="00046B7E" w:rsidRPr="00AA4F21" w:rsidRDefault="0098115D" w:rsidP="00046B7E">
      <w:pPr>
        <w:pStyle w:val="NApunkts2"/>
      </w:pPr>
      <w:r w:rsidRPr="00AA4F21">
        <w:t xml:space="preserve">skaidrojumu par </w:t>
      </w:r>
      <w:r w:rsidR="00046B7E" w:rsidRPr="00AA4F21">
        <w:t>ārējā modeļa vai datu lom</w:t>
      </w:r>
      <w:r w:rsidRPr="00AA4F21">
        <w:t>u</w:t>
      </w:r>
      <w:r w:rsidR="00046B7E" w:rsidRPr="00AA4F21">
        <w:t xml:space="preserve"> un būtiskumu katrā gadījumā, kad t</w:t>
      </w:r>
      <w:r w:rsidR="00F74E23">
        <w:t>os</w:t>
      </w:r>
      <w:r w:rsidR="00046B7E" w:rsidRPr="00AA4F21">
        <w:t xml:space="preserve"> izmanto, un kā ārējais modelis vai dati ir integrēti </w:t>
      </w:r>
      <w:r w:rsidRPr="00AA4F21">
        <w:t xml:space="preserve">apdrošinātāja vai pārapdrošinātāja </w:t>
      </w:r>
      <w:r w:rsidR="00046B7E" w:rsidRPr="00AA4F21">
        <w:t>vispārējā iekšējā modelī</w:t>
      </w:r>
      <w:r w:rsidR="00131C76">
        <w:t>;</w:t>
      </w:r>
    </w:p>
    <w:p w14:paraId="2F38AE29" w14:textId="66DC7375" w:rsidR="00046B7E" w:rsidRPr="00AA4F21" w:rsidRDefault="00F74E23" w:rsidP="00046B7E">
      <w:pPr>
        <w:pStyle w:val="NApunkts2"/>
      </w:pPr>
      <w:r>
        <w:t xml:space="preserve">apsvērto </w:t>
      </w:r>
      <w:r w:rsidR="00046B7E" w:rsidRPr="00AA4F21">
        <w:t>alternatīv</w:t>
      </w:r>
      <w:r w:rsidR="0098115D" w:rsidRPr="00AA4F21">
        <w:t>o</w:t>
      </w:r>
      <w:r w:rsidR="00046B7E" w:rsidRPr="00AA4F21">
        <w:t xml:space="preserve"> iespēj</w:t>
      </w:r>
      <w:r w:rsidR="0098115D" w:rsidRPr="00AA4F21">
        <w:t>u</w:t>
      </w:r>
      <w:r w:rsidR="00046B7E" w:rsidRPr="00AA4F21">
        <w:t xml:space="preserve"> ārējo modeļu vai datu izmantošanai</w:t>
      </w:r>
      <w:r w:rsidR="0098115D" w:rsidRPr="00AA4F21">
        <w:t xml:space="preserve"> uzskaitījum</w:t>
      </w:r>
      <w:r w:rsidR="00197CCD">
        <w:t>u</w:t>
      </w:r>
      <w:r w:rsidR="0098115D" w:rsidRPr="00AA4F21">
        <w:t>.</w:t>
      </w:r>
    </w:p>
    <w:p w14:paraId="11060487" w14:textId="57C432C5" w:rsidR="007834E5" w:rsidRPr="00AA4F21" w:rsidRDefault="007834E5" w:rsidP="007834E5">
      <w:pPr>
        <w:pStyle w:val="NApunkts1"/>
      </w:pPr>
      <w:r w:rsidRPr="00AA4F21">
        <w:t>Attiecībā uz daļēj</w:t>
      </w:r>
      <w:r w:rsidR="00131C76">
        <w:t>o</w:t>
      </w:r>
      <w:r w:rsidRPr="00AA4F21">
        <w:t xml:space="preserve"> iekšē</w:t>
      </w:r>
      <w:r w:rsidR="00131C76">
        <w:t>jo</w:t>
      </w:r>
      <w:r w:rsidRPr="00AA4F21">
        <w:t xml:space="preserve"> mode</w:t>
      </w:r>
      <w:r w:rsidR="00131C76">
        <w:t>li</w:t>
      </w:r>
      <w:r w:rsidRPr="00AA4F21">
        <w:t xml:space="preserve"> </w:t>
      </w:r>
      <w:r w:rsidR="0097116F" w:rsidRPr="00AA4F21">
        <w:t>R</w:t>
      </w:r>
      <w:r w:rsidRPr="00AA4F21">
        <w:t>egulas Nr.</w:t>
      </w:r>
      <w:r w:rsidR="00181456" w:rsidRPr="00AA4F21">
        <w:t> </w:t>
      </w:r>
      <w:r w:rsidRPr="00AA4F21">
        <w:t>2015/460 2.</w:t>
      </w:r>
      <w:r w:rsidR="00181456" w:rsidRPr="00AA4F21">
        <w:t> </w:t>
      </w:r>
      <w:r w:rsidRPr="00AA4F21">
        <w:t>panta 4.</w:t>
      </w:r>
      <w:r w:rsidR="00181456" w:rsidRPr="00AA4F21">
        <w:t> </w:t>
      </w:r>
      <w:r w:rsidRPr="00AA4F21">
        <w:t>punkta r)</w:t>
      </w:r>
      <w:r w:rsidR="00181456" w:rsidRPr="00AA4F21">
        <w:t> </w:t>
      </w:r>
      <w:r w:rsidRPr="00AA4F21">
        <w:t xml:space="preserve">apakšpunktā </w:t>
      </w:r>
      <w:r w:rsidR="00F74E23">
        <w:t xml:space="preserve">norādītie </w:t>
      </w:r>
      <w:r w:rsidRPr="00AA4F21">
        <w:t>dokumentārie pierādījumi ietver:</w:t>
      </w:r>
    </w:p>
    <w:p w14:paraId="7CD05CB4" w14:textId="3A1631B8" w:rsidR="007834E5" w:rsidRPr="00AA4F21" w:rsidRDefault="007834E5" w:rsidP="007834E5">
      <w:pPr>
        <w:pStyle w:val="NApunkts2"/>
      </w:pPr>
      <w:r w:rsidRPr="00AA4F21">
        <w:t>paskaidrojumu, kā daļējā iekšējā modeļa rezultāt</w:t>
      </w:r>
      <w:r w:rsidR="00F74E23">
        <w:t>us</w:t>
      </w:r>
      <w:r w:rsidRPr="00AA4F21">
        <w:t xml:space="preserve"> pilnībā integrē</w:t>
      </w:r>
      <w:r w:rsidR="00F74E23">
        <w:t>s</w:t>
      </w:r>
      <w:r w:rsidRPr="00AA4F21">
        <w:t xml:space="preserve"> standarta formulā, lai aprēķinātu maksātspējas kapitāla prasību saskaņā ar Apdrošināšanas un pārapdrošināšanas likuma 122.</w:t>
      </w:r>
      <w:r w:rsidR="00181456" w:rsidRPr="00AA4F21">
        <w:t> </w:t>
      </w:r>
      <w:r w:rsidRPr="00AA4F21">
        <w:t xml:space="preserve">panta </w:t>
      </w:r>
      <w:r w:rsidR="00FF4783">
        <w:t>pirmās daļas</w:t>
      </w:r>
      <w:r w:rsidRPr="00AA4F21">
        <w:t xml:space="preserve"> prasībām. Paskaidrojumā ietver izmantoto integrēšanas metožu iespējamības un piemērotības pamatojum</w:t>
      </w:r>
      <w:r w:rsidR="008032A4">
        <w:t>u</w:t>
      </w:r>
      <w:r w:rsidR="000E2856" w:rsidRPr="00AA4F21">
        <w:t>;</w:t>
      </w:r>
    </w:p>
    <w:p w14:paraId="2378A150" w14:textId="007E30EC" w:rsidR="0098115D" w:rsidRPr="00AA4F21" w:rsidRDefault="000E2856" w:rsidP="007834E5">
      <w:pPr>
        <w:pStyle w:val="NApunkts2"/>
      </w:pPr>
      <w:r w:rsidRPr="00AA4F21">
        <w:t>pierādījumus par</w:t>
      </w:r>
      <w:r w:rsidR="007834E5" w:rsidRPr="00AA4F21">
        <w:t xml:space="preserve"> atbilstīb</w:t>
      </w:r>
      <w:r w:rsidRPr="00AA4F21">
        <w:t>u</w:t>
      </w:r>
      <w:r w:rsidR="007834E5" w:rsidRPr="00AA4F21">
        <w:t xml:space="preserve"> </w:t>
      </w:r>
      <w:r w:rsidR="0097116F" w:rsidRPr="00AA4F21">
        <w:t>R</w:t>
      </w:r>
      <w:r w:rsidR="007834E5" w:rsidRPr="00AA4F21">
        <w:t>egulas Nr.</w:t>
      </w:r>
      <w:r w:rsidR="00181456" w:rsidRPr="00AA4F21">
        <w:t> </w:t>
      </w:r>
      <w:r w:rsidR="007834E5" w:rsidRPr="00AA4F21">
        <w:t>2015/35 239.</w:t>
      </w:r>
      <w:r w:rsidR="00181456" w:rsidRPr="00AA4F21">
        <w:t> </w:t>
      </w:r>
      <w:r w:rsidR="007834E5" w:rsidRPr="00AA4F21">
        <w:t>panta prasībām.</w:t>
      </w:r>
    </w:p>
    <w:p w14:paraId="68BC1EF0" w14:textId="4E332703" w:rsidR="00770489" w:rsidRPr="00AA4F21" w:rsidRDefault="00311694" w:rsidP="00CD44FF">
      <w:pPr>
        <w:pStyle w:val="NAnodalaromiesucipari"/>
      </w:pPr>
      <w:r>
        <w:t>Prasības i</w:t>
      </w:r>
      <w:r w:rsidR="00770489" w:rsidRPr="00AA4F21">
        <w:t>ekšējā modeļa izmaiņ</w:t>
      </w:r>
      <w:r>
        <w:t>u veikšanai</w:t>
      </w:r>
    </w:p>
    <w:p w14:paraId="2D212FFB" w14:textId="1E693698" w:rsidR="00770489" w:rsidRPr="00AA4F21" w:rsidRDefault="00601D3E" w:rsidP="00770489">
      <w:pPr>
        <w:pStyle w:val="NApunkts1"/>
      </w:pPr>
      <w:r w:rsidRPr="00AA4F21">
        <w:t>Atbilstoši Apdrošināšanas un pārapdrošināšanas likuma 1</w:t>
      </w:r>
      <w:r w:rsidR="00FF4783">
        <w:t>2</w:t>
      </w:r>
      <w:r w:rsidRPr="00AA4F21">
        <w:t>3.</w:t>
      </w:r>
      <w:r w:rsidR="00181456" w:rsidRPr="00AA4F21">
        <w:t> </w:t>
      </w:r>
      <w:r w:rsidRPr="00AA4F21">
        <w:t>panta prasībām a</w:t>
      </w:r>
      <w:r w:rsidR="00770489" w:rsidRPr="00AA4F21">
        <w:t xml:space="preserve">pdrošinātājs vai pārapdrošinātājs iesniedz </w:t>
      </w:r>
      <w:r w:rsidRPr="00AA4F21">
        <w:t>Latvijas Bankai</w:t>
      </w:r>
      <w:r w:rsidR="00770489" w:rsidRPr="00AA4F21">
        <w:t xml:space="preserve"> </w:t>
      </w:r>
      <w:r w:rsidRPr="00AA4F21">
        <w:t>politiku iekšējā modeļa izmaiņu veikšanai</w:t>
      </w:r>
      <w:r w:rsidR="00F74E23">
        <w:t>.</w:t>
      </w:r>
      <w:r w:rsidR="00770489" w:rsidRPr="00AA4F21">
        <w:t xml:space="preserve"> </w:t>
      </w:r>
      <w:r w:rsidR="00F74E23">
        <w:t>Politikā</w:t>
      </w:r>
      <w:r w:rsidR="00770489" w:rsidRPr="00AA4F21">
        <w:t xml:space="preserve"> aptver visus būtiskos izmaiņu avotus, kas ietekmēs </w:t>
      </w:r>
      <w:r w:rsidR="00F3791E" w:rsidRPr="00AA4F21">
        <w:t>apdrošinātāj</w:t>
      </w:r>
      <w:r w:rsidR="00F3791E">
        <w:t>a</w:t>
      </w:r>
      <w:r w:rsidR="00F3791E" w:rsidRPr="00AA4F21">
        <w:t xml:space="preserve"> vai </w:t>
      </w:r>
      <w:proofErr w:type="spellStart"/>
      <w:r w:rsidR="00F3791E" w:rsidRPr="00AA4F21">
        <w:t>pārapdrošinātāj</w:t>
      </w:r>
      <w:r w:rsidR="00F3791E">
        <w:t>a</w:t>
      </w:r>
      <w:proofErr w:type="spellEnd"/>
      <w:r w:rsidR="00770489" w:rsidRPr="00AA4F21">
        <w:t xml:space="preserve"> maksātspējas kapitāla prasību, un vismaz </w:t>
      </w:r>
      <w:r w:rsidR="00F74E23">
        <w:t>informāciju par</w:t>
      </w:r>
      <w:r w:rsidR="00770489" w:rsidRPr="00AA4F21">
        <w:t xml:space="preserve"> izmaiņ</w:t>
      </w:r>
      <w:r w:rsidR="00F74E23">
        <w:t>ām</w:t>
      </w:r>
      <w:r w:rsidR="00770489" w:rsidRPr="00AA4F21">
        <w:t>:</w:t>
      </w:r>
    </w:p>
    <w:p w14:paraId="6D3A8A65" w14:textId="3DC920B4" w:rsidR="00770489" w:rsidRPr="00AA4F21" w:rsidRDefault="00770489" w:rsidP="000C0033">
      <w:pPr>
        <w:pStyle w:val="NApunkts2"/>
      </w:pPr>
      <w:r w:rsidRPr="00AA4F21">
        <w:t>pārvaldības sistēmā;</w:t>
      </w:r>
    </w:p>
    <w:p w14:paraId="79DC3934" w14:textId="3CDDDDD5" w:rsidR="00770489" w:rsidRPr="00AA4F21" w:rsidRDefault="00770489" w:rsidP="000C0033">
      <w:pPr>
        <w:pStyle w:val="NApunkts2"/>
      </w:pPr>
      <w:r w:rsidRPr="00AA4F21">
        <w:t>iekšējā modeļa lietošanas prasībā</w:t>
      </w:r>
      <w:r w:rsidR="00F3791E">
        <w:t>s</w:t>
      </w:r>
      <w:r w:rsidRPr="00AA4F21">
        <w:t>;</w:t>
      </w:r>
    </w:p>
    <w:p w14:paraId="108B6B1E" w14:textId="26940FCB" w:rsidR="00770489" w:rsidRPr="00AA4F21" w:rsidRDefault="00770489" w:rsidP="000C0033">
      <w:pPr>
        <w:pStyle w:val="NApunkts2"/>
      </w:pPr>
      <w:r w:rsidRPr="00AA4F21">
        <w:t>apdrošinātāja vai pārapdrošinātāja iekšējā modeļa tehnisko specifikāciju atbilstībā;</w:t>
      </w:r>
    </w:p>
    <w:p w14:paraId="4F990EAD" w14:textId="43971704" w:rsidR="00770489" w:rsidRPr="00AA4F21" w:rsidRDefault="00770489" w:rsidP="000C0033">
      <w:pPr>
        <w:pStyle w:val="NApunkts2"/>
      </w:pPr>
      <w:r w:rsidRPr="00AA4F21">
        <w:t>riska profilā.</w:t>
      </w:r>
    </w:p>
    <w:p w14:paraId="2B902D30" w14:textId="42E3AFEF" w:rsidR="00770489" w:rsidRPr="00AA4F21" w:rsidRDefault="00601D3E" w:rsidP="00770489">
      <w:pPr>
        <w:pStyle w:val="NApunkts1"/>
      </w:pPr>
      <w:r w:rsidRPr="00AA4F21">
        <w:t>Apdrošinātājs vai pārapdrošinātājs</w:t>
      </w:r>
      <w:r w:rsidR="00770489" w:rsidRPr="00AA4F21">
        <w:t xml:space="preserve"> novērtē katras izmaiņas ietekmi atsevišķi un visu izmaiņu kopējo ietekmi uz maksātspējas kapitāla prasību vai tās atsevišķiem komponentiem, kā arī novērtē atsevišķas savstarpēji kompensējošas ietekmes un vairāku izmaiņu kopējo ietekmi.</w:t>
      </w:r>
    </w:p>
    <w:p w14:paraId="1FAAD4CB" w14:textId="0B4A5474" w:rsidR="00770489" w:rsidRPr="00AA4F21" w:rsidRDefault="00ED62D4" w:rsidP="00770489">
      <w:pPr>
        <w:pStyle w:val="NApunkts1"/>
      </w:pPr>
      <w:r w:rsidRPr="00AA4F21">
        <w:t>Apdrošināšanas un pārapdrošināšanas likuma 207.</w:t>
      </w:r>
      <w:r w:rsidR="00181456" w:rsidRPr="00AA4F21">
        <w:t> </w:t>
      </w:r>
      <w:r w:rsidRPr="00AA4F21">
        <w:t xml:space="preserve">pantā noteiktā grupas iekšējā modeļa gadījumā, izstrādājot grupas iekšējā modeļa izmaiņu politiku, </w:t>
      </w:r>
      <w:r w:rsidR="008032A4">
        <w:t xml:space="preserve">apdrošinātājs un pārapdrošinātājs ņem </w:t>
      </w:r>
      <w:r w:rsidRPr="00AA4F21">
        <w:t>vērā šād</w:t>
      </w:r>
      <w:r w:rsidR="008032A4">
        <w:t>us</w:t>
      </w:r>
      <w:r w:rsidRPr="00AA4F21">
        <w:t xml:space="preserve"> nosacījum</w:t>
      </w:r>
      <w:r w:rsidR="008032A4">
        <w:t>us</w:t>
      </w:r>
      <w:r w:rsidRPr="00AA4F21">
        <w:t>:</w:t>
      </w:r>
    </w:p>
    <w:p w14:paraId="77B2223F" w14:textId="1D6E2950" w:rsidR="00770489" w:rsidRPr="00AA4F21" w:rsidRDefault="00770489" w:rsidP="000C0033">
      <w:pPr>
        <w:pStyle w:val="NApunkts2"/>
      </w:pPr>
      <w:r w:rsidRPr="00AA4F21">
        <w:t>izstrādā vienot</w:t>
      </w:r>
      <w:r w:rsidR="008032A4">
        <w:t>u</w:t>
      </w:r>
      <w:r w:rsidRPr="00AA4F21">
        <w:t xml:space="preserve"> grupas iekšējā modeļa izmaiņu politik</w:t>
      </w:r>
      <w:r w:rsidR="008032A4">
        <w:t>u</w:t>
      </w:r>
      <w:r w:rsidRPr="00AA4F21">
        <w:t>;</w:t>
      </w:r>
    </w:p>
    <w:p w14:paraId="07D8B510" w14:textId="263394CA" w:rsidR="00770489" w:rsidRPr="00AA4F21" w:rsidRDefault="00770489" w:rsidP="000C0033">
      <w:pPr>
        <w:pStyle w:val="NApunkts2"/>
      </w:pPr>
      <w:r w:rsidRPr="00AA4F21">
        <w:t>grupas iekšējā modeļa izmaiņu politik</w:t>
      </w:r>
      <w:r w:rsidR="008032A4">
        <w:t>ā</w:t>
      </w:r>
      <w:r w:rsidRPr="00AA4F21">
        <w:t xml:space="preserve"> ietver grupai, kā arī katrai saistītajai sabiedrībai, kas lietos grupas iekšējo modeli savas individuālās maksātspējas kapitāla prasības aprēķināšanai, būtisku un nebūtisku izmaiņu klasifikāciju;</w:t>
      </w:r>
    </w:p>
    <w:p w14:paraId="5D84AB41" w14:textId="5EF1B551" w:rsidR="00B100A8" w:rsidRPr="00AA4F21" w:rsidRDefault="00770489" w:rsidP="000C0033">
      <w:pPr>
        <w:pStyle w:val="NApunkts2"/>
      </w:pPr>
      <w:r w:rsidRPr="00AA4F21">
        <w:t xml:space="preserve">atsevišķai </w:t>
      </w:r>
      <w:r w:rsidR="00CD2DB0" w:rsidRPr="00AA4F21">
        <w:t>apd</w:t>
      </w:r>
      <w:r w:rsidR="000671DC" w:rsidRPr="00AA4F21">
        <w:t>r</w:t>
      </w:r>
      <w:r w:rsidR="00CD2DB0" w:rsidRPr="00AA4F21">
        <w:t xml:space="preserve">ošināšanas vai pārapdrošināšanas </w:t>
      </w:r>
      <w:r w:rsidRPr="00AA4F21">
        <w:t>sabiedrībai būtiskas izmaiņas klasificē kā būtiskas izmaiņas arī grupas iekšējā modeļa izmaiņu politikā.</w:t>
      </w:r>
    </w:p>
    <w:p w14:paraId="2813FDE8" w14:textId="600B11DC" w:rsidR="00840034" w:rsidRPr="00AA4F21" w:rsidRDefault="00840034" w:rsidP="003A09F5">
      <w:pPr>
        <w:pStyle w:val="NAnodalaromiesucipari"/>
      </w:pPr>
      <w:r w:rsidRPr="00AA4F21">
        <w:lastRenderedPageBreak/>
        <w:t>Noslēguma jautājum</w:t>
      </w:r>
      <w:r w:rsidR="00461C14" w:rsidRPr="00AA4F21">
        <w:t>s</w:t>
      </w:r>
    </w:p>
    <w:p w14:paraId="67511344" w14:textId="77777777" w:rsidR="00461C14" w:rsidRPr="00AA4F21" w:rsidRDefault="00F32AFD" w:rsidP="0085517C">
      <w:pPr>
        <w:pStyle w:val="NApunkts1"/>
        <w:keepNext/>
      </w:pPr>
      <w:r w:rsidRPr="00AA4F21">
        <w:t>Atzīt par spēku zaudējušiem</w:t>
      </w:r>
      <w:r w:rsidR="00461C14" w:rsidRPr="00AA4F21">
        <w:t>:</w:t>
      </w:r>
    </w:p>
    <w:p w14:paraId="102D0DAC" w14:textId="23B90D99" w:rsidR="00461C14" w:rsidRPr="00AA4F21" w:rsidRDefault="00F32AFD" w:rsidP="000271C4">
      <w:pPr>
        <w:pStyle w:val="NApunkts2"/>
      </w:pPr>
      <w:r w:rsidRPr="00AA4F21">
        <w:t>Finanšu un kapitāla tirgus komisijas 2020. gada 22. decembra normatīvos noteikumus Nr. 249 "Apdrošinātāju un pārapdrošinātāju iekšējo modeļu normatīvie noteikumi" (Latvijas Vēstnesis, 2021, Nr. 6)</w:t>
      </w:r>
      <w:r w:rsidR="00461C14" w:rsidRPr="00AA4F21">
        <w:t>;</w:t>
      </w:r>
    </w:p>
    <w:p w14:paraId="08862ADC" w14:textId="0D4B76E9" w:rsidR="00840034" w:rsidRPr="00AA4F21" w:rsidRDefault="005D4D71" w:rsidP="000271C4">
      <w:pPr>
        <w:pStyle w:val="NApunkts2"/>
      </w:pPr>
      <w:r w:rsidRPr="00AA4F21">
        <w:t>Finanšu un kapitāla tirgus komisijas 2015.</w:t>
      </w:r>
      <w:r w:rsidR="00181456" w:rsidRPr="00AA4F21">
        <w:t> </w:t>
      </w:r>
      <w:r w:rsidRPr="00AA4F21">
        <w:t>gada 7.</w:t>
      </w:r>
      <w:r w:rsidR="00181456" w:rsidRPr="00AA4F21">
        <w:t> </w:t>
      </w:r>
      <w:r w:rsidRPr="00AA4F21">
        <w:t>janvāra ieteikumus Nr.</w:t>
      </w:r>
      <w:r w:rsidR="00181456" w:rsidRPr="00AA4F21">
        <w:t> </w:t>
      </w:r>
      <w:r w:rsidRPr="00AA4F21">
        <w:t>1 "Ieteikumi iekšējo modeļu pirms-pieteikuma procesā" (Latvijas Vēstnesis, 2015, Nr. 5)</w:t>
      </w:r>
      <w:r w:rsidR="00F32AFD" w:rsidRPr="00AA4F21">
        <w:t>.</w:t>
      </w:r>
    </w:p>
    <w:p w14:paraId="0A17140A" w14:textId="231D7155" w:rsidR="00130C65" w:rsidRPr="00AA4F21" w:rsidRDefault="00600428" w:rsidP="00CD44FF">
      <w:pPr>
        <w:pStyle w:val="NAnodalaromiesucipari"/>
        <w:numPr>
          <w:ilvl w:val="0"/>
          <w:numId w:val="0"/>
        </w:numPr>
      </w:pPr>
      <w:r w:rsidRPr="00AA4F21">
        <w:t xml:space="preserve">Informatīva atsauce uz Eiropas Savienības </w:t>
      </w:r>
      <w:r w:rsidR="007F368A" w:rsidRPr="00AA4F21">
        <w:t>tiesību</w:t>
      </w:r>
      <w:r w:rsidR="000C0033" w:rsidRPr="00AA4F21">
        <w:t xml:space="preserve"> aktiem</w:t>
      </w:r>
    </w:p>
    <w:p w14:paraId="47C10C8F" w14:textId="77777777" w:rsidR="006E7F84" w:rsidRPr="00AA4F21" w:rsidRDefault="00600428" w:rsidP="00600428">
      <w:pPr>
        <w:pStyle w:val="NApunkts1"/>
        <w:numPr>
          <w:ilvl w:val="0"/>
          <w:numId w:val="0"/>
        </w:numPr>
      </w:pPr>
      <w:r w:rsidRPr="00AA4F21">
        <w:t>Noteikumos iekļautas tiesību normas, kas izriet no</w:t>
      </w:r>
      <w:r w:rsidR="006E7F84" w:rsidRPr="00AA4F21">
        <w:t>:</w:t>
      </w:r>
    </w:p>
    <w:p w14:paraId="739DC2AE" w14:textId="3B91958F" w:rsidR="00130C65" w:rsidRPr="00AA4F21" w:rsidRDefault="00600428" w:rsidP="0085517C">
      <w:pPr>
        <w:pStyle w:val="NApunkts1"/>
        <w:numPr>
          <w:ilvl w:val="0"/>
          <w:numId w:val="9"/>
        </w:numPr>
        <w:spacing w:before="0"/>
        <w:ind w:left="0" w:firstLine="0"/>
      </w:pPr>
      <w:r w:rsidRPr="00AA4F21">
        <w:t xml:space="preserve">Eiropas Parlamenta un Padomes </w:t>
      </w:r>
      <w:r w:rsidR="003F4A10" w:rsidRPr="00AA4F21">
        <w:rPr>
          <w:color w:val="000000"/>
        </w:rPr>
        <w:t>2009. gada 25. novembra</w:t>
      </w:r>
      <w:r w:rsidR="003F4A10" w:rsidRPr="00AA4F21" w:rsidDel="00AA0090">
        <w:rPr>
          <w:color w:val="000000"/>
        </w:rPr>
        <w:t xml:space="preserve"> </w:t>
      </w:r>
      <w:r w:rsidR="003F4A10" w:rsidRPr="00AA4F21">
        <w:rPr>
          <w:color w:val="000000"/>
        </w:rPr>
        <w:t>d</w:t>
      </w:r>
      <w:r w:rsidRPr="00AA4F21">
        <w:t>irektīvas 2009/138/EK par uzņēmējdarbības uzsākšanu un veikšanu apdrošināšanas un pārapdrošināšanas jomā (Maksātspēja</w:t>
      </w:r>
      <w:r w:rsidR="00181456" w:rsidRPr="00AA4F21">
        <w:t> </w:t>
      </w:r>
      <w:r w:rsidRPr="00AA4F21">
        <w:t>II)</w:t>
      </w:r>
      <w:r w:rsidR="006E7F84" w:rsidRPr="00AA4F21">
        <w:t>;</w:t>
      </w:r>
    </w:p>
    <w:p w14:paraId="03672C4B" w14:textId="5B2353F5" w:rsidR="006E7F84" w:rsidRPr="00AA4F21" w:rsidRDefault="006E7F84" w:rsidP="0085517C">
      <w:pPr>
        <w:pStyle w:val="NApunkts1"/>
        <w:numPr>
          <w:ilvl w:val="0"/>
          <w:numId w:val="9"/>
        </w:numPr>
        <w:spacing w:before="0"/>
        <w:ind w:left="0" w:firstLine="0"/>
      </w:pPr>
      <w:r w:rsidRPr="00AA4F21">
        <w:t xml:space="preserve">Eiropas Apdrošināšanas un aroda pensiju iestādes </w:t>
      </w:r>
      <w:r w:rsidR="001C494C" w:rsidRPr="00AA4F21">
        <w:t xml:space="preserve">2013. gada 13. oktobra </w:t>
      </w:r>
      <w:r w:rsidRPr="00AA4F21">
        <w:t>pamatnostādnēm EIOPA</w:t>
      </w:r>
      <w:r w:rsidR="00181456" w:rsidRPr="00AA4F21">
        <w:t> </w:t>
      </w:r>
      <w:r w:rsidRPr="00AA4F21">
        <w:t>CP</w:t>
      </w:r>
      <w:r w:rsidR="00181456" w:rsidRPr="00AA4F21">
        <w:t> </w:t>
      </w:r>
      <w:r w:rsidRPr="00AA4F21">
        <w:t>13/011</w:t>
      </w:r>
      <w:r w:rsidR="00181456" w:rsidRPr="00AA4F21">
        <w:t> </w:t>
      </w:r>
      <w:r w:rsidRPr="00AA4F21">
        <w:t xml:space="preserve">LV "Iekšējo modeļu </w:t>
      </w:r>
      <w:proofErr w:type="spellStart"/>
      <w:r w:rsidRPr="00AA4F21">
        <w:t>pirmspieteikuma</w:t>
      </w:r>
      <w:proofErr w:type="spellEnd"/>
      <w:r w:rsidRPr="00AA4F21">
        <w:t xml:space="preserve"> procesa Vadlīnijas''</w:t>
      </w:r>
      <w:r w:rsidR="003115A7" w:rsidRPr="00AA4F21">
        <w:t>.</w:t>
      </w:r>
    </w:p>
    <w:p w14:paraId="1E26FCC3" w14:textId="77777777" w:rsidR="00FA055C" w:rsidRPr="00AA4F21" w:rsidRDefault="009C7FF1" w:rsidP="009C7FF1">
      <w:pPr>
        <w:pStyle w:val="NApunkts1"/>
        <w:keepNext/>
        <w:keepLines/>
        <w:numPr>
          <w:ilvl w:val="0"/>
          <w:numId w:val="0"/>
        </w:numPr>
        <w:spacing w:before="480" w:after="480"/>
        <w:jc w:val="left"/>
      </w:pPr>
      <w:r w:rsidRPr="00AA4F21">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rsidRPr="00AA4F21" w14:paraId="6D95C828" w14:textId="77777777" w:rsidTr="00811BE5">
        <w:tc>
          <w:tcPr>
            <w:tcW w:w="4928" w:type="dxa"/>
            <w:vAlign w:val="bottom"/>
          </w:tcPr>
          <w:p w14:paraId="58BB7937" w14:textId="57CB317F" w:rsidR="00966987" w:rsidRPr="00AA4F21" w:rsidRDefault="001932F3" w:rsidP="00FA055C">
            <w:pPr>
              <w:pStyle w:val="NoSpacing"/>
              <w:ind w:left="-107"/>
              <w:rPr>
                <w:rFonts w:cs="Times New Roman"/>
              </w:rPr>
            </w:pPr>
            <w:sdt>
              <w:sdtPr>
                <w:rPr>
                  <w:rFonts w:cs="Times New Roman"/>
                </w:rPr>
                <w:alias w:val="Amats"/>
                <w:tag w:val="Amats"/>
                <w:id w:val="45201534"/>
                <w:lock w:val="sdtLocked"/>
                <w:placeholder>
                  <w:docPart w:val="08AFBCAE381640C6B1EFB218265835F8"/>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5451C9" w:rsidRPr="00AA4F21">
                  <w:rPr>
                    <w:rFonts w:cs="Times New Roman"/>
                  </w:rPr>
                  <w:t>Latvijas Bankas prezidents</w:t>
                </w:r>
              </w:sdtContent>
            </w:sdt>
          </w:p>
        </w:tc>
        <w:sdt>
          <w:sdtPr>
            <w:rPr>
              <w:rFonts w:cs="Times New Roman"/>
            </w:rPr>
            <w:alias w:val="V. Uzvārds"/>
            <w:tag w:val="V. Uzvārds"/>
            <w:id w:val="46411162"/>
            <w:lock w:val="sdtLocked"/>
            <w:placeholder>
              <w:docPart w:val="4D7ADF9BEB5F4B638C303723F328FDD7"/>
            </w:placeholder>
          </w:sdtPr>
          <w:sdtEndPr/>
          <w:sdtContent>
            <w:tc>
              <w:tcPr>
                <w:tcW w:w="3792" w:type="dxa"/>
                <w:vAlign w:val="bottom"/>
              </w:tcPr>
              <w:p w14:paraId="2B260B8C" w14:textId="3007FD1E" w:rsidR="00966987" w:rsidRPr="00AA4F21" w:rsidRDefault="00600428" w:rsidP="00C523D5">
                <w:pPr>
                  <w:pStyle w:val="NoSpacing"/>
                  <w:ind w:right="-111"/>
                  <w:jc w:val="right"/>
                  <w:rPr>
                    <w:rFonts w:cs="Times New Roman"/>
                  </w:rPr>
                </w:pPr>
                <w:r w:rsidRPr="00AA4F21">
                  <w:rPr>
                    <w:rFonts w:cs="Times New Roman"/>
                  </w:rPr>
                  <w:t>M.</w:t>
                </w:r>
                <w:r w:rsidR="00181456" w:rsidRPr="00AA4F21">
                  <w:rPr>
                    <w:rFonts w:cs="Times New Roman"/>
                  </w:rPr>
                  <w:t> </w:t>
                </w:r>
                <w:r w:rsidRPr="00AA4F21">
                  <w:rPr>
                    <w:rFonts w:cs="Times New Roman"/>
                  </w:rPr>
                  <w:t>Kazāks</w:t>
                </w:r>
              </w:p>
            </w:tc>
          </w:sdtContent>
        </w:sdt>
      </w:tr>
    </w:tbl>
    <w:p w14:paraId="18F43842" w14:textId="1FEE9DC1" w:rsidR="006D395C" w:rsidRPr="00AA4F21" w:rsidRDefault="006D395C">
      <w:pPr>
        <w:rPr>
          <w:rFonts w:cs="Times New Roman"/>
          <w:szCs w:val="24"/>
        </w:rPr>
      </w:pPr>
    </w:p>
    <w:sectPr w:rsidR="006D395C" w:rsidRPr="00AA4F21" w:rsidSect="00EA6CA5">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ED6D63" w14:textId="77777777" w:rsidR="00ED5ADC" w:rsidRDefault="00ED5ADC" w:rsidP="00AC4B00">
      <w:r>
        <w:separator/>
      </w:r>
    </w:p>
  </w:endnote>
  <w:endnote w:type="continuationSeparator" w:id="0">
    <w:p w14:paraId="01AB4B77" w14:textId="77777777" w:rsidR="00ED5ADC" w:rsidRDefault="00ED5ADC"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8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2AB50B" w14:textId="77777777" w:rsidR="00ED5ADC" w:rsidRDefault="00ED5ADC" w:rsidP="00AC4B00">
      <w:r>
        <w:separator/>
      </w:r>
    </w:p>
  </w:footnote>
  <w:footnote w:type="continuationSeparator" w:id="0">
    <w:p w14:paraId="1A17D089" w14:textId="77777777" w:rsidR="00ED5ADC" w:rsidRDefault="00ED5ADC"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3A1827BD"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EC22E1" w14:textId="77777777" w:rsidR="009C42A8" w:rsidRPr="009C42A8" w:rsidRDefault="00EA6CA5" w:rsidP="00AA4809">
    <w:pPr>
      <w:pStyle w:val="Header"/>
      <w:spacing w:before="560"/>
      <w:jc w:val="center"/>
    </w:pPr>
    <w:r>
      <w:rPr>
        <w:noProof/>
      </w:rPr>
      <w:drawing>
        <wp:inline distT="0" distB="0" distL="0" distR="0" wp14:anchorId="41F6F7EB" wp14:editId="3A91BA3A">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03A22455" wp14:editId="7E587B82">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2E4C38"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080032FA"/>
    <w:lvl w:ilvl="0" w:tplc="1340D2BE">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2F448F"/>
    <w:multiLevelType w:val="multilevel"/>
    <w:tmpl w:val="0BC00C74"/>
    <w:lvl w:ilvl="0">
      <w:start w:val="1"/>
      <w:numFmt w:val="decimal"/>
      <w:suff w:val="space"/>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BA63C8D"/>
    <w:multiLevelType w:val="hybridMultilevel"/>
    <w:tmpl w:val="6302B0E8"/>
    <w:lvl w:ilvl="0" w:tplc="402A1AD2">
      <w:start w:val="1"/>
      <w:numFmt w:val="decimal"/>
      <w:lvlText w:val="%1)"/>
      <w:lvlJc w:val="left"/>
      <w:pPr>
        <w:ind w:left="720" w:hanging="360"/>
      </w:pPr>
    </w:lvl>
    <w:lvl w:ilvl="1" w:tplc="4A56387A">
      <w:start w:val="1"/>
      <w:numFmt w:val="decimal"/>
      <w:lvlText w:val="%2)"/>
      <w:lvlJc w:val="left"/>
      <w:pPr>
        <w:ind w:left="720" w:hanging="360"/>
      </w:pPr>
    </w:lvl>
    <w:lvl w:ilvl="2" w:tplc="FC4C79E6">
      <w:start w:val="1"/>
      <w:numFmt w:val="decimal"/>
      <w:lvlText w:val="%3)"/>
      <w:lvlJc w:val="left"/>
      <w:pPr>
        <w:ind w:left="720" w:hanging="360"/>
      </w:pPr>
    </w:lvl>
    <w:lvl w:ilvl="3" w:tplc="ECF64B72">
      <w:start w:val="1"/>
      <w:numFmt w:val="decimal"/>
      <w:lvlText w:val="%4)"/>
      <w:lvlJc w:val="left"/>
      <w:pPr>
        <w:ind w:left="720" w:hanging="360"/>
      </w:pPr>
    </w:lvl>
    <w:lvl w:ilvl="4" w:tplc="A7DAECDC">
      <w:start w:val="1"/>
      <w:numFmt w:val="decimal"/>
      <w:lvlText w:val="%5)"/>
      <w:lvlJc w:val="left"/>
      <w:pPr>
        <w:ind w:left="720" w:hanging="360"/>
      </w:pPr>
    </w:lvl>
    <w:lvl w:ilvl="5" w:tplc="4FEA2B7C">
      <w:start w:val="1"/>
      <w:numFmt w:val="decimal"/>
      <w:lvlText w:val="%6)"/>
      <w:lvlJc w:val="left"/>
      <w:pPr>
        <w:ind w:left="720" w:hanging="360"/>
      </w:pPr>
    </w:lvl>
    <w:lvl w:ilvl="6" w:tplc="A92A3EF4">
      <w:start w:val="1"/>
      <w:numFmt w:val="decimal"/>
      <w:lvlText w:val="%7)"/>
      <w:lvlJc w:val="left"/>
      <w:pPr>
        <w:ind w:left="720" w:hanging="360"/>
      </w:pPr>
    </w:lvl>
    <w:lvl w:ilvl="7" w:tplc="7C0C48E6">
      <w:start w:val="1"/>
      <w:numFmt w:val="decimal"/>
      <w:lvlText w:val="%8)"/>
      <w:lvlJc w:val="left"/>
      <w:pPr>
        <w:ind w:left="720" w:hanging="360"/>
      </w:pPr>
    </w:lvl>
    <w:lvl w:ilvl="8" w:tplc="240888E2">
      <w:start w:val="1"/>
      <w:numFmt w:val="decimal"/>
      <w:lvlText w:val="%9)"/>
      <w:lvlJc w:val="left"/>
      <w:pPr>
        <w:ind w:left="720" w:hanging="360"/>
      </w:pPr>
    </w:lvl>
  </w:abstractNum>
  <w:num w:numId="1" w16cid:durableId="452135360">
    <w:abstractNumId w:val="2"/>
  </w:num>
  <w:num w:numId="2" w16cid:durableId="765492621">
    <w:abstractNumId w:val="3"/>
  </w:num>
  <w:num w:numId="3" w16cid:durableId="6568832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 w:numId="8" w16cid:durableId="658113590">
    <w:abstractNumId w:val="0"/>
  </w:num>
  <w:num w:numId="9" w16cid:durableId="1347631989">
    <w:abstractNumId w:val="1"/>
  </w:num>
  <w:num w:numId="10" w16cid:durableId="13866350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ADC"/>
    <w:rsid w:val="00001229"/>
    <w:rsid w:val="00003926"/>
    <w:rsid w:val="00006BA2"/>
    <w:rsid w:val="00017C12"/>
    <w:rsid w:val="000239BA"/>
    <w:rsid w:val="000271C4"/>
    <w:rsid w:val="00032F04"/>
    <w:rsid w:val="000412F0"/>
    <w:rsid w:val="00041A31"/>
    <w:rsid w:val="00041CE3"/>
    <w:rsid w:val="00046B7E"/>
    <w:rsid w:val="00046DC7"/>
    <w:rsid w:val="0005052B"/>
    <w:rsid w:val="00051EE3"/>
    <w:rsid w:val="00054336"/>
    <w:rsid w:val="00054362"/>
    <w:rsid w:val="00057385"/>
    <w:rsid w:val="00060D2F"/>
    <w:rsid w:val="00063F88"/>
    <w:rsid w:val="000671DC"/>
    <w:rsid w:val="00070104"/>
    <w:rsid w:val="00081D7E"/>
    <w:rsid w:val="00092F9A"/>
    <w:rsid w:val="000973A6"/>
    <w:rsid w:val="000A39FE"/>
    <w:rsid w:val="000B3673"/>
    <w:rsid w:val="000B41DB"/>
    <w:rsid w:val="000B4736"/>
    <w:rsid w:val="000B4857"/>
    <w:rsid w:val="000B48B7"/>
    <w:rsid w:val="000C0033"/>
    <w:rsid w:val="000D18A5"/>
    <w:rsid w:val="000D2B30"/>
    <w:rsid w:val="000D4F18"/>
    <w:rsid w:val="000D5637"/>
    <w:rsid w:val="000E2856"/>
    <w:rsid w:val="000E4379"/>
    <w:rsid w:val="000F000D"/>
    <w:rsid w:val="001026BB"/>
    <w:rsid w:val="00114245"/>
    <w:rsid w:val="00120AA4"/>
    <w:rsid w:val="00123001"/>
    <w:rsid w:val="001306DB"/>
    <w:rsid w:val="00130C65"/>
    <w:rsid w:val="00131C76"/>
    <w:rsid w:val="00132173"/>
    <w:rsid w:val="00135EE6"/>
    <w:rsid w:val="00142533"/>
    <w:rsid w:val="00145D4F"/>
    <w:rsid w:val="001470EC"/>
    <w:rsid w:val="00151E1B"/>
    <w:rsid w:val="00166215"/>
    <w:rsid w:val="001671F0"/>
    <w:rsid w:val="00181456"/>
    <w:rsid w:val="00182BB6"/>
    <w:rsid w:val="001932F3"/>
    <w:rsid w:val="0019595C"/>
    <w:rsid w:val="00197CCD"/>
    <w:rsid w:val="001A7953"/>
    <w:rsid w:val="001B7A1D"/>
    <w:rsid w:val="001C494C"/>
    <w:rsid w:val="001E4A06"/>
    <w:rsid w:val="001E7D05"/>
    <w:rsid w:val="001F51BD"/>
    <w:rsid w:val="001F53D1"/>
    <w:rsid w:val="002016F8"/>
    <w:rsid w:val="0020605D"/>
    <w:rsid w:val="00215938"/>
    <w:rsid w:val="00216AAD"/>
    <w:rsid w:val="002220E9"/>
    <w:rsid w:val="00232D69"/>
    <w:rsid w:val="0023463E"/>
    <w:rsid w:val="00252628"/>
    <w:rsid w:val="002528E9"/>
    <w:rsid w:val="002573A6"/>
    <w:rsid w:val="00266408"/>
    <w:rsid w:val="0026765A"/>
    <w:rsid w:val="0027143B"/>
    <w:rsid w:val="002728B2"/>
    <w:rsid w:val="002754EB"/>
    <w:rsid w:val="002756BF"/>
    <w:rsid w:val="00284DD5"/>
    <w:rsid w:val="00294F01"/>
    <w:rsid w:val="002A617A"/>
    <w:rsid w:val="002B42F2"/>
    <w:rsid w:val="002C08EB"/>
    <w:rsid w:val="002C2F0F"/>
    <w:rsid w:val="002C2F60"/>
    <w:rsid w:val="002C6FD2"/>
    <w:rsid w:val="002D7F99"/>
    <w:rsid w:val="002E2A44"/>
    <w:rsid w:val="002E4D50"/>
    <w:rsid w:val="002F1827"/>
    <w:rsid w:val="002F6068"/>
    <w:rsid w:val="00301089"/>
    <w:rsid w:val="003115A7"/>
    <w:rsid w:val="00311694"/>
    <w:rsid w:val="003130FB"/>
    <w:rsid w:val="00326E65"/>
    <w:rsid w:val="00330899"/>
    <w:rsid w:val="00333D26"/>
    <w:rsid w:val="00334BEC"/>
    <w:rsid w:val="00351E29"/>
    <w:rsid w:val="003601A0"/>
    <w:rsid w:val="003632F5"/>
    <w:rsid w:val="00365CD6"/>
    <w:rsid w:val="00366379"/>
    <w:rsid w:val="00373960"/>
    <w:rsid w:val="00373AEA"/>
    <w:rsid w:val="0038017B"/>
    <w:rsid w:val="00385699"/>
    <w:rsid w:val="00385D6F"/>
    <w:rsid w:val="00390527"/>
    <w:rsid w:val="00392380"/>
    <w:rsid w:val="003A09F5"/>
    <w:rsid w:val="003A1D99"/>
    <w:rsid w:val="003A5F1D"/>
    <w:rsid w:val="003B122C"/>
    <w:rsid w:val="003B1428"/>
    <w:rsid w:val="003B6A62"/>
    <w:rsid w:val="003C1EF2"/>
    <w:rsid w:val="003D3281"/>
    <w:rsid w:val="003D3417"/>
    <w:rsid w:val="003D404A"/>
    <w:rsid w:val="003E088C"/>
    <w:rsid w:val="003E0FBE"/>
    <w:rsid w:val="003E3B26"/>
    <w:rsid w:val="003E46F5"/>
    <w:rsid w:val="003E47EE"/>
    <w:rsid w:val="003F4A10"/>
    <w:rsid w:val="00402B09"/>
    <w:rsid w:val="004038FE"/>
    <w:rsid w:val="00403FF6"/>
    <w:rsid w:val="00405BF8"/>
    <w:rsid w:val="00405DF6"/>
    <w:rsid w:val="0041550A"/>
    <w:rsid w:val="004163B8"/>
    <w:rsid w:val="00421296"/>
    <w:rsid w:val="004239C6"/>
    <w:rsid w:val="004357AE"/>
    <w:rsid w:val="00440CAF"/>
    <w:rsid w:val="00441CC6"/>
    <w:rsid w:val="00444212"/>
    <w:rsid w:val="00453CF2"/>
    <w:rsid w:val="004567FB"/>
    <w:rsid w:val="00461C14"/>
    <w:rsid w:val="00463E5D"/>
    <w:rsid w:val="00470B6A"/>
    <w:rsid w:val="00470E5A"/>
    <w:rsid w:val="00475806"/>
    <w:rsid w:val="00477DC1"/>
    <w:rsid w:val="00480417"/>
    <w:rsid w:val="0049232C"/>
    <w:rsid w:val="00494F21"/>
    <w:rsid w:val="004A212D"/>
    <w:rsid w:val="004A63EE"/>
    <w:rsid w:val="004A73BC"/>
    <w:rsid w:val="004A7BB8"/>
    <w:rsid w:val="004B092F"/>
    <w:rsid w:val="004D0CC5"/>
    <w:rsid w:val="004E3633"/>
    <w:rsid w:val="004E4367"/>
    <w:rsid w:val="004F2BC9"/>
    <w:rsid w:val="004F3EE7"/>
    <w:rsid w:val="004F6D30"/>
    <w:rsid w:val="005153F1"/>
    <w:rsid w:val="0051668E"/>
    <w:rsid w:val="005216FA"/>
    <w:rsid w:val="005226D2"/>
    <w:rsid w:val="00531143"/>
    <w:rsid w:val="00532E20"/>
    <w:rsid w:val="00535B61"/>
    <w:rsid w:val="005451C9"/>
    <w:rsid w:val="00553206"/>
    <w:rsid w:val="00555068"/>
    <w:rsid w:val="005551F4"/>
    <w:rsid w:val="005778F7"/>
    <w:rsid w:val="00577C9C"/>
    <w:rsid w:val="00581471"/>
    <w:rsid w:val="005A07FF"/>
    <w:rsid w:val="005A20BA"/>
    <w:rsid w:val="005A22DF"/>
    <w:rsid w:val="005A5466"/>
    <w:rsid w:val="005A78C2"/>
    <w:rsid w:val="005B0F2A"/>
    <w:rsid w:val="005B116D"/>
    <w:rsid w:val="005B3CA1"/>
    <w:rsid w:val="005C1886"/>
    <w:rsid w:val="005C2425"/>
    <w:rsid w:val="005C2E6E"/>
    <w:rsid w:val="005C43B0"/>
    <w:rsid w:val="005C4F9F"/>
    <w:rsid w:val="005D4D28"/>
    <w:rsid w:val="005D4D71"/>
    <w:rsid w:val="005D77E4"/>
    <w:rsid w:val="005E1A92"/>
    <w:rsid w:val="005E4E0A"/>
    <w:rsid w:val="005E582F"/>
    <w:rsid w:val="005F100F"/>
    <w:rsid w:val="005F1A95"/>
    <w:rsid w:val="005F62A8"/>
    <w:rsid w:val="005F65BC"/>
    <w:rsid w:val="00600428"/>
    <w:rsid w:val="00601D3E"/>
    <w:rsid w:val="00620ED3"/>
    <w:rsid w:val="00622F0D"/>
    <w:rsid w:val="00623E00"/>
    <w:rsid w:val="00626D42"/>
    <w:rsid w:val="0063062E"/>
    <w:rsid w:val="00632B16"/>
    <w:rsid w:val="00642034"/>
    <w:rsid w:val="00643BB9"/>
    <w:rsid w:val="00657AD8"/>
    <w:rsid w:val="00657EBB"/>
    <w:rsid w:val="00671C3D"/>
    <w:rsid w:val="006735A2"/>
    <w:rsid w:val="00676B39"/>
    <w:rsid w:val="00677BD2"/>
    <w:rsid w:val="006833E1"/>
    <w:rsid w:val="0068487E"/>
    <w:rsid w:val="006879AC"/>
    <w:rsid w:val="00690B67"/>
    <w:rsid w:val="006979C1"/>
    <w:rsid w:val="006A70E0"/>
    <w:rsid w:val="006A735F"/>
    <w:rsid w:val="006A7AD4"/>
    <w:rsid w:val="006B12C0"/>
    <w:rsid w:val="006B6C09"/>
    <w:rsid w:val="006C33DF"/>
    <w:rsid w:val="006C5377"/>
    <w:rsid w:val="006C5DFD"/>
    <w:rsid w:val="006D2AD8"/>
    <w:rsid w:val="006D395C"/>
    <w:rsid w:val="006D5340"/>
    <w:rsid w:val="006E6DD0"/>
    <w:rsid w:val="006E7F84"/>
    <w:rsid w:val="006F50F2"/>
    <w:rsid w:val="006F5854"/>
    <w:rsid w:val="00704600"/>
    <w:rsid w:val="0071357E"/>
    <w:rsid w:val="00724F24"/>
    <w:rsid w:val="00733D91"/>
    <w:rsid w:val="00735C5F"/>
    <w:rsid w:val="00740844"/>
    <w:rsid w:val="00746777"/>
    <w:rsid w:val="00746FE1"/>
    <w:rsid w:val="00754B84"/>
    <w:rsid w:val="007577AE"/>
    <w:rsid w:val="007616A1"/>
    <w:rsid w:val="00761AD6"/>
    <w:rsid w:val="00762959"/>
    <w:rsid w:val="00763B2B"/>
    <w:rsid w:val="0076452B"/>
    <w:rsid w:val="00770489"/>
    <w:rsid w:val="00771CB0"/>
    <w:rsid w:val="007721A7"/>
    <w:rsid w:val="007742DA"/>
    <w:rsid w:val="0077573E"/>
    <w:rsid w:val="00781A3D"/>
    <w:rsid w:val="007834E5"/>
    <w:rsid w:val="00784DCB"/>
    <w:rsid w:val="0079205D"/>
    <w:rsid w:val="00792B69"/>
    <w:rsid w:val="007A05A7"/>
    <w:rsid w:val="007A4159"/>
    <w:rsid w:val="007A435E"/>
    <w:rsid w:val="007C2F29"/>
    <w:rsid w:val="007D286B"/>
    <w:rsid w:val="007D28F5"/>
    <w:rsid w:val="007D5F9A"/>
    <w:rsid w:val="007D6551"/>
    <w:rsid w:val="007D6DA9"/>
    <w:rsid w:val="007E0678"/>
    <w:rsid w:val="007F2179"/>
    <w:rsid w:val="007F368A"/>
    <w:rsid w:val="007F4A16"/>
    <w:rsid w:val="007F51AD"/>
    <w:rsid w:val="008032A4"/>
    <w:rsid w:val="00803C74"/>
    <w:rsid w:val="00811BE5"/>
    <w:rsid w:val="0083221C"/>
    <w:rsid w:val="00834230"/>
    <w:rsid w:val="00840034"/>
    <w:rsid w:val="008422C1"/>
    <w:rsid w:val="00845C0E"/>
    <w:rsid w:val="0084631E"/>
    <w:rsid w:val="008548A6"/>
    <w:rsid w:val="0085517C"/>
    <w:rsid w:val="008575CE"/>
    <w:rsid w:val="00862E2D"/>
    <w:rsid w:val="0086737E"/>
    <w:rsid w:val="008738FB"/>
    <w:rsid w:val="00891A93"/>
    <w:rsid w:val="00895336"/>
    <w:rsid w:val="008A529A"/>
    <w:rsid w:val="008A794C"/>
    <w:rsid w:val="008B39D3"/>
    <w:rsid w:val="008B64D4"/>
    <w:rsid w:val="008B681B"/>
    <w:rsid w:val="008C4920"/>
    <w:rsid w:val="008C5A60"/>
    <w:rsid w:val="008D1286"/>
    <w:rsid w:val="008D3C85"/>
    <w:rsid w:val="008D69DB"/>
    <w:rsid w:val="008E03DD"/>
    <w:rsid w:val="008F3272"/>
    <w:rsid w:val="008F7B77"/>
    <w:rsid w:val="00902C45"/>
    <w:rsid w:val="0091015F"/>
    <w:rsid w:val="00914E2B"/>
    <w:rsid w:val="00916CA5"/>
    <w:rsid w:val="00917F09"/>
    <w:rsid w:val="0092433E"/>
    <w:rsid w:val="00926D2C"/>
    <w:rsid w:val="00927CBB"/>
    <w:rsid w:val="00931682"/>
    <w:rsid w:val="00932794"/>
    <w:rsid w:val="00934ACC"/>
    <w:rsid w:val="00937AA2"/>
    <w:rsid w:val="009400BA"/>
    <w:rsid w:val="00944EE2"/>
    <w:rsid w:val="009555E8"/>
    <w:rsid w:val="00957E8C"/>
    <w:rsid w:val="00960648"/>
    <w:rsid w:val="00962F4A"/>
    <w:rsid w:val="00966987"/>
    <w:rsid w:val="00966FB8"/>
    <w:rsid w:val="0097116F"/>
    <w:rsid w:val="00973B1E"/>
    <w:rsid w:val="0098115D"/>
    <w:rsid w:val="00983B06"/>
    <w:rsid w:val="00985755"/>
    <w:rsid w:val="00991D6F"/>
    <w:rsid w:val="009A43CE"/>
    <w:rsid w:val="009A5519"/>
    <w:rsid w:val="009B042A"/>
    <w:rsid w:val="009B7B30"/>
    <w:rsid w:val="009C0A87"/>
    <w:rsid w:val="009C42A8"/>
    <w:rsid w:val="009C6DDF"/>
    <w:rsid w:val="009C7671"/>
    <w:rsid w:val="009C7FF1"/>
    <w:rsid w:val="009D132E"/>
    <w:rsid w:val="009D6DC8"/>
    <w:rsid w:val="009E0DC1"/>
    <w:rsid w:val="009E0DDB"/>
    <w:rsid w:val="009E48AF"/>
    <w:rsid w:val="009E6DA4"/>
    <w:rsid w:val="009F2C75"/>
    <w:rsid w:val="00A14FD2"/>
    <w:rsid w:val="00A24CF1"/>
    <w:rsid w:val="00A34E8B"/>
    <w:rsid w:val="00A35387"/>
    <w:rsid w:val="00A44CE0"/>
    <w:rsid w:val="00A457E8"/>
    <w:rsid w:val="00A45CCD"/>
    <w:rsid w:val="00A464F9"/>
    <w:rsid w:val="00A5087E"/>
    <w:rsid w:val="00A56918"/>
    <w:rsid w:val="00A57663"/>
    <w:rsid w:val="00A64981"/>
    <w:rsid w:val="00A666FF"/>
    <w:rsid w:val="00A72A98"/>
    <w:rsid w:val="00A8178F"/>
    <w:rsid w:val="00A849F9"/>
    <w:rsid w:val="00AA1C50"/>
    <w:rsid w:val="00AA4809"/>
    <w:rsid w:val="00AA4F21"/>
    <w:rsid w:val="00AB0BEE"/>
    <w:rsid w:val="00AB1D58"/>
    <w:rsid w:val="00AB2AF3"/>
    <w:rsid w:val="00AC4B00"/>
    <w:rsid w:val="00AC6EC8"/>
    <w:rsid w:val="00AD5DBF"/>
    <w:rsid w:val="00AD65E6"/>
    <w:rsid w:val="00AE7062"/>
    <w:rsid w:val="00AE7BBE"/>
    <w:rsid w:val="00AF06D9"/>
    <w:rsid w:val="00AF236D"/>
    <w:rsid w:val="00B00640"/>
    <w:rsid w:val="00B100A8"/>
    <w:rsid w:val="00B11529"/>
    <w:rsid w:val="00B1470C"/>
    <w:rsid w:val="00B22E69"/>
    <w:rsid w:val="00B31CE7"/>
    <w:rsid w:val="00B400EE"/>
    <w:rsid w:val="00B414EE"/>
    <w:rsid w:val="00B42744"/>
    <w:rsid w:val="00B519D0"/>
    <w:rsid w:val="00B55645"/>
    <w:rsid w:val="00B578BF"/>
    <w:rsid w:val="00B62B07"/>
    <w:rsid w:val="00B64755"/>
    <w:rsid w:val="00B85E98"/>
    <w:rsid w:val="00B933F4"/>
    <w:rsid w:val="00B94B2E"/>
    <w:rsid w:val="00BA028F"/>
    <w:rsid w:val="00BA5133"/>
    <w:rsid w:val="00BB006A"/>
    <w:rsid w:val="00BB311D"/>
    <w:rsid w:val="00BB3763"/>
    <w:rsid w:val="00BC70C7"/>
    <w:rsid w:val="00BD0D4D"/>
    <w:rsid w:val="00BF0E8D"/>
    <w:rsid w:val="00BF21FF"/>
    <w:rsid w:val="00BF41BD"/>
    <w:rsid w:val="00BF5744"/>
    <w:rsid w:val="00C1286D"/>
    <w:rsid w:val="00C13664"/>
    <w:rsid w:val="00C13B33"/>
    <w:rsid w:val="00C14EE4"/>
    <w:rsid w:val="00C2284A"/>
    <w:rsid w:val="00C23D14"/>
    <w:rsid w:val="00C36400"/>
    <w:rsid w:val="00C378F8"/>
    <w:rsid w:val="00C443AC"/>
    <w:rsid w:val="00C500F8"/>
    <w:rsid w:val="00C523D5"/>
    <w:rsid w:val="00C54D54"/>
    <w:rsid w:val="00C5530F"/>
    <w:rsid w:val="00C55CF2"/>
    <w:rsid w:val="00C624EC"/>
    <w:rsid w:val="00C66E83"/>
    <w:rsid w:val="00C73633"/>
    <w:rsid w:val="00C902AC"/>
    <w:rsid w:val="00CA40FF"/>
    <w:rsid w:val="00CA76F0"/>
    <w:rsid w:val="00CA78AB"/>
    <w:rsid w:val="00CB559F"/>
    <w:rsid w:val="00CB73F1"/>
    <w:rsid w:val="00CC18A1"/>
    <w:rsid w:val="00CC23BD"/>
    <w:rsid w:val="00CC2E95"/>
    <w:rsid w:val="00CC367A"/>
    <w:rsid w:val="00CD220F"/>
    <w:rsid w:val="00CD2DB0"/>
    <w:rsid w:val="00CD3BD9"/>
    <w:rsid w:val="00CD44FF"/>
    <w:rsid w:val="00CF43D0"/>
    <w:rsid w:val="00CF6323"/>
    <w:rsid w:val="00CF7AE3"/>
    <w:rsid w:val="00D024EE"/>
    <w:rsid w:val="00D02919"/>
    <w:rsid w:val="00D07390"/>
    <w:rsid w:val="00D1410C"/>
    <w:rsid w:val="00D26119"/>
    <w:rsid w:val="00D3002C"/>
    <w:rsid w:val="00D309B1"/>
    <w:rsid w:val="00D30CC9"/>
    <w:rsid w:val="00D37365"/>
    <w:rsid w:val="00D4242A"/>
    <w:rsid w:val="00D511CB"/>
    <w:rsid w:val="00D602EE"/>
    <w:rsid w:val="00D71A93"/>
    <w:rsid w:val="00D75194"/>
    <w:rsid w:val="00D76E4A"/>
    <w:rsid w:val="00D802A9"/>
    <w:rsid w:val="00D84D95"/>
    <w:rsid w:val="00D87834"/>
    <w:rsid w:val="00DA25F1"/>
    <w:rsid w:val="00DA7146"/>
    <w:rsid w:val="00DB385B"/>
    <w:rsid w:val="00DB66D4"/>
    <w:rsid w:val="00DB784C"/>
    <w:rsid w:val="00DC0C82"/>
    <w:rsid w:val="00DC170E"/>
    <w:rsid w:val="00DD3C90"/>
    <w:rsid w:val="00DD49D8"/>
    <w:rsid w:val="00DE1C7C"/>
    <w:rsid w:val="00DE1F09"/>
    <w:rsid w:val="00DE20E3"/>
    <w:rsid w:val="00DE3861"/>
    <w:rsid w:val="00DE48BE"/>
    <w:rsid w:val="00DE5516"/>
    <w:rsid w:val="00DE671B"/>
    <w:rsid w:val="00DE6CA0"/>
    <w:rsid w:val="00DE6E7D"/>
    <w:rsid w:val="00DF4389"/>
    <w:rsid w:val="00E16344"/>
    <w:rsid w:val="00E21104"/>
    <w:rsid w:val="00E3010C"/>
    <w:rsid w:val="00E3140C"/>
    <w:rsid w:val="00E35D72"/>
    <w:rsid w:val="00E36793"/>
    <w:rsid w:val="00E3696A"/>
    <w:rsid w:val="00E403FE"/>
    <w:rsid w:val="00E46210"/>
    <w:rsid w:val="00E4729B"/>
    <w:rsid w:val="00E476AD"/>
    <w:rsid w:val="00E6313A"/>
    <w:rsid w:val="00E70723"/>
    <w:rsid w:val="00E76F9E"/>
    <w:rsid w:val="00E818D0"/>
    <w:rsid w:val="00E84145"/>
    <w:rsid w:val="00EA6CA5"/>
    <w:rsid w:val="00EB1556"/>
    <w:rsid w:val="00EB4731"/>
    <w:rsid w:val="00EB568F"/>
    <w:rsid w:val="00EC1D6E"/>
    <w:rsid w:val="00ED5ADC"/>
    <w:rsid w:val="00ED62D4"/>
    <w:rsid w:val="00ED77C1"/>
    <w:rsid w:val="00ED7B14"/>
    <w:rsid w:val="00EE4D91"/>
    <w:rsid w:val="00EF19BB"/>
    <w:rsid w:val="00EF6956"/>
    <w:rsid w:val="00F018B2"/>
    <w:rsid w:val="00F035D6"/>
    <w:rsid w:val="00F04901"/>
    <w:rsid w:val="00F05ADD"/>
    <w:rsid w:val="00F10222"/>
    <w:rsid w:val="00F10A0C"/>
    <w:rsid w:val="00F1192F"/>
    <w:rsid w:val="00F13DD7"/>
    <w:rsid w:val="00F15FC7"/>
    <w:rsid w:val="00F22793"/>
    <w:rsid w:val="00F24B4D"/>
    <w:rsid w:val="00F306D8"/>
    <w:rsid w:val="00F30773"/>
    <w:rsid w:val="00F30F87"/>
    <w:rsid w:val="00F3140E"/>
    <w:rsid w:val="00F32AFD"/>
    <w:rsid w:val="00F3441F"/>
    <w:rsid w:val="00F3791E"/>
    <w:rsid w:val="00F51202"/>
    <w:rsid w:val="00F545E4"/>
    <w:rsid w:val="00F5647B"/>
    <w:rsid w:val="00F639B6"/>
    <w:rsid w:val="00F74E23"/>
    <w:rsid w:val="00F75A2C"/>
    <w:rsid w:val="00F8030A"/>
    <w:rsid w:val="00F84CD0"/>
    <w:rsid w:val="00F8643C"/>
    <w:rsid w:val="00F91ECF"/>
    <w:rsid w:val="00FA055C"/>
    <w:rsid w:val="00FA32EC"/>
    <w:rsid w:val="00FA7AE0"/>
    <w:rsid w:val="00FB1572"/>
    <w:rsid w:val="00FC33DF"/>
    <w:rsid w:val="00FD14F3"/>
    <w:rsid w:val="00FD37FA"/>
    <w:rsid w:val="00FE54E0"/>
    <w:rsid w:val="00FE566A"/>
    <w:rsid w:val="00FE5DD6"/>
    <w:rsid w:val="00FE5F54"/>
    <w:rsid w:val="00FF4783"/>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7BD83A"/>
  <w15:docId w15:val="{4AC17407-6A49-482C-980C-E5FB1E9BD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CD44FF"/>
    <w:pPr>
      <w:keepNext/>
      <w:numPr>
        <w:numId w:val="7"/>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paragraph" w:styleId="Revision">
    <w:name w:val="Revision"/>
    <w:hidden/>
    <w:uiPriority w:val="99"/>
    <w:semiHidden/>
    <w:rsid w:val="005451C9"/>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A666FF"/>
    <w:rPr>
      <w:sz w:val="16"/>
      <w:szCs w:val="16"/>
    </w:rPr>
  </w:style>
  <w:style w:type="paragraph" w:styleId="CommentText">
    <w:name w:val="annotation text"/>
    <w:basedOn w:val="Normal"/>
    <w:link w:val="CommentTextChar"/>
    <w:uiPriority w:val="99"/>
    <w:unhideWhenUsed/>
    <w:rsid w:val="00A666FF"/>
    <w:rPr>
      <w:sz w:val="20"/>
      <w:szCs w:val="20"/>
    </w:rPr>
  </w:style>
  <w:style w:type="character" w:customStyle="1" w:styleId="CommentTextChar">
    <w:name w:val="Comment Text Char"/>
    <w:basedOn w:val="DefaultParagraphFont"/>
    <w:link w:val="CommentText"/>
    <w:uiPriority w:val="99"/>
    <w:rsid w:val="00A666FF"/>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666FF"/>
    <w:rPr>
      <w:b/>
      <w:bCs/>
    </w:rPr>
  </w:style>
  <w:style w:type="character" w:customStyle="1" w:styleId="CommentSubjectChar">
    <w:name w:val="Comment Subject Char"/>
    <w:basedOn w:val="CommentTextChar"/>
    <w:link w:val="CommentSubject"/>
    <w:uiPriority w:val="99"/>
    <w:semiHidden/>
    <w:rsid w:val="00A666FF"/>
    <w:rPr>
      <w:rFonts w:ascii="Times New Roman" w:hAnsi="Times New Roman"/>
      <w:b/>
      <w:bCs/>
      <w:sz w:val="20"/>
      <w:szCs w:val="20"/>
    </w:rPr>
  </w:style>
  <w:style w:type="character" w:styleId="Hyperlink">
    <w:name w:val="Hyperlink"/>
    <w:basedOn w:val="DefaultParagraphFont"/>
    <w:uiPriority w:val="99"/>
    <w:unhideWhenUsed/>
    <w:rsid w:val="00390527"/>
    <w:rPr>
      <w:color w:val="0000FF" w:themeColor="hyperlink"/>
      <w:u w:val="single"/>
    </w:rPr>
  </w:style>
  <w:style w:type="character" w:styleId="UnresolvedMention">
    <w:name w:val="Unresolved Mention"/>
    <w:basedOn w:val="DefaultParagraphFont"/>
    <w:uiPriority w:val="99"/>
    <w:semiHidden/>
    <w:unhideWhenUsed/>
    <w:rsid w:val="003905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6B6F63EE6044FF9A73D0CCF64436A13"/>
        <w:category>
          <w:name w:val="General"/>
          <w:gallery w:val="placeholder"/>
        </w:category>
        <w:types>
          <w:type w:val="bbPlcHdr"/>
        </w:types>
        <w:behaviors>
          <w:behavior w:val="content"/>
        </w:behaviors>
        <w:guid w:val="{FFC9138C-928F-4C72-9838-727C66DE2036}"/>
      </w:docPartPr>
      <w:docPartBody>
        <w:p w:rsidR="00154D9F" w:rsidRDefault="00154D9F">
          <w:pPr>
            <w:pStyle w:val="E6B6F63EE6044FF9A73D0CCF64436A13"/>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C32983148CA3423A8F91029500577091"/>
        <w:category>
          <w:name w:val="General"/>
          <w:gallery w:val="placeholder"/>
        </w:category>
        <w:types>
          <w:type w:val="bbPlcHdr"/>
        </w:types>
        <w:behaviors>
          <w:behavior w:val="content"/>
        </w:behaviors>
        <w:guid w:val="{29631B33-F80A-47C1-8B2E-75C46FFD4B7B}"/>
      </w:docPartPr>
      <w:docPartBody>
        <w:p w:rsidR="00154D9F" w:rsidRDefault="00154D9F">
          <w:pPr>
            <w:pStyle w:val="C32983148CA3423A8F91029500577091"/>
          </w:pPr>
          <w:r w:rsidRPr="00811BE5">
            <w:rPr>
              <w:color w:val="808080" w:themeColor="background1" w:themeShade="80"/>
            </w:rPr>
            <w:t>[Datums]</w:t>
          </w:r>
        </w:p>
      </w:docPartBody>
    </w:docPart>
    <w:docPart>
      <w:docPartPr>
        <w:name w:val="55E7B1EBA4904704998556649C3DB27D"/>
        <w:category>
          <w:name w:val="General"/>
          <w:gallery w:val="placeholder"/>
        </w:category>
        <w:types>
          <w:type w:val="bbPlcHdr"/>
        </w:types>
        <w:behaviors>
          <w:behavior w:val="content"/>
        </w:behaviors>
        <w:guid w:val="{A20EDE9F-2B43-4F80-9B3F-0D6B73A02395}"/>
      </w:docPartPr>
      <w:docPartBody>
        <w:p w:rsidR="00154D9F" w:rsidRDefault="00154D9F">
          <w:pPr>
            <w:pStyle w:val="55E7B1EBA4904704998556649C3DB27D"/>
          </w:pPr>
          <w:r>
            <w:t xml:space="preserve">Noteikumi </w:t>
          </w:r>
        </w:p>
      </w:docPartBody>
    </w:docPart>
    <w:docPart>
      <w:docPartPr>
        <w:name w:val="061221936D3240268860FEC9C9780ECA"/>
        <w:category>
          <w:name w:val="General"/>
          <w:gallery w:val="placeholder"/>
        </w:category>
        <w:types>
          <w:type w:val="bbPlcHdr"/>
        </w:types>
        <w:behaviors>
          <w:behavior w:val="content"/>
        </w:behaviors>
        <w:guid w:val="{928753A6-06E2-4DFB-AF85-691C83D4670A}"/>
      </w:docPartPr>
      <w:docPartBody>
        <w:p w:rsidR="00154D9F" w:rsidRDefault="00154D9F">
          <w:pPr>
            <w:pStyle w:val="061221936D3240268860FEC9C9780ECA"/>
          </w:pPr>
          <w:r>
            <w:t xml:space="preserve">Nr. </w:t>
          </w:r>
        </w:p>
      </w:docPartBody>
    </w:docPart>
    <w:docPart>
      <w:docPartPr>
        <w:name w:val="4FAC0F4715A74D16830B16A8391B7221"/>
        <w:category>
          <w:name w:val="General"/>
          <w:gallery w:val="placeholder"/>
        </w:category>
        <w:types>
          <w:type w:val="bbPlcHdr"/>
        </w:types>
        <w:behaviors>
          <w:behavior w:val="content"/>
        </w:behaviors>
        <w:guid w:val="{4A38A6FB-7F73-4B64-8A33-DE32EDBDE4EA}"/>
      </w:docPartPr>
      <w:docPartBody>
        <w:p w:rsidR="00154D9F" w:rsidRDefault="00154D9F">
          <w:pPr>
            <w:pStyle w:val="4FAC0F4715A74D16830B16A8391B7221"/>
          </w:pPr>
          <w:r>
            <w:t>_____</w:t>
          </w:r>
        </w:p>
      </w:docPartBody>
    </w:docPart>
    <w:docPart>
      <w:docPartPr>
        <w:name w:val="EC3306E845274E839D3DCB69E21041D5"/>
        <w:category>
          <w:name w:val="General"/>
          <w:gallery w:val="placeholder"/>
        </w:category>
        <w:types>
          <w:type w:val="bbPlcHdr"/>
        </w:types>
        <w:behaviors>
          <w:behavior w:val="content"/>
        </w:behaviors>
        <w:guid w:val="{F5F23740-28C2-4FB8-8666-C7B7B9DDD1FC}"/>
      </w:docPartPr>
      <w:docPartBody>
        <w:p w:rsidR="00154D9F" w:rsidRDefault="00154D9F">
          <w:pPr>
            <w:pStyle w:val="EC3306E845274E839D3DCB69E21041D5"/>
          </w:pPr>
          <w:r>
            <w:rPr>
              <w:rFonts w:cs="Times New Roman"/>
            </w:rPr>
            <w:t>Rīgā</w:t>
          </w:r>
        </w:p>
      </w:docPartBody>
    </w:docPart>
    <w:docPart>
      <w:docPartPr>
        <w:name w:val="8F85571CE2064DEB80D0594384E93DB6"/>
        <w:category>
          <w:name w:val="General"/>
          <w:gallery w:val="placeholder"/>
        </w:category>
        <w:types>
          <w:type w:val="bbPlcHdr"/>
        </w:types>
        <w:behaviors>
          <w:behavior w:val="content"/>
        </w:behaviors>
        <w:guid w:val="{7DD989E4-B9D3-4651-AAF2-6AC7E0DEE655}"/>
      </w:docPartPr>
      <w:docPartBody>
        <w:p w:rsidR="00154D9F" w:rsidRDefault="00154D9F">
          <w:pPr>
            <w:pStyle w:val="8F85571CE2064DEB80D0594384E93DB6"/>
          </w:pPr>
          <w:r w:rsidRPr="00F5647B">
            <w:rPr>
              <w:rStyle w:val="PlaceholderText"/>
              <w:b/>
            </w:rPr>
            <w:t>[Nosaukums]</w:t>
          </w:r>
        </w:p>
      </w:docPartBody>
    </w:docPart>
    <w:docPart>
      <w:docPartPr>
        <w:name w:val="21BBDF7252FC4F90B1E2430A1322FA5C"/>
        <w:category>
          <w:name w:val="General"/>
          <w:gallery w:val="placeholder"/>
        </w:category>
        <w:types>
          <w:type w:val="bbPlcHdr"/>
        </w:types>
        <w:behaviors>
          <w:behavior w:val="content"/>
        </w:behaviors>
        <w:guid w:val="{4150737B-3590-4ECB-AB0E-C85B632F6500}"/>
      </w:docPartPr>
      <w:docPartBody>
        <w:p w:rsidR="00154D9F" w:rsidRDefault="00154D9F">
          <w:pPr>
            <w:pStyle w:val="21BBDF7252FC4F90B1E2430A1322FA5C"/>
          </w:pPr>
          <w:r>
            <w:rPr>
              <w:rFonts w:cs="Times New Roman"/>
            </w:rPr>
            <w:t xml:space="preserve">Izdoti </w:t>
          </w:r>
        </w:p>
      </w:docPartBody>
    </w:docPart>
    <w:docPart>
      <w:docPartPr>
        <w:name w:val="12ED15D3DBA0465187320405CCDCB041"/>
        <w:category>
          <w:name w:val="General"/>
          <w:gallery w:val="placeholder"/>
        </w:category>
        <w:types>
          <w:type w:val="bbPlcHdr"/>
        </w:types>
        <w:behaviors>
          <w:behavior w:val="content"/>
        </w:behaviors>
        <w:guid w:val="{A369D93D-AFEE-4386-92A8-B7CA45EB3860}"/>
      </w:docPartPr>
      <w:docPartBody>
        <w:p w:rsidR="00154D9F" w:rsidRDefault="00154D9F">
          <w:pPr>
            <w:pStyle w:val="12ED15D3DBA0465187320405CCDCB041"/>
          </w:pPr>
          <w:r>
            <w:rPr>
              <w:rFonts w:cs="Times New Roman"/>
            </w:rPr>
            <w:t>saskaņā ar</w:t>
          </w:r>
        </w:p>
      </w:docPartBody>
    </w:docPart>
    <w:docPart>
      <w:docPartPr>
        <w:name w:val="EF7752C9FB5B4D4A9B0817A6AB2FAC74"/>
        <w:category>
          <w:name w:val="General"/>
          <w:gallery w:val="placeholder"/>
        </w:category>
        <w:types>
          <w:type w:val="bbPlcHdr"/>
        </w:types>
        <w:behaviors>
          <w:behavior w:val="content"/>
        </w:behaviors>
        <w:guid w:val="{B1E4190F-5967-408C-8A44-8D2762566791}"/>
      </w:docPartPr>
      <w:docPartBody>
        <w:p w:rsidR="00154D9F" w:rsidRDefault="00154D9F">
          <w:pPr>
            <w:pStyle w:val="EF7752C9FB5B4D4A9B0817A6AB2FAC74"/>
          </w:pPr>
          <w:r w:rsidRPr="00301089">
            <w:rPr>
              <w:rStyle w:val="PlaceholderText"/>
            </w:rPr>
            <w:t>[likuma]</w:t>
          </w:r>
        </w:p>
      </w:docPartBody>
    </w:docPart>
    <w:docPart>
      <w:docPartPr>
        <w:name w:val="F2EE07F15A864779B6F43CD434F852AB"/>
        <w:category>
          <w:name w:val="General"/>
          <w:gallery w:val="placeholder"/>
        </w:category>
        <w:types>
          <w:type w:val="bbPlcHdr"/>
        </w:types>
        <w:behaviors>
          <w:behavior w:val="content"/>
        </w:behaviors>
        <w:guid w:val="{2A5A7820-6A54-4681-BE86-8E9F052ADBA0}"/>
      </w:docPartPr>
      <w:docPartBody>
        <w:p w:rsidR="00154D9F" w:rsidRDefault="00154D9F">
          <w:pPr>
            <w:pStyle w:val="F2EE07F15A864779B6F43CD434F852AB"/>
          </w:pPr>
          <w:r w:rsidRPr="007F4A16">
            <w:rPr>
              <w:rStyle w:val="PlaceholderText"/>
              <w:color w:val="808080" w:themeColor="background1" w:themeShade="80"/>
            </w:rPr>
            <w:t>[nr.]</w:t>
          </w:r>
        </w:p>
      </w:docPartBody>
    </w:docPart>
    <w:docPart>
      <w:docPartPr>
        <w:name w:val="E18E5617D0CC414E9E1E9285B6DB6BAE"/>
        <w:category>
          <w:name w:val="General"/>
          <w:gallery w:val="placeholder"/>
        </w:category>
        <w:types>
          <w:type w:val="bbPlcHdr"/>
        </w:types>
        <w:behaviors>
          <w:behavior w:val="content"/>
        </w:behaviors>
        <w:guid w:val="{F63A7B6C-AA09-457F-A417-83D68F6D1205}"/>
      </w:docPartPr>
      <w:docPartBody>
        <w:p w:rsidR="00154D9F" w:rsidRDefault="00154D9F">
          <w:pPr>
            <w:pStyle w:val="E18E5617D0CC414E9E1E9285B6DB6BAE"/>
          </w:pPr>
          <w:r>
            <w:rPr>
              <w:rFonts w:cs="Times New Roman"/>
            </w:rPr>
            <w:t>. panta</w:t>
          </w:r>
        </w:p>
      </w:docPartBody>
    </w:docPart>
    <w:docPart>
      <w:docPartPr>
        <w:name w:val="08AFBCAE381640C6B1EFB218265835F8"/>
        <w:category>
          <w:name w:val="General"/>
          <w:gallery w:val="placeholder"/>
        </w:category>
        <w:types>
          <w:type w:val="bbPlcHdr"/>
        </w:types>
        <w:behaviors>
          <w:behavior w:val="content"/>
        </w:behaviors>
        <w:guid w:val="{246AF0B2-3C04-47AC-A0A1-2A829BD87511}"/>
      </w:docPartPr>
      <w:docPartBody>
        <w:p w:rsidR="00154D9F" w:rsidRDefault="00154D9F">
          <w:pPr>
            <w:pStyle w:val="08AFBCAE381640C6B1EFB218265835F8"/>
          </w:pPr>
          <w:r>
            <w:rPr>
              <w:rFonts w:ascii="Times New Roman" w:hAnsi="Times New Roman" w:cs="Times New Roman"/>
            </w:rPr>
            <w:t>{amats}</w:t>
          </w:r>
        </w:p>
      </w:docPartBody>
    </w:docPart>
    <w:docPart>
      <w:docPartPr>
        <w:name w:val="4D7ADF9BEB5F4B638C303723F328FDD7"/>
        <w:category>
          <w:name w:val="General"/>
          <w:gallery w:val="placeholder"/>
        </w:category>
        <w:types>
          <w:type w:val="bbPlcHdr"/>
        </w:types>
        <w:behaviors>
          <w:behavior w:val="content"/>
        </w:behaviors>
        <w:guid w:val="{7652EB59-7D09-400C-A699-C66B646A37DB}"/>
      </w:docPartPr>
      <w:docPartBody>
        <w:p w:rsidR="00154D9F" w:rsidRDefault="00154D9F">
          <w:pPr>
            <w:pStyle w:val="4D7ADF9BEB5F4B638C303723F328FDD7"/>
          </w:pPr>
          <w:r w:rsidRPr="00811BE5">
            <w:rPr>
              <w:color w:val="808080" w:themeColor="background1" w:themeShade="80"/>
            </w:rPr>
            <w:t>[V. Uzvārds]</w:t>
          </w:r>
        </w:p>
      </w:docPartBody>
    </w:docPart>
    <w:docPart>
      <w:docPartPr>
        <w:name w:val="8AE22E528D5A4E89BBBA2330FB2CF614"/>
        <w:category>
          <w:name w:val="General"/>
          <w:gallery w:val="placeholder"/>
        </w:category>
        <w:types>
          <w:type w:val="bbPlcHdr"/>
        </w:types>
        <w:behaviors>
          <w:behavior w:val="content"/>
        </w:behaviors>
        <w:guid w:val="{DE99FF7F-E09E-41AB-960E-ADA03DCC34B3}"/>
      </w:docPartPr>
      <w:docPartBody>
        <w:p w:rsidR="00FC4B4C" w:rsidRDefault="00FC4B4C" w:rsidP="00FC4B4C">
          <w:pPr>
            <w:pStyle w:val="8AE22E528D5A4E89BBBA2330FB2CF614"/>
          </w:pPr>
          <w:r w:rsidRPr="007F4A16">
            <w:rPr>
              <w:rStyle w:val="PlaceholderText"/>
              <w:color w:val="808080" w:themeColor="background1" w:themeShade="80"/>
            </w:rPr>
            <w:t>[nr.]</w:t>
          </w:r>
        </w:p>
      </w:docPartBody>
    </w:docPart>
    <w:docPart>
      <w:docPartPr>
        <w:name w:val="530AE5E8E2064B8AA8F84B0906D3F613"/>
        <w:category>
          <w:name w:val="General"/>
          <w:gallery w:val="placeholder"/>
        </w:category>
        <w:types>
          <w:type w:val="bbPlcHdr"/>
        </w:types>
        <w:behaviors>
          <w:behavior w:val="content"/>
        </w:behaviors>
        <w:guid w:val="{B06B2478-83B1-465B-8B8F-D8E18AEE37D4}"/>
      </w:docPartPr>
      <w:docPartBody>
        <w:p w:rsidR="00FC4B4C" w:rsidRDefault="00FC4B4C" w:rsidP="00FC4B4C">
          <w:pPr>
            <w:pStyle w:val="530AE5E8E2064B8AA8F84B0906D3F613"/>
          </w:pPr>
          <w:r>
            <w:rPr>
              <w:rFonts w:cs="Times New Roman"/>
            </w:rPr>
            <w:t>. panta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8000000" w:usb3="00000000" w:csb0="00000001"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D9F"/>
    <w:rsid w:val="00054362"/>
    <w:rsid w:val="00092F9A"/>
    <w:rsid w:val="00154D9F"/>
    <w:rsid w:val="002C2F60"/>
    <w:rsid w:val="0041550A"/>
    <w:rsid w:val="005551F4"/>
    <w:rsid w:val="00622F0D"/>
    <w:rsid w:val="00623E00"/>
    <w:rsid w:val="00632B16"/>
    <w:rsid w:val="006B6C09"/>
    <w:rsid w:val="006D5340"/>
    <w:rsid w:val="00746777"/>
    <w:rsid w:val="007D5F9A"/>
    <w:rsid w:val="008C5A60"/>
    <w:rsid w:val="00927CBB"/>
    <w:rsid w:val="009555E8"/>
    <w:rsid w:val="009C7671"/>
    <w:rsid w:val="00AB1D58"/>
    <w:rsid w:val="00AB2EEC"/>
    <w:rsid w:val="00AC6EC8"/>
    <w:rsid w:val="00B00640"/>
    <w:rsid w:val="00D71A93"/>
    <w:rsid w:val="00D76E4A"/>
    <w:rsid w:val="00D802A9"/>
    <w:rsid w:val="00DA25F1"/>
    <w:rsid w:val="00DC0C82"/>
    <w:rsid w:val="00E35D72"/>
    <w:rsid w:val="00E476AD"/>
    <w:rsid w:val="00E84145"/>
    <w:rsid w:val="00EB1556"/>
    <w:rsid w:val="00FC4B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6B6F63EE6044FF9A73D0CCF64436A13">
    <w:name w:val="E6B6F63EE6044FF9A73D0CCF64436A13"/>
  </w:style>
  <w:style w:type="paragraph" w:customStyle="1" w:styleId="C32983148CA3423A8F91029500577091">
    <w:name w:val="C32983148CA3423A8F91029500577091"/>
  </w:style>
  <w:style w:type="paragraph" w:customStyle="1" w:styleId="55E7B1EBA4904704998556649C3DB27D">
    <w:name w:val="55E7B1EBA4904704998556649C3DB27D"/>
  </w:style>
  <w:style w:type="paragraph" w:customStyle="1" w:styleId="061221936D3240268860FEC9C9780ECA">
    <w:name w:val="061221936D3240268860FEC9C9780ECA"/>
  </w:style>
  <w:style w:type="paragraph" w:customStyle="1" w:styleId="4FAC0F4715A74D16830B16A8391B7221">
    <w:name w:val="4FAC0F4715A74D16830B16A8391B7221"/>
  </w:style>
  <w:style w:type="paragraph" w:customStyle="1" w:styleId="EC3306E845274E839D3DCB69E21041D5">
    <w:name w:val="EC3306E845274E839D3DCB69E21041D5"/>
  </w:style>
  <w:style w:type="character" w:styleId="PlaceholderText">
    <w:name w:val="Placeholder Text"/>
    <w:basedOn w:val="DefaultParagraphFont"/>
    <w:uiPriority w:val="99"/>
    <w:semiHidden/>
    <w:rsid w:val="00FC4B4C"/>
    <w:rPr>
      <w:color w:val="808080"/>
    </w:rPr>
  </w:style>
  <w:style w:type="paragraph" w:customStyle="1" w:styleId="8F85571CE2064DEB80D0594384E93DB6">
    <w:name w:val="8F85571CE2064DEB80D0594384E93DB6"/>
  </w:style>
  <w:style w:type="paragraph" w:customStyle="1" w:styleId="21BBDF7252FC4F90B1E2430A1322FA5C">
    <w:name w:val="21BBDF7252FC4F90B1E2430A1322FA5C"/>
  </w:style>
  <w:style w:type="paragraph" w:customStyle="1" w:styleId="12ED15D3DBA0465187320405CCDCB041">
    <w:name w:val="12ED15D3DBA0465187320405CCDCB041"/>
  </w:style>
  <w:style w:type="paragraph" w:customStyle="1" w:styleId="EF7752C9FB5B4D4A9B0817A6AB2FAC74">
    <w:name w:val="EF7752C9FB5B4D4A9B0817A6AB2FAC74"/>
  </w:style>
  <w:style w:type="paragraph" w:customStyle="1" w:styleId="F2EE07F15A864779B6F43CD434F852AB">
    <w:name w:val="F2EE07F15A864779B6F43CD434F852AB"/>
  </w:style>
  <w:style w:type="paragraph" w:customStyle="1" w:styleId="E18E5617D0CC414E9E1E9285B6DB6BAE">
    <w:name w:val="E18E5617D0CC414E9E1E9285B6DB6BAE"/>
  </w:style>
  <w:style w:type="paragraph" w:customStyle="1" w:styleId="08AFBCAE381640C6B1EFB218265835F8">
    <w:name w:val="08AFBCAE381640C6B1EFB218265835F8"/>
  </w:style>
  <w:style w:type="paragraph" w:customStyle="1" w:styleId="4D7ADF9BEB5F4B638C303723F328FDD7">
    <w:name w:val="4D7ADF9BEB5F4B638C303723F328FDD7"/>
  </w:style>
  <w:style w:type="paragraph" w:customStyle="1" w:styleId="8AE22E528D5A4E89BBBA2330FB2CF614">
    <w:name w:val="8AE22E528D5A4E89BBBA2330FB2CF614"/>
    <w:rsid w:val="00FC4B4C"/>
    <w:rPr>
      <w:lang w:val="lv-LV" w:eastAsia="lv-LV"/>
    </w:rPr>
  </w:style>
  <w:style w:type="paragraph" w:customStyle="1" w:styleId="530AE5E8E2064B8AA8F84B0906D3F613">
    <w:name w:val="530AE5E8E2064B8AA8F84B0906D3F613"/>
    <w:rsid w:val="00FC4B4C"/>
    <w:rPr>
      <w:lang w:val="lv-LV" w:eastAsia="lv-LV"/>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284</TotalTime>
  <Pages>13</Pages>
  <Words>23840</Words>
  <Characters>13589</Characters>
  <Application>Microsoft Office Word</Application>
  <DocSecurity>0</DocSecurity>
  <Lines>113</Lines>
  <Paragraphs>74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Latvijas Banka</Company>
  <LinksUpToDate>false</LinksUpToDate>
  <CharactersWithSpaces>37355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Jeļena Aleksejeva</dc:creator>
  <cp:lastModifiedBy>Ināra Gūtmane</cp:lastModifiedBy>
  <cp:revision>6</cp:revision>
  <cp:lastPrinted>2010-12-20T19:45:00Z</cp:lastPrinted>
  <dcterms:created xsi:type="dcterms:W3CDTF">2024-10-25T05:56:00Z</dcterms:created>
  <dcterms:modified xsi:type="dcterms:W3CDTF">2024-11-15T10:54:00Z</dcterms:modified>
</cp:coreProperties>
</file>