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B9E2E" w14:textId="7A848B2D" w:rsidR="009B27BE" w:rsidRPr="00CB43C1" w:rsidRDefault="00CA28AB" w:rsidP="0007524E">
      <w:pPr>
        <w:spacing w:before="240" w:after="240" w:line="240" w:lineRule="auto"/>
        <w:jc w:val="center"/>
        <w:rPr>
          <w:rFonts w:ascii="Times New Roman" w:hAnsi="Times New Roman" w:cs="Times New Roman"/>
          <w:b/>
          <w:bCs/>
          <w:sz w:val="24"/>
          <w:szCs w:val="24"/>
        </w:rPr>
      </w:pPr>
      <w:r w:rsidRPr="00CB43C1">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583109718"/>
          <w:placeholder>
            <w:docPart w:val="0865EB39F6FE4D71AF3E65A60811D6AD"/>
          </w:placeholder>
        </w:sdtPr>
        <w:sdtEndPr/>
        <w:sdtContent>
          <w:r w:rsidR="0096049E" w:rsidRPr="00CB43C1">
            <w:rPr>
              <w:rFonts w:ascii="Times New Roman" w:hAnsi="Times New Roman" w:cs="Times New Roman"/>
              <w:b/>
              <w:bCs/>
              <w:sz w:val="24"/>
              <w:szCs w:val="24"/>
            </w:rPr>
            <w:t>"</w:t>
          </w:r>
          <w:r w:rsidR="00E47FFD" w:rsidRPr="00E47FFD">
            <w:rPr>
              <w:rFonts w:ascii="Times New Roman" w:hAnsi="Times New Roman" w:cs="Times New Roman"/>
              <w:b/>
              <w:bCs/>
              <w:sz w:val="24"/>
              <w:szCs w:val="24"/>
            </w:rPr>
            <w:t>Noteikumi par veidlapas paraugu informācijas sniegšanai noguldītājam</w:t>
          </w:r>
          <w:r w:rsidR="00E76FCC" w:rsidRPr="00CB43C1">
            <w:rPr>
              <w:rFonts w:ascii="Times New Roman" w:hAnsi="Times New Roman" w:cs="Times New Roman"/>
              <w:b/>
              <w:bCs/>
              <w:sz w:val="24"/>
              <w:szCs w:val="24"/>
            </w:rPr>
            <w:t>"</w:t>
          </w:r>
        </w:sdtContent>
      </w:sdt>
      <w:r w:rsidR="003B481B" w:rsidRPr="00CB43C1">
        <w:rPr>
          <w:rFonts w:ascii="Times New Roman" w:hAnsi="Times New Roman" w:cs="Times New Roman"/>
          <w:b/>
          <w:bCs/>
          <w:sz w:val="24"/>
          <w:szCs w:val="24"/>
        </w:rPr>
        <w:t xml:space="preserve"> anotācija</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CB43C1" w14:paraId="075756D3" w14:textId="77777777" w:rsidTr="00E253DA">
        <w:trPr>
          <w:trHeight w:val="567"/>
        </w:trPr>
        <w:tc>
          <w:tcPr>
            <w:tcW w:w="1796" w:type="pct"/>
            <w:shd w:val="clear" w:color="auto" w:fill="auto"/>
            <w:hideMark/>
          </w:tcPr>
          <w:p w14:paraId="11AED29D" w14:textId="77777777" w:rsidR="00A42788" w:rsidRPr="00CB43C1" w:rsidRDefault="00A42788" w:rsidP="00517943">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t>Nosaukums</w:t>
            </w:r>
          </w:p>
          <w:p w14:paraId="6C10B54A" w14:textId="056F1615" w:rsidR="00CA28AB" w:rsidRPr="00CB43C1"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sdt>
            <w:sdtPr>
              <w:rPr>
                <w:rFonts w:ascii="Times New Roman" w:hAnsi="Times New Roman" w:cs="Times New Roman"/>
                <w:bCs/>
                <w:sz w:val="24"/>
                <w:szCs w:val="24"/>
              </w:rPr>
              <w:alias w:val="Nosaukums"/>
              <w:tag w:val="Nosaukums"/>
              <w:id w:val="25447728"/>
              <w:placeholder>
                <w:docPart w:val="4F2A10541D5B4783A11F0109B9AC55D1"/>
              </w:placeholder>
            </w:sdtPr>
            <w:sdtEndPr/>
            <w:sdtContent>
              <w:p w14:paraId="5807C367" w14:textId="5CB39538" w:rsidR="00E53DE9" w:rsidRPr="00CB43C1" w:rsidRDefault="00821C6E" w:rsidP="00531424">
                <w:pPr>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Noteikumi par </w:t>
                </w:r>
                <w:r w:rsidR="00E47FFD" w:rsidRPr="00E47FFD">
                  <w:rPr>
                    <w:rFonts w:ascii="Times New Roman" w:hAnsi="Times New Roman" w:cs="Times New Roman"/>
                    <w:bCs/>
                    <w:sz w:val="24"/>
                    <w:szCs w:val="24"/>
                  </w:rPr>
                  <w:t>veidlapas paraugu informācijas sniegšanai noguldītājam</w:t>
                </w:r>
              </w:p>
            </w:sdtContent>
          </w:sdt>
        </w:tc>
      </w:tr>
      <w:tr w:rsidR="000B4E0A" w:rsidRPr="00CB43C1" w14:paraId="79017AD3" w14:textId="77777777" w:rsidTr="00E253DA">
        <w:trPr>
          <w:trHeight w:val="567"/>
        </w:trPr>
        <w:tc>
          <w:tcPr>
            <w:tcW w:w="1796" w:type="pct"/>
            <w:shd w:val="clear" w:color="auto" w:fill="auto"/>
            <w:hideMark/>
          </w:tcPr>
          <w:p w14:paraId="788E8EA1" w14:textId="77777777" w:rsidR="00A42788" w:rsidRPr="00CB43C1" w:rsidRDefault="00A42788" w:rsidP="00517943">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t>Dokumenta veids</w:t>
            </w:r>
          </w:p>
          <w:p w14:paraId="3CAA80CE" w14:textId="7AD2803D" w:rsidR="00CA28AB" w:rsidRPr="00CB43C1"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41C3E1B" w14:textId="647552D2" w:rsidR="00E53DE9" w:rsidRPr="00CB43C1" w:rsidRDefault="00392C95" w:rsidP="00531424">
            <w:pPr>
              <w:spacing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Latvijas Bankas n</w:t>
            </w:r>
            <w:r w:rsidR="0096049E" w:rsidRPr="00CB43C1">
              <w:rPr>
                <w:rFonts w:ascii="Times New Roman" w:eastAsia="Times New Roman" w:hAnsi="Times New Roman" w:cs="Times New Roman"/>
                <w:bCs/>
                <w:sz w:val="24"/>
                <w:szCs w:val="24"/>
                <w:lang w:eastAsia="lv-LV"/>
              </w:rPr>
              <w:t>oteikumi</w:t>
            </w:r>
          </w:p>
        </w:tc>
      </w:tr>
      <w:tr w:rsidR="000B4E0A" w:rsidRPr="00CB43C1" w14:paraId="382B475A" w14:textId="77777777" w:rsidTr="00E253DA">
        <w:trPr>
          <w:trHeight w:val="567"/>
        </w:trPr>
        <w:tc>
          <w:tcPr>
            <w:tcW w:w="1796" w:type="pct"/>
            <w:shd w:val="clear" w:color="auto" w:fill="auto"/>
            <w:hideMark/>
          </w:tcPr>
          <w:p w14:paraId="53CE2E8C" w14:textId="77777777" w:rsidR="00A42788" w:rsidRPr="00CB43C1" w:rsidRDefault="00A42788" w:rsidP="00517943">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t xml:space="preserve">Izdošanas pamatojums </w:t>
            </w:r>
          </w:p>
          <w:p w14:paraId="65BC8074" w14:textId="1002BB0A" w:rsidR="00CA28AB" w:rsidRPr="00CB43C1"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B98D083" w14:textId="5B32DD65" w:rsidR="00E53DE9" w:rsidRPr="00CB43C1" w:rsidRDefault="00D9200C" w:rsidP="00D9200C">
            <w:pPr>
              <w:spacing w:after="120" w:line="240" w:lineRule="auto"/>
              <w:jc w:val="both"/>
              <w:rPr>
                <w:rFonts w:ascii="Times New Roman" w:eastAsia="Times New Roman" w:hAnsi="Times New Roman" w:cs="Times New Roman"/>
                <w:bCs/>
                <w:sz w:val="24"/>
                <w:szCs w:val="24"/>
                <w:lang w:eastAsia="lv-LV"/>
              </w:rPr>
            </w:pPr>
            <w:r w:rsidRPr="00D9200C">
              <w:rPr>
                <w:rFonts w:ascii="Times New Roman" w:eastAsia="Times New Roman" w:hAnsi="Times New Roman" w:cs="Times New Roman"/>
                <w:bCs/>
                <w:sz w:val="24"/>
                <w:szCs w:val="24"/>
                <w:lang w:eastAsia="lv-LV"/>
              </w:rPr>
              <w:t>Noguldījumu garantiju likuma</w:t>
            </w:r>
            <w:r>
              <w:rPr>
                <w:rFonts w:ascii="Times New Roman" w:eastAsia="Times New Roman" w:hAnsi="Times New Roman" w:cs="Times New Roman"/>
                <w:bCs/>
                <w:sz w:val="24"/>
                <w:szCs w:val="24"/>
                <w:lang w:eastAsia="lv-LV"/>
              </w:rPr>
              <w:t xml:space="preserve"> </w:t>
            </w:r>
            <w:r w:rsidRPr="00D9200C">
              <w:rPr>
                <w:rFonts w:ascii="Times New Roman" w:eastAsia="Times New Roman" w:hAnsi="Times New Roman" w:cs="Times New Roman"/>
                <w:bCs/>
                <w:sz w:val="24"/>
                <w:szCs w:val="24"/>
                <w:lang w:eastAsia="lv-LV"/>
              </w:rPr>
              <w:t>28.</w:t>
            </w:r>
            <w:r w:rsidR="008E5272">
              <w:rPr>
                <w:rFonts w:ascii="Times New Roman" w:eastAsia="Times New Roman" w:hAnsi="Times New Roman" w:cs="Times New Roman"/>
                <w:bCs/>
                <w:sz w:val="24"/>
                <w:szCs w:val="24"/>
                <w:lang w:eastAsia="lv-LV"/>
              </w:rPr>
              <w:t> </w:t>
            </w:r>
            <w:r w:rsidRPr="00D9200C">
              <w:rPr>
                <w:rFonts w:ascii="Times New Roman" w:eastAsia="Times New Roman" w:hAnsi="Times New Roman" w:cs="Times New Roman"/>
                <w:bCs/>
                <w:sz w:val="24"/>
                <w:szCs w:val="24"/>
                <w:lang w:eastAsia="lv-LV"/>
              </w:rPr>
              <w:t>panta otr</w:t>
            </w:r>
            <w:r>
              <w:rPr>
                <w:rFonts w:ascii="Times New Roman" w:eastAsia="Times New Roman" w:hAnsi="Times New Roman" w:cs="Times New Roman"/>
                <w:bCs/>
                <w:sz w:val="24"/>
                <w:szCs w:val="24"/>
                <w:lang w:eastAsia="lv-LV"/>
              </w:rPr>
              <w:t>ā</w:t>
            </w:r>
            <w:r w:rsidRPr="00D9200C">
              <w:rPr>
                <w:rFonts w:ascii="Times New Roman" w:eastAsia="Times New Roman" w:hAnsi="Times New Roman" w:cs="Times New Roman"/>
                <w:bCs/>
                <w:sz w:val="24"/>
                <w:szCs w:val="24"/>
                <w:lang w:eastAsia="lv-LV"/>
              </w:rPr>
              <w:t xml:space="preserve"> daļ</w:t>
            </w:r>
            <w:r>
              <w:rPr>
                <w:rFonts w:ascii="Times New Roman" w:eastAsia="Times New Roman" w:hAnsi="Times New Roman" w:cs="Times New Roman"/>
                <w:bCs/>
                <w:sz w:val="24"/>
                <w:szCs w:val="24"/>
                <w:lang w:eastAsia="lv-LV"/>
              </w:rPr>
              <w:t>a</w:t>
            </w:r>
          </w:p>
        </w:tc>
      </w:tr>
      <w:tr w:rsidR="000B4E0A" w:rsidRPr="00CB43C1" w14:paraId="037D3A75" w14:textId="77777777" w:rsidTr="00E253DA">
        <w:trPr>
          <w:trHeight w:val="567"/>
        </w:trPr>
        <w:tc>
          <w:tcPr>
            <w:tcW w:w="1796" w:type="pct"/>
            <w:shd w:val="clear" w:color="auto" w:fill="auto"/>
            <w:hideMark/>
          </w:tcPr>
          <w:p w14:paraId="5268AAB5" w14:textId="77777777" w:rsidR="00A42788" w:rsidRPr="00CB43C1" w:rsidRDefault="00A42788" w:rsidP="00517943">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t>Mērķis un būtība</w:t>
            </w:r>
          </w:p>
          <w:p w14:paraId="0994D4B4" w14:textId="77777777" w:rsidR="00CA28AB" w:rsidRPr="00CB43C1" w:rsidRDefault="00CA28AB" w:rsidP="00517943">
            <w:pPr>
              <w:spacing w:after="0" w:line="240" w:lineRule="auto"/>
              <w:rPr>
                <w:rFonts w:ascii="Times New Roman" w:eastAsia="Times New Roman" w:hAnsi="Times New Roman" w:cs="Times New Roman"/>
                <w:b/>
                <w:bCs/>
                <w:sz w:val="24"/>
                <w:szCs w:val="24"/>
                <w:lang w:eastAsia="lv-LV"/>
              </w:rPr>
            </w:pPr>
          </w:p>
          <w:p w14:paraId="6DD46DF3" w14:textId="77777777" w:rsidR="00832DDB" w:rsidRPr="00CB43C1" w:rsidRDefault="00832DDB" w:rsidP="00517943">
            <w:pPr>
              <w:spacing w:after="0" w:line="240" w:lineRule="auto"/>
              <w:rPr>
                <w:rFonts w:ascii="Times New Roman" w:eastAsia="Times New Roman" w:hAnsi="Times New Roman" w:cs="Times New Roman"/>
                <w:b/>
                <w:bCs/>
                <w:sz w:val="24"/>
                <w:szCs w:val="24"/>
                <w:lang w:eastAsia="lv-LV"/>
              </w:rPr>
            </w:pPr>
          </w:p>
          <w:p w14:paraId="6F5D11F2" w14:textId="2DB0AC72" w:rsidR="00832DDB" w:rsidRPr="00CB43C1" w:rsidRDefault="00832DD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C50003D" w14:textId="40300F5C" w:rsidR="008076A9" w:rsidRPr="00CB43C1" w:rsidRDefault="00995752" w:rsidP="0067525D">
            <w:pPr>
              <w:tabs>
                <w:tab w:val="left" w:pos="264"/>
              </w:tabs>
              <w:spacing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Saskaņā ar</w:t>
            </w:r>
            <w:r w:rsidR="008076A9" w:rsidRPr="00CB43C1">
              <w:rPr>
                <w:rFonts w:ascii="Times New Roman" w:eastAsia="Times New Roman" w:hAnsi="Times New Roman" w:cs="Times New Roman"/>
                <w:bCs/>
                <w:sz w:val="24"/>
                <w:szCs w:val="24"/>
                <w:lang w:eastAsia="lv-LV"/>
              </w:rPr>
              <w:t xml:space="preserve"> </w:t>
            </w:r>
            <w:r w:rsidR="00ED4F8D" w:rsidRPr="00ED4F8D">
              <w:rPr>
                <w:rFonts w:ascii="Times New Roman" w:eastAsia="Times New Roman" w:hAnsi="Times New Roman" w:cs="Times New Roman"/>
                <w:bCs/>
                <w:sz w:val="24"/>
                <w:szCs w:val="24"/>
                <w:lang w:eastAsia="lv-LV"/>
              </w:rPr>
              <w:t>Noguldījumu garantiju likuma</w:t>
            </w:r>
            <w:r w:rsidR="00ED4F8D">
              <w:rPr>
                <w:rFonts w:ascii="Times New Roman" w:eastAsia="Times New Roman" w:hAnsi="Times New Roman" w:cs="Times New Roman"/>
                <w:bCs/>
                <w:sz w:val="24"/>
                <w:szCs w:val="24"/>
                <w:lang w:eastAsia="lv-LV"/>
              </w:rPr>
              <w:t xml:space="preserve"> </w:t>
            </w:r>
            <w:r w:rsidR="00ED4F8D" w:rsidRPr="00ED4F8D">
              <w:rPr>
                <w:rFonts w:ascii="Times New Roman" w:eastAsia="Times New Roman" w:hAnsi="Times New Roman" w:cs="Times New Roman"/>
                <w:bCs/>
                <w:sz w:val="24"/>
                <w:szCs w:val="24"/>
                <w:lang w:eastAsia="lv-LV"/>
              </w:rPr>
              <w:t>28.</w:t>
            </w:r>
            <w:r w:rsidR="008E5272">
              <w:rPr>
                <w:rFonts w:ascii="Times New Roman" w:eastAsia="Times New Roman" w:hAnsi="Times New Roman" w:cs="Times New Roman"/>
                <w:bCs/>
                <w:sz w:val="24"/>
                <w:szCs w:val="24"/>
                <w:lang w:eastAsia="lv-LV"/>
              </w:rPr>
              <w:t> </w:t>
            </w:r>
            <w:r w:rsidR="00ED4F8D" w:rsidRPr="00ED4F8D">
              <w:rPr>
                <w:rFonts w:ascii="Times New Roman" w:eastAsia="Times New Roman" w:hAnsi="Times New Roman" w:cs="Times New Roman"/>
                <w:bCs/>
                <w:sz w:val="24"/>
                <w:szCs w:val="24"/>
                <w:lang w:eastAsia="lv-LV"/>
              </w:rPr>
              <w:t>panta otr</w:t>
            </w:r>
            <w:r w:rsidR="001B1874">
              <w:rPr>
                <w:rFonts w:ascii="Times New Roman" w:eastAsia="Times New Roman" w:hAnsi="Times New Roman" w:cs="Times New Roman"/>
                <w:bCs/>
                <w:sz w:val="24"/>
                <w:szCs w:val="24"/>
                <w:lang w:eastAsia="lv-LV"/>
              </w:rPr>
              <w:t>ajā</w:t>
            </w:r>
            <w:r w:rsidR="00ED4F8D" w:rsidRPr="00ED4F8D">
              <w:rPr>
                <w:rFonts w:ascii="Times New Roman" w:eastAsia="Times New Roman" w:hAnsi="Times New Roman" w:cs="Times New Roman"/>
                <w:bCs/>
                <w:sz w:val="24"/>
                <w:szCs w:val="24"/>
                <w:lang w:eastAsia="lv-LV"/>
              </w:rPr>
              <w:t xml:space="preserve"> </w:t>
            </w:r>
            <w:r w:rsidR="00BC784F" w:rsidRPr="00CB43C1">
              <w:rPr>
                <w:rFonts w:ascii="Times New Roman" w:eastAsia="Times New Roman" w:hAnsi="Times New Roman" w:cs="Times New Roman"/>
                <w:bCs/>
                <w:sz w:val="24"/>
                <w:szCs w:val="24"/>
                <w:lang w:eastAsia="lv-LV"/>
              </w:rPr>
              <w:t>daļā</w:t>
            </w:r>
            <w:r w:rsidR="008076A9" w:rsidRPr="00CB43C1">
              <w:rPr>
                <w:rFonts w:ascii="Times New Roman" w:eastAsia="Times New Roman" w:hAnsi="Times New Roman" w:cs="Times New Roman"/>
                <w:bCs/>
                <w:sz w:val="24"/>
                <w:szCs w:val="24"/>
                <w:lang w:eastAsia="lv-LV"/>
              </w:rPr>
              <w:t xml:space="preserve"> </w:t>
            </w:r>
            <w:r w:rsidRPr="00CB43C1">
              <w:rPr>
                <w:rFonts w:ascii="Times New Roman" w:eastAsia="Times New Roman" w:hAnsi="Times New Roman" w:cs="Times New Roman"/>
                <w:bCs/>
                <w:sz w:val="24"/>
                <w:szCs w:val="24"/>
                <w:lang w:eastAsia="lv-LV"/>
              </w:rPr>
              <w:t xml:space="preserve">ietverto deleģējumu </w:t>
            </w:r>
            <w:r w:rsidR="00E76FCC" w:rsidRPr="00CB43C1">
              <w:rPr>
                <w:rFonts w:ascii="Times New Roman" w:eastAsia="Times New Roman" w:hAnsi="Times New Roman" w:cs="Times New Roman"/>
                <w:bCs/>
                <w:sz w:val="24"/>
                <w:szCs w:val="24"/>
                <w:lang w:eastAsia="lv-LV"/>
              </w:rPr>
              <w:t>2020.</w:t>
            </w:r>
            <w:r w:rsidR="00C356DE" w:rsidRPr="00CB43C1">
              <w:rPr>
                <w:rFonts w:ascii="Times New Roman" w:eastAsia="Times New Roman" w:hAnsi="Times New Roman" w:cs="Times New Roman"/>
                <w:bCs/>
                <w:sz w:val="24"/>
                <w:szCs w:val="24"/>
                <w:lang w:eastAsia="lv-LV"/>
              </w:rPr>
              <w:t> </w:t>
            </w:r>
            <w:r w:rsidR="00E76FCC" w:rsidRPr="00CB43C1">
              <w:rPr>
                <w:rFonts w:ascii="Times New Roman" w:eastAsia="Times New Roman" w:hAnsi="Times New Roman" w:cs="Times New Roman"/>
                <w:bCs/>
                <w:sz w:val="24"/>
                <w:szCs w:val="24"/>
                <w:lang w:eastAsia="lv-LV"/>
              </w:rPr>
              <w:t xml:space="preserve">gada </w:t>
            </w:r>
            <w:r w:rsidR="00ED4F8D" w:rsidRPr="00ED4F8D">
              <w:rPr>
                <w:rFonts w:ascii="Times New Roman" w:eastAsia="Times New Roman" w:hAnsi="Times New Roman" w:cs="Times New Roman"/>
                <w:bCs/>
                <w:sz w:val="24"/>
                <w:szCs w:val="24"/>
                <w:lang w:eastAsia="lv-LV"/>
              </w:rPr>
              <w:t>29.</w:t>
            </w:r>
            <w:r w:rsidR="008E5272">
              <w:rPr>
                <w:rFonts w:ascii="Times New Roman" w:eastAsia="Times New Roman" w:hAnsi="Times New Roman" w:cs="Times New Roman"/>
                <w:bCs/>
                <w:sz w:val="24"/>
                <w:szCs w:val="24"/>
                <w:lang w:eastAsia="lv-LV"/>
              </w:rPr>
              <w:t> </w:t>
            </w:r>
            <w:r w:rsidR="00ED4F8D" w:rsidRPr="00ED4F8D">
              <w:rPr>
                <w:rFonts w:ascii="Times New Roman" w:eastAsia="Times New Roman" w:hAnsi="Times New Roman" w:cs="Times New Roman"/>
                <w:bCs/>
                <w:sz w:val="24"/>
                <w:szCs w:val="24"/>
                <w:lang w:eastAsia="lv-LV"/>
              </w:rPr>
              <w:t>septembr</w:t>
            </w:r>
            <w:r w:rsidR="00BC784F" w:rsidRPr="00CB43C1">
              <w:rPr>
                <w:rFonts w:ascii="Times New Roman" w:eastAsia="Times New Roman" w:hAnsi="Times New Roman" w:cs="Times New Roman"/>
                <w:bCs/>
                <w:sz w:val="24"/>
                <w:szCs w:val="24"/>
                <w:lang w:eastAsia="lv-LV"/>
              </w:rPr>
              <w:t>ī</w:t>
            </w:r>
            <w:r w:rsidR="00E76FCC" w:rsidRPr="00CB43C1">
              <w:rPr>
                <w:rFonts w:ascii="Times New Roman" w:eastAsia="Times New Roman" w:hAnsi="Times New Roman" w:cs="Times New Roman"/>
                <w:bCs/>
                <w:sz w:val="24"/>
                <w:szCs w:val="24"/>
                <w:lang w:eastAsia="lv-LV"/>
              </w:rPr>
              <w:t xml:space="preserve"> </w:t>
            </w:r>
            <w:r w:rsidR="008076A9" w:rsidRPr="00CB43C1">
              <w:rPr>
                <w:rFonts w:ascii="Times New Roman" w:eastAsia="Times New Roman" w:hAnsi="Times New Roman" w:cs="Times New Roman"/>
                <w:bCs/>
                <w:sz w:val="24"/>
                <w:szCs w:val="24"/>
                <w:lang w:eastAsia="lv-LV"/>
              </w:rPr>
              <w:t xml:space="preserve">tika izdoti Finanšu un kapitāla tirgus komisijas normatīvie noteikumi </w:t>
            </w:r>
            <w:r w:rsidR="00ED4F8D" w:rsidRPr="00ED4F8D">
              <w:rPr>
                <w:rFonts w:ascii="Times New Roman" w:eastAsia="Times New Roman" w:hAnsi="Times New Roman" w:cs="Times New Roman"/>
                <w:bCs/>
                <w:sz w:val="24"/>
                <w:szCs w:val="24"/>
                <w:lang w:eastAsia="lv-LV"/>
              </w:rPr>
              <w:t>Nr.</w:t>
            </w:r>
            <w:r w:rsidR="008E5272">
              <w:rPr>
                <w:rFonts w:ascii="Times New Roman" w:eastAsia="Times New Roman" w:hAnsi="Times New Roman" w:cs="Times New Roman"/>
                <w:bCs/>
                <w:sz w:val="24"/>
                <w:szCs w:val="24"/>
                <w:lang w:eastAsia="lv-LV"/>
              </w:rPr>
              <w:t> </w:t>
            </w:r>
            <w:r w:rsidR="00ED4F8D" w:rsidRPr="00ED4F8D">
              <w:rPr>
                <w:rFonts w:ascii="Times New Roman" w:eastAsia="Times New Roman" w:hAnsi="Times New Roman" w:cs="Times New Roman"/>
                <w:bCs/>
                <w:sz w:val="24"/>
                <w:szCs w:val="24"/>
                <w:lang w:eastAsia="lv-LV"/>
              </w:rPr>
              <w:t xml:space="preserve">180 "Normatīvie noteikumi par noguldītājam sniedzamo informāciju" </w:t>
            </w:r>
            <w:r w:rsidR="008076A9" w:rsidRPr="00CB43C1">
              <w:rPr>
                <w:rFonts w:ascii="Times New Roman" w:eastAsia="Times New Roman" w:hAnsi="Times New Roman" w:cs="Times New Roman"/>
                <w:bCs/>
                <w:sz w:val="24"/>
                <w:szCs w:val="24"/>
                <w:lang w:eastAsia="lv-LV"/>
              </w:rPr>
              <w:t>(turpmāk</w:t>
            </w:r>
            <w:r w:rsidR="00F965E4" w:rsidRPr="00CB43C1">
              <w:rPr>
                <w:rFonts w:ascii="Times New Roman" w:eastAsia="Times New Roman" w:hAnsi="Times New Roman" w:cs="Times New Roman"/>
                <w:bCs/>
                <w:sz w:val="24"/>
                <w:szCs w:val="24"/>
                <w:lang w:eastAsia="lv-LV"/>
              </w:rPr>
              <w:t> </w:t>
            </w:r>
            <w:r w:rsidR="008076A9" w:rsidRPr="00CB43C1">
              <w:rPr>
                <w:rFonts w:ascii="Times New Roman" w:eastAsia="Times New Roman" w:hAnsi="Times New Roman" w:cs="Times New Roman"/>
                <w:bCs/>
                <w:sz w:val="24"/>
                <w:szCs w:val="24"/>
                <w:lang w:eastAsia="lv-LV"/>
              </w:rPr>
              <w:t>–</w:t>
            </w:r>
            <w:r w:rsidR="00876932" w:rsidRPr="00CB43C1">
              <w:rPr>
                <w:rFonts w:ascii="Times New Roman" w:eastAsia="Times New Roman" w:hAnsi="Times New Roman" w:cs="Times New Roman"/>
                <w:bCs/>
                <w:sz w:val="24"/>
                <w:szCs w:val="24"/>
                <w:lang w:eastAsia="lv-LV"/>
              </w:rPr>
              <w:t xml:space="preserve"> N</w:t>
            </w:r>
            <w:r w:rsidR="008076A9" w:rsidRPr="00CB43C1">
              <w:rPr>
                <w:rFonts w:ascii="Times New Roman" w:eastAsia="Times New Roman" w:hAnsi="Times New Roman" w:cs="Times New Roman"/>
                <w:bCs/>
                <w:sz w:val="24"/>
                <w:szCs w:val="24"/>
                <w:lang w:eastAsia="lv-LV"/>
              </w:rPr>
              <w:t>oteikumi Nr.</w:t>
            </w:r>
            <w:r w:rsidR="00C356DE" w:rsidRPr="00CB43C1">
              <w:rPr>
                <w:rFonts w:ascii="Times New Roman" w:eastAsia="Times New Roman" w:hAnsi="Times New Roman" w:cs="Times New Roman"/>
                <w:bCs/>
                <w:sz w:val="24"/>
                <w:szCs w:val="24"/>
                <w:lang w:eastAsia="lv-LV"/>
              </w:rPr>
              <w:t> </w:t>
            </w:r>
            <w:r w:rsidR="00ED4F8D">
              <w:rPr>
                <w:rFonts w:ascii="Times New Roman" w:eastAsia="Times New Roman" w:hAnsi="Times New Roman" w:cs="Times New Roman"/>
                <w:bCs/>
                <w:sz w:val="24"/>
                <w:szCs w:val="24"/>
                <w:lang w:eastAsia="lv-LV"/>
              </w:rPr>
              <w:t>180</w:t>
            </w:r>
            <w:r w:rsidR="008076A9" w:rsidRPr="00CB43C1">
              <w:rPr>
                <w:rFonts w:ascii="Times New Roman" w:eastAsia="Times New Roman" w:hAnsi="Times New Roman" w:cs="Times New Roman"/>
                <w:bCs/>
                <w:sz w:val="24"/>
                <w:szCs w:val="24"/>
                <w:lang w:eastAsia="lv-LV"/>
              </w:rPr>
              <w:t>).</w:t>
            </w:r>
          </w:p>
          <w:p w14:paraId="5BCFFB18" w14:textId="5E3302B2" w:rsidR="00517943" w:rsidRPr="00CB43C1" w:rsidRDefault="009A0F78" w:rsidP="0067525D">
            <w:pPr>
              <w:tabs>
                <w:tab w:val="left" w:pos="264"/>
              </w:tabs>
              <w:spacing w:before="120"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 xml:space="preserve">Ar 2023. gada 1. janvāri Finanšu un kapitāla tirgus komisija </w:t>
            </w:r>
            <w:r w:rsidR="00210101" w:rsidRPr="00CB43C1">
              <w:rPr>
                <w:rFonts w:ascii="Times New Roman" w:eastAsia="Times New Roman" w:hAnsi="Times New Roman" w:cs="Times New Roman"/>
                <w:bCs/>
                <w:sz w:val="24"/>
                <w:szCs w:val="24"/>
                <w:lang w:eastAsia="lv-LV"/>
              </w:rPr>
              <w:t xml:space="preserve">ir </w:t>
            </w:r>
            <w:r w:rsidRPr="00CB43C1">
              <w:rPr>
                <w:rFonts w:ascii="Times New Roman" w:eastAsia="Times New Roman" w:hAnsi="Times New Roman" w:cs="Times New Roman"/>
                <w:bCs/>
                <w:sz w:val="24"/>
                <w:szCs w:val="24"/>
                <w:lang w:eastAsia="lv-LV"/>
              </w:rPr>
              <w:t xml:space="preserve">pievienota Latvijas Bankai, un minētajā datumā </w:t>
            </w:r>
            <w:r w:rsidR="00C356DE" w:rsidRPr="00CB43C1">
              <w:rPr>
                <w:rFonts w:ascii="Times New Roman" w:eastAsia="Times New Roman" w:hAnsi="Times New Roman" w:cs="Times New Roman"/>
                <w:bCs/>
                <w:sz w:val="24"/>
                <w:szCs w:val="24"/>
                <w:lang w:eastAsia="lv-LV"/>
              </w:rPr>
              <w:t xml:space="preserve">stājās </w:t>
            </w:r>
            <w:r w:rsidRPr="00CB43C1">
              <w:rPr>
                <w:rFonts w:ascii="Times New Roman" w:eastAsia="Times New Roman" w:hAnsi="Times New Roman" w:cs="Times New Roman"/>
                <w:bCs/>
                <w:sz w:val="24"/>
                <w:szCs w:val="24"/>
                <w:lang w:eastAsia="lv-LV"/>
              </w:rPr>
              <w:t xml:space="preserve">spēkā Latvijas Bankas likums, kura pārejas noteikumu </w:t>
            </w:r>
            <w:r w:rsidR="003B1662">
              <w:rPr>
                <w:rFonts w:ascii="Times New Roman" w:eastAsia="Times New Roman" w:hAnsi="Times New Roman" w:cs="Times New Roman"/>
                <w:bCs/>
                <w:sz w:val="24"/>
                <w:szCs w:val="24"/>
                <w:lang w:eastAsia="lv-LV"/>
              </w:rPr>
              <w:t>4</w:t>
            </w:r>
            <w:r w:rsidRPr="00CB43C1">
              <w:rPr>
                <w:rFonts w:ascii="Times New Roman" w:eastAsia="Times New Roman" w:hAnsi="Times New Roman" w:cs="Times New Roman"/>
                <w:bCs/>
                <w:sz w:val="24"/>
                <w:szCs w:val="24"/>
                <w:lang w:eastAsia="lv-LV"/>
              </w:rPr>
              <w:t>.</w:t>
            </w:r>
            <w:r w:rsidR="00C356DE" w:rsidRPr="00CB43C1">
              <w:rPr>
                <w:rFonts w:ascii="Times New Roman" w:eastAsia="Times New Roman" w:hAnsi="Times New Roman" w:cs="Times New Roman"/>
                <w:bCs/>
                <w:sz w:val="24"/>
                <w:szCs w:val="24"/>
                <w:lang w:eastAsia="lv-LV"/>
              </w:rPr>
              <w:t> </w:t>
            </w:r>
            <w:r w:rsidRPr="00CB43C1">
              <w:rPr>
                <w:rFonts w:ascii="Times New Roman" w:eastAsia="Times New Roman" w:hAnsi="Times New Roman" w:cs="Times New Roman"/>
                <w:bCs/>
                <w:sz w:val="24"/>
                <w:szCs w:val="24"/>
                <w:lang w:eastAsia="lv-LV"/>
              </w:rPr>
              <w:t>punkts noteic, ka Latvijas Banka ir Finanšu un kapitāla tirgus komisijas mantas, finanšu līdzekļu, tiesību un saistību pārņēmēja saskaņā ar Latvijas Bankas padomes apstiprināto plānu Finanšu un kapitāla tirgus komisijas pievienošanai Latvijas Bankai.</w:t>
            </w:r>
          </w:p>
          <w:p w14:paraId="470218F5" w14:textId="7819BAC5" w:rsidR="00876932" w:rsidRPr="00CB43C1" w:rsidRDefault="00995752" w:rsidP="0067525D">
            <w:pPr>
              <w:tabs>
                <w:tab w:val="left" w:pos="264"/>
              </w:tabs>
              <w:spacing w:before="120"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Atbilstoši</w:t>
            </w:r>
            <w:r w:rsidR="009A0F78" w:rsidRPr="00CB43C1">
              <w:rPr>
                <w:rFonts w:ascii="Times New Roman" w:eastAsia="Times New Roman" w:hAnsi="Times New Roman" w:cs="Times New Roman"/>
                <w:bCs/>
                <w:sz w:val="24"/>
                <w:szCs w:val="24"/>
                <w:lang w:eastAsia="lv-LV"/>
              </w:rPr>
              <w:t xml:space="preserve"> </w:t>
            </w:r>
            <w:r w:rsidR="003B1662" w:rsidRPr="003B1662">
              <w:rPr>
                <w:rFonts w:ascii="Times New Roman" w:eastAsia="Times New Roman" w:hAnsi="Times New Roman" w:cs="Times New Roman"/>
                <w:bCs/>
                <w:sz w:val="24"/>
                <w:szCs w:val="24"/>
                <w:lang w:eastAsia="lv-LV"/>
              </w:rPr>
              <w:t xml:space="preserve">Noguldījumu garantiju likuma </w:t>
            </w:r>
            <w:r w:rsidR="009A0F78" w:rsidRPr="00CB43C1">
              <w:rPr>
                <w:rFonts w:ascii="Times New Roman" w:eastAsia="Times New Roman" w:hAnsi="Times New Roman" w:cs="Times New Roman"/>
                <w:bCs/>
                <w:sz w:val="24"/>
                <w:szCs w:val="24"/>
                <w:lang w:eastAsia="lv-LV"/>
              </w:rPr>
              <w:t xml:space="preserve">pārejas noteikumu </w:t>
            </w:r>
            <w:r w:rsidR="003B1662">
              <w:rPr>
                <w:rFonts w:ascii="Times New Roman" w:eastAsia="Times New Roman" w:hAnsi="Times New Roman" w:cs="Times New Roman"/>
                <w:bCs/>
                <w:sz w:val="24"/>
                <w:szCs w:val="24"/>
                <w:lang w:eastAsia="lv-LV"/>
              </w:rPr>
              <w:t>17</w:t>
            </w:r>
            <w:r w:rsidR="009A0F78" w:rsidRPr="00CB43C1">
              <w:rPr>
                <w:rFonts w:ascii="Times New Roman" w:eastAsia="Times New Roman" w:hAnsi="Times New Roman" w:cs="Times New Roman"/>
                <w:bCs/>
                <w:sz w:val="24"/>
                <w:szCs w:val="24"/>
                <w:lang w:eastAsia="lv-LV"/>
              </w:rPr>
              <w:t>.</w:t>
            </w:r>
            <w:r w:rsidR="00C356DE" w:rsidRPr="00CB43C1">
              <w:rPr>
                <w:rFonts w:ascii="Times New Roman" w:eastAsia="Times New Roman" w:hAnsi="Times New Roman" w:cs="Times New Roman"/>
                <w:bCs/>
                <w:sz w:val="24"/>
                <w:szCs w:val="24"/>
                <w:lang w:eastAsia="lv-LV"/>
              </w:rPr>
              <w:t> </w:t>
            </w:r>
            <w:r w:rsidR="009A0F78" w:rsidRPr="00CB43C1">
              <w:rPr>
                <w:rFonts w:ascii="Times New Roman" w:eastAsia="Times New Roman" w:hAnsi="Times New Roman" w:cs="Times New Roman"/>
                <w:bCs/>
                <w:sz w:val="24"/>
                <w:szCs w:val="24"/>
                <w:lang w:eastAsia="lv-LV"/>
              </w:rPr>
              <w:t>punkt</w:t>
            </w:r>
            <w:r w:rsidRPr="00CB43C1">
              <w:rPr>
                <w:rFonts w:ascii="Times New Roman" w:eastAsia="Times New Roman" w:hAnsi="Times New Roman" w:cs="Times New Roman"/>
                <w:bCs/>
                <w:sz w:val="24"/>
                <w:szCs w:val="24"/>
                <w:lang w:eastAsia="lv-LV"/>
              </w:rPr>
              <w:t>am</w:t>
            </w:r>
            <w:r w:rsidR="009A0F78" w:rsidRPr="00CB43C1">
              <w:rPr>
                <w:rFonts w:ascii="Times New Roman" w:eastAsia="Times New Roman" w:hAnsi="Times New Roman" w:cs="Times New Roman"/>
                <w:bCs/>
                <w:sz w:val="24"/>
                <w:szCs w:val="24"/>
                <w:lang w:eastAsia="lv-LV"/>
              </w:rPr>
              <w:t xml:space="preserve"> uz šā likuma pamata līdz Latvijas Bankas likuma spēkā stāšanās dienai izdotie Finanšu un kapitāla tirgus komisijas normatīvie noteikumi piemērojami līdz dienai, kad stājas spēkā attiecīgie Latvijas Bankas noteikumi, bet ne ilgāk kā līdz 2024.</w:t>
            </w:r>
            <w:r w:rsidR="00C356DE" w:rsidRPr="00CB43C1">
              <w:rPr>
                <w:rFonts w:ascii="Times New Roman" w:eastAsia="Times New Roman" w:hAnsi="Times New Roman" w:cs="Times New Roman"/>
                <w:bCs/>
                <w:sz w:val="24"/>
                <w:szCs w:val="24"/>
                <w:lang w:eastAsia="lv-LV"/>
              </w:rPr>
              <w:t> </w:t>
            </w:r>
            <w:r w:rsidR="009A0F78" w:rsidRPr="00CB43C1">
              <w:rPr>
                <w:rFonts w:ascii="Times New Roman" w:eastAsia="Times New Roman" w:hAnsi="Times New Roman" w:cs="Times New Roman"/>
                <w:bCs/>
                <w:sz w:val="24"/>
                <w:szCs w:val="24"/>
                <w:lang w:eastAsia="lv-LV"/>
              </w:rPr>
              <w:t>gada 31.</w:t>
            </w:r>
            <w:r w:rsidR="00C356DE" w:rsidRPr="00CB43C1">
              <w:rPr>
                <w:rFonts w:ascii="Times New Roman" w:eastAsia="Times New Roman" w:hAnsi="Times New Roman" w:cs="Times New Roman"/>
                <w:bCs/>
                <w:sz w:val="24"/>
                <w:szCs w:val="24"/>
                <w:lang w:eastAsia="lv-LV"/>
              </w:rPr>
              <w:t> </w:t>
            </w:r>
            <w:r w:rsidR="009A0F78" w:rsidRPr="00CB43C1">
              <w:rPr>
                <w:rFonts w:ascii="Times New Roman" w:eastAsia="Times New Roman" w:hAnsi="Times New Roman" w:cs="Times New Roman"/>
                <w:bCs/>
                <w:sz w:val="24"/>
                <w:szCs w:val="24"/>
                <w:lang w:eastAsia="lv-LV"/>
              </w:rPr>
              <w:t>decembrim.</w:t>
            </w:r>
          </w:p>
          <w:p w14:paraId="5159C661" w14:textId="4892C1DB" w:rsidR="00B8606D" w:rsidRDefault="005A35D1" w:rsidP="0067525D">
            <w:pPr>
              <w:tabs>
                <w:tab w:val="left" w:pos="264"/>
              </w:tabs>
              <w:spacing w:before="120"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Ņemot vērā minēto, ir sagatavots Latvijas Bankas noteikumu projekts "</w:t>
            </w:r>
            <w:r w:rsidR="00B155BF" w:rsidRPr="00B155BF">
              <w:rPr>
                <w:rFonts w:ascii="Times New Roman" w:eastAsia="Times New Roman" w:hAnsi="Times New Roman" w:cs="Times New Roman"/>
                <w:bCs/>
                <w:sz w:val="24"/>
                <w:szCs w:val="24"/>
                <w:lang w:eastAsia="lv-LV"/>
              </w:rPr>
              <w:t>Noteikumi par veidlapas paraugu informācijas sniegšanai noguldītājam</w:t>
            </w:r>
            <w:r w:rsidRPr="00CB43C1">
              <w:rPr>
                <w:rFonts w:ascii="Times New Roman" w:eastAsia="Times New Roman" w:hAnsi="Times New Roman" w:cs="Times New Roman"/>
                <w:bCs/>
                <w:sz w:val="24"/>
                <w:szCs w:val="24"/>
                <w:lang w:eastAsia="lv-LV"/>
              </w:rPr>
              <w:t>"</w:t>
            </w:r>
            <w:r w:rsidR="00B037E3" w:rsidRPr="00CB43C1">
              <w:rPr>
                <w:rFonts w:ascii="Times New Roman" w:eastAsia="Times New Roman" w:hAnsi="Times New Roman" w:cs="Times New Roman"/>
                <w:bCs/>
                <w:sz w:val="24"/>
                <w:szCs w:val="24"/>
                <w:lang w:eastAsia="lv-LV"/>
              </w:rPr>
              <w:t xml:space="preserve"> (turpmāk</w:t>
            </w:r>
            <w:r w:rsidR="00F965E4" w:rsidRPr="00CB43C1">
              <w:rPr>
                <w:rFonts w:ascii="Times New Roman" w:eastAsia="Times New Roman" w:hAnsi="Times New Roman" w:cs="Times New Roman"/>
                <w:bCs/>
                <w:sz w:val="24"/>
                <w:szCs w:val="24"/>
                <w:lang w:eastAsia="lv-LV"/>
              </w:rPr>
              <w:t> </w:t>
            </w:r>
            <w:r w:rsidR="00B037E3" w:rsidRPr="00CB43C1">
              <w:rPr>
                <w:rFonts w:ascii="Times New Roman" w:eastAsia="Times New Roman" w:hAnsi="Times New Roman" w:cs="Times New Roman"/>
                <w:bCs/>
                <w:sz w:val="24"/>
                <w:szCs w:val="24"/>
                <w:lang w:eastAsia="lv-LV"/>
              </w:rPr>
              <w:t>– noteikumu projekts)</w:t>
            </w:r>
            <w:r w:rsidRPr="00CB43C1">
              <w:rPr>
                <w:rFonts w:ascii="Times New Roman" w:eastAsia="Times New Roman" w:hAnsi="Times New Roman" w:cs="Times New Roman"/>
                <w:bCs/>
                <w:sz w:val="24"/>
                <w:szCs w:val="24"/>
                <w:lang w:eastAsia="lv-LV"/>
              </w:rPr>
              <w:t xml:space="preserve">, kas </w:t>
            </w:r>
            <w:r w:rsidR="00B8606D" w:rsidRPr="00CB43C1">
              <w:rPr>
                <w:rFonts w:ascii="Times New Roman" w:eastAsia="Times New Roman" w:hAnsi="Times New Roman" w:cs="Times New Roman"/>
                <w:bCs/>
                <w:sz w:val="24"/>
                <w:szCs w:val="24"/>
                <w:lang w:eastAsia="lv-LV"/>
              </w:rPr>
              <w:t>aizstā</w:t>
            </w:r>
            <w:r w:rsidR="00876932" w:rsidRPr="00CB43C1">
              <w:rPr>
                <w:rFonts w:ascii="Times New Roman" w:eastAsia="Times New Roman" w:hAnsi="Times New Roman" w:cs="Times New Roman"/>
                <w:bCs/>
                <w:sz w:val="24"/>
                <w:szCs w:val="24"/>
                <w:lang w:eastAsia="lv-LV"/>
              </w:rPr>
              <w:t>s</w:t>
            </w:r>
            <w:r w:rsidR="00B8606D" w:rsidRPr="00CB43C1">
              <w:rPr>
                <w:rFonts w:ascii="Times New Roman" w:eastAsia="Times New Roman" w:hAnsi="Times New Roman" w:cs="Times New Roman"/>
                <w:bCs/>
                <w:sz w:val="24"/>
                <w:szCs w:val="24"/>
                <w:lang w:eastAsia="lv-LV"/>
              </w:rPr>
              <w:t xml:space="preserve"> </w:t>
            </w:r>
            <w:r w:rsidR="00876932" w:rsidRPr="00CB43C1">
              <w:rPr>
                <w:rFonts w:ascii="Times New Roman" w:eastAsia="Times New Roman" w:hAnsi="Times New Roman" w:cs="Times New Roman"/>
                <w:bCs/>
                <w:sz w:val="24"/>
                <w:szCs w:val="24"/>
                <w:lang w:eastAsia="lv-LV"/>
              </w:rPr>
              <w:t>N</w:t>
            </w:r>
            <w:r w:rsidR="00B8606D" w:rsidRPr="00CB43C1">
              <w:rPr>
                <w:rFonts w:ascii="Times New Roman" w:eastAsia="Times New Roman" w:hAnsi="Times New Roman" w:cs="Times New Roman"/>
                <w:bCs/>
                <w:sz w:val="24"/>
                <w:szCs w:val="24"/>
                <w:lang w:eastAsia="lv-LV"/>
              </w:rPr>
              <w:t>oteikumus Nr</w:t>
            </w:r>
            <w:r w:rsidR="00517943" w:rsidRPr="00CB43C1">
              <w:rPr>
                <w:rFonts w:ascii="Times New Roman" w:eastAsia="Times New Roman" w:hAnsi="Times New Roman" w:cs="Times New Roman"/>
                <w:bCs/>
                <w:sz w:val="24"/>
                <w:szCs w:val="24"/>
                <w:lang w:eastAsia="lv-LV"/>
              </w:rPr>
              <w:t>.</w:t>
            </w:r>
            <w:r w:rsidR="00C356DE" w:rsidRPr="00CB43C1">
              <w:rPr>
                <w:rFonts w:ascii="Times New Roman" w:eastAsia="Times New Roman" w:hAnsi="Times New Roman" w:cs="Times New Roman"/>
                <w:bCs/>
                <w:sz w:val="24"/>
                <w:szCs w:val="24"/>
                <w:lang w:eastAsia="lv-LV"/>
              </w:rPr>
              <w:t> </w:t>
            </w:r>
            <w:r w:rsidR="002746B0">
              <w:rPr>
                <w:rFonts w:ascii="Times New Roman" w:eastAsia="Times New Roman" w:hAnsi="Times New Roman" w:cs="Times New Roman"/>
                <w:bCs/>
                <w:sz w:val="24"/>
                <w:szCs w:val="24"/>
                <w:lang w:eastAsia="lv-LV"/>
              </w:rPr>
              <w:t>180</w:t>
            </w:r>
            <w:r w:rsidR="00B8606D" w:rsidRPr="00CB43C1">
              <w:rPr>
                <w:rFonts w:ascii="Times New Roman" w:eastAsia="Times New Roman" w:hAnsi="Times New Roman" w:cs="Times New Roman"/>
                <w:bCs/>
                <w:sz w:val="24"/>
                <w:szCs w:val="24"/>
                <w:lang w:eastAsia="lv-LV"/>
              </w:rPr>
              <w:t xml:space="preserve">. </w:t>
            </w:r>
          </w:p>
          <w:p w14:paraId="180FC418" w14:textId="0F579BC6" w:rsidR="00F220EB" w:rsidRDefault="0077277E" w:rsidP="0067525D">
            <w:pPr>
              <w:tabs>
                <w:tab w:val="left" w:pos="264"/>
              </w:tabs>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Ar n</w:t>
            </w:r>
            <w:r w:rsidR="009B58CA" w:rsidRPr="009B58CA">
              <w:rPr>
                <w:rFonts w:ascii="Times New Roman" w:eastAsia="Times New Roman" w:hAnsi="Times New Roman" w:cs="Times New Roman"/>
                <w:bCs/>
                <w:sz w:val="24"/>
                <w:szCs w:val="24"/>
                <w:lang w:eastAsia="lv-LV"/>
              </w:rPr>
              <w:t>oteikum</w:t>
            </w:r>
            <w:r w:rsidR="008B0E29">
              <w:rPr>
                <w:rFonts w:ascii="Times New Roman" w:eastAsia="Times New Roman" w:hAnsi="Times New Roman" w:cs="Times New Roman"/>
                <w:bCs/>
                <w:sz w:val="24"/>
                <w:szCs w:val="24"/>
                <w:lang w:eastAsia="lv-LV"/>
              </w:rPr>
              <w:t>u projekt</w:t>
            </w:r>
            <w:r>
              <w:rPr>
                <w:rFonts w:ascii="Times New Roman" w:eastAsia="Times New Roman" w:hAnsi="Times New Roman" w:cs="Times New Roman"/>
                <w:bCs/>
                <w:sz w:val="24"/>
                <w:szCs w:val="24"/>
                <w:lang w:eastAsia="lv-LV"/>
              </w:rPr>
              <w:t>u</w:t>
            </w:r>
            <w:r w:rsidR="002E3544">
              <w:rPr>
                <w:rFonts w:ascii="Times New Roman" w:eastAsia="Times New Roman" w:hAnsi="Times New Roman" w:cs="Times New Roman"/>
                <w:bCs/>
                <w:sz w:val="24"/>
                <w:szCs w:val="24"/>
                <w:lang w:eastAsia="lv-LV"/>
              </w:rPr>
              <w:t xml:space="preserve"> </w:t>
            </w:r>
            <w:r>
              <w:rPr>
                <w:rFonts w:ascii="Times New Roman" w:eastAsia="Times New Roman" w:hAnsi="Times New Roman" w:cs="Times New Roman"/>
                <w:bCs/>
                <w:sz w:val="24"/>
                <w:szCs w:val="24"/>
                <w:lang w:eastAsia="lv-LV"/>
              </w:rPr>
              <w:t xml:space="preserve">tiek </w:t>
            </w:r>
            <w:r w:rsidR="009B58CA" w:rsidRPr="009B58CA">
              <w:rPr>
                <w:rFonts w:ascii="Times New Roman" w:eastAsia="Times New Roman" w:hAnsi="Times New Roman" w:cs="Times New Roman"/>
                <w:bCs/>
                <w:sz w:val="24"/>
                <w:szCs w:val="24"/>
                <w:lang w:eastAsia="lv-LV"/>
              </w:rPr>
              <w:t>apstiprin</w:t>
            </w:r>
            <w:r>
              <w:rPr>
                <w:rFonts w:ascii="Times New Roman" w:eastAsia="Times New Roman" w:hAnsi="Times New Roman" w:cs="Times New Roman"/>
                <w:bCs/>
                <w:sz w:val="24"/>
                <w:szCs w:val="24"/>
                <w:lang w:eastAsia="lv-LV"/>
              </w:rPr>
              <w:t>āts</w:t>
            </w:r>
            <w:r w:rsidR="009B58CA" w:rsidRPr="009B58CA">
              <w:rPr>
                <w:rFonts w:ascii="Times New Roman" w:eastAsia="Times New Roman" w:hAnsi="Times New Roman" w:cs="Times New Roman"/>
                <w:bCs/>
                <w:sz w:val="24"/>
                <w:szCs w:val="24"/>
                <w:lang w:eastAsia="lv-LV"/>
              </w:rPr>
              <w:t xml:space="preserve"> veidlapas paraug</w:t>
            </w:r>
            <w:r>
              <w:rPr>
                <w:rFonts w:ascii="Times New Roman" w:eastAsia="Times New Roman" w:hAnsi="Times New Roman" w:cs="Times New Roman"/>
                <w:bCs/>
                <w:sz w:val="24"/>
                <w:szCs w:val="24"/>
                <w:lang w:eastAsia="lv-LV"/>
              </w:rPr>
              <w:t>s</w:t>
            </w:r>
            <w:r w:rsidR="009B58CA" w:rsidRPr="009B58CA">
              <w:rPr>
                <w:rFonts w:ascii="Times New Roman" w:eastAsia="Times New Roman" w:hAnsi="Times New Roman" w:cs="Times New Roman"/>
                <w:bCs/>
                <w:sz w:val="24"/>
                <w:szCs w:val="24"/>
                <w:lang w:eastAsia="lv-LV"/>
              </w:rPr>
              <w:t xml:space="preserve"> </w:t>
            </w:r>
            <w:r w:rsidR="00FC649C">
              <w:rPr>
                <w:rFonts w:ascii="Times New Roman" w:eastAsia="Times New Roman" w:hAnsi="Times New Roman" w:cs="Times New Roman"/>
                <w:bCs/>
                <w:sz w:val="24"/>
                <w:szCs w:val="24"/>
                <w:lang w:eastAsia="lv-LV"/>
              </w:rPr>
              <w:t xml:space="preserve">Noguldījumu garantiju likuma 28. panta pirmajā daļā minētās </w:t>
            </w:r>
            <w:r w:rsidR="009B58CA" w:rsidRPr="009B58CA">
              <w:rPr>
                <w:rFonts w:ascii="Times New Roman" w:eastAsia="Times New Roman" w:hAnsi="Times New Roman" w:cs="Times New Roman"/>
                <w:bCs/>
                <w:sz w:val="24"/>
                <w:szCs w:val="24"/>
                <w:lang w:eastAsia="lv-LV"/>
              </w:rPr>
              <w:t>informācijas sniegšanai un vispārējās informācijas sniegšanai par noguldījumiem, par kuriem saskaņā ar Noguldījumu garantiju likuma 23.</w:t>
            </w:r>
            <w:r w:rsidR="008E5272">
              <w:rPr>
                <w:rFonts w:ascii="Times New Roman" w:eastAsia="Times New Roman" w:hAnsi="Times New Roman" w:cs="Times New Roman"/>
                <w:bCs/>
                <w:sz w:val="24"/>
                <w:szCs w:val="24"/>
                <w:lang w:eastAsia="lv-LV"/>
              </w:rPr>
              <w:t> </w:t>
            </w:r>
            <w:r w:rsidR="009B58CA" w:rsidRPr="009B58CA">
              <w:rPr>
                <w:rFonts w:ascii="Times New Roman" w:eastAsia="Times New Roman" w:hAnsi="Times New Roman" w:cs="Times New Roman"/>
                <w:bCs/>
                <w:sz w:val="24"/>
                <w:szCs w:val="24"/>
                <w:lang w:eastAsia="lv-LV"/>
              </w:rPr>
              <w:t>pantu garantēto atlīdzību neizmaksā.</w:t>
            </w:r>
            <w:r w:rsidR="00E16F31">
              <w:rPr>
                <w:rFonts w:ascii="Times New Roman" w:eastAsia="Times New Roman" w:hAnsi="Times New Roman" w:cs="Times New Roman"/>
                <w:bCs/>
                <w:sz w:val="24"/>
                <w:szCs w:val="24"/>
                <w:lang w:eastAsia="lv-LV"/>
              </w:rPr>
              <w:t xml:space="preserve"> </w:t>
            </w:r>
          </w:p>
          <w:p w14:paraId="19900DD5" w14:textId="4BE0B834" w:rsidR="001122A1" w:rsidRDefault="00EB70CC" w:rsidP="0067525D">
            <w:pPr>
              <w:tabs>
                <w:tab w:val="left" w:pos="264"/>
              </w:tabs>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Noteikumu projektā, salīdzinot ar Noteikumos Nr. 180 ietverto regulējumu, paredzētas šādas būtiskākās izmaiņas</w:t>
            </w:r>
            <w:r w:rsidR="001122A1">
              <w:rPr>
                <w:rFonts w:ascii="Times New Roman" w:eastAsia="Times New Roman" w:hAnsi="Times New Roman" w:cs="Times New Roman"/>
                <w:bCs/>
                <w:sz w:val="24"/>
                <w:szCs w:val="24"/>
                <w:lang w:eastAsia="lv-LV"/>
              </w:rPr>
              <w:t xml:space="preserve">: </w:t>
            </w:r>
          </w:p>
          <w:p w14:paraId="56F3809D" w14:textId="1B9F1F92" w:rsidR="00E86735" w:rsidRPr="00E47FFD" w:rsidRDefault="002268EF" w:rsidP="0067525D">
            <w:pPr>
              <w:pStyle w:val="ListParagraph"/>
              <w:numPr>
                <w:ilvl w:val="0"/>
                <w:numId w:val="4"/>
              </w:numPr>
              <w:tabs>
                <w:tab w:val="left" w:pos="264"/>
              </w:tabs>
              <w:spacing w:before="120" w:after="120" w:line="240" w:lineRule="auto"/>
              <w:ind w:left="0" w:firstLine="0"/>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ņemot vērā likumprojektā </w:t>
            </w:r>
            <w:r w:rsidRPr="002268EF">
              <w:rPr>
                <w:rFonts w:ascii="Times New Roman" w:eastAsia="Times New Roman" w:hAnsi="Times New Roman" w:cs="Times New Roman"/>
                <w:bCs/>
                <w:sz w:val="24"/>
                <w:szCs w:val="24"/>
                <w:lang w:eastAsia="lv-LV"/>
              </w:rPr>
              <w:t>"</w:t>
            </w:r>
            <w:r>
              <w:rPr>
                <w:rFonts w:ascii="Times New Roman" w:eastAsia="Times New Roman" w:hAnsi="Times New Roman" w:cs="Times New Roman"/>
                <w:bCs/>
                <w:sz w:val="24"/>
                <w:szCs w:val="24"/>
                <w:lang w:eastAsia="lv-LV"/>
              </w:rPr>
              <w:t>Grozījumi Noguldījumu garantiju likumā</w:t>
            </w:r>
            <w:r w:rsidRPr="002268EF">
              <w:rPr>
                <w:rFonts w:ascii="Times New Roman" w:eastAsia="Times New Roman" w:hAnsi="Times New Roman" w:cs="Times New Roman"/>
                <w:bCs/>
                <w:sz w:val="24"/>
                <w:szCs w:val="24"/>
                <w:lang w:eastAsia="lv-LV"/>
              </w:rPr>
              <w:t>"</w:t>
            </w:r>
            <w:r>
              <w:rPr>
                <w:rFonts w:ascii="Times New Roman" w:eastAsia="Times New Roman" w:hAnsi="Times New Roman" w:cs="Times New Roman"/>
                <w:bCs/>
                <w:sz w:val="24"/>
                <w:szCs w:val="24"/>
                <w:lang w:eastAsia="lv-LV"/>
              </w:rPr>
              <w:t xml:space="preserve"> (Nr. 559/Lp14</w:t>
            </w:r>
            <w:r w:rsidR="00705976">
              <w:rPr>
                <w:rFonts w:ascii="Times New Roman" w:eastAsia="Times New Roman" w:hAnsi="Times New Roman" w:cs="Times New Roman"/>
                <w:bCs/>
                <w:sz w:val="24"/>
                <w:szCs w:val="24"/>
                <w:lang w:eastAsia="lv-LV"/>
              </w:rPr>
              <w:t>), k</w:t>
            </w:r>
            <w:r w:rsidR="003A7F39">
              <w:rPr>
                <w:rFonts w:ascii="Times New Roman" w:eastAsia="Times New Roman" w:hAnsi="Times New Roman" w:cs="Times New Roman"/>
                <w:bCs/>
                <w:sz w:val="24"/>
                <w:szCs w:val="24"/>
                <w:lang w:eastAsia="lv-LV"/>
              </w:rPr>
              <w:t>urš</w:t>
            </w:r>
            <w:r w:rsidR="00705976">
              <w:rPr>
                <w:rFonts w:ascii="Times New Roman" w:eastAsia="Times New Roman" w:hAnsi="Times New Roman" w:cs="Times New Roman"/>
                <w:bCs/>
                <w:sz w:val="24"/>
                <w:szCs w:val="24"/>
                <w:lang w:eastAsia="lv-LV"/>
              </w:rPr>
              <w:t xml:space="preserve"> 2024. gada 19. septembrī pieņemts Saeimā 3. lasījumā,</w:t>
            </w:r>
            <w:r>
              <w:rPr>
                <w:rFonts w:ascii="Times New Roman" w:eastAsia="Times New Roman" w:hAnsi="Times New Roman" w:cs="Times New Roman"/>
                <w:bCs/>
                <w:sz w:val="24"/>
                <w:szCs w:val="24"/>
                <w:lang w:eastAsia="lv-LV"/>
              </w:rPr>
              <w:t xml:space="preserve"> ietverto grozījumu, kas paredz aizstāt Noguldījumu garantiju likuma 23. panta 6. punktā </w:t>
            </w:r>
            <w:r w:rsidRPr="002268EF">
              <w:rPr>
                <w:rFonts w:ascii="Times New Roman" w:eastAsia="Times New Roman" w:hAnsi="Times New Roman" w:cs="Times New Roman"/>
                <w:bCs/>
                <w:sz w:val="24"/>
                <w:szCs w:val="24"/>
                <w:lang w:eastAsia="lv-LV"/>
              </w:rPr>
              <w:t>skaitli un vārdu "62.</w:t>
            </w:r>
            <w:r>
              <w:rPr>
                <w:rFonts w:ascii="Times New Roman" w:eastAsia="Times New Roman" w:hAnsi="Times New Roman" w:cs="Times New Roman"/>
                <w:bCs/>
                <w:sz w:val="24"/>
                <w:szCs w:val="24"/>
                <w:lang w:eastAsia="lv-LV"/>
              </w:rPr>
              <w:t> </w:t>
            </w:r>
            <w:r w:rsidRPr="002268EF">
              <w:rPr>
                <w:rFonts w:ascii="Times New Roman" w:eastAsia="Times New Roman" w:hAnsi="Times New Roman" w:cs="Times New Roman"/>
                <w:bCs/>
                <w:sz w:val="24"/>
                <w:szCs w:val="24"/>
                <w:lang w:eastAsia="lv-LV"/>
              </w:rPr>
              <w:t xml:space="preserve">pantu" ar skaitļiem un vārdiem "51. un </w:t>
            </w:r>
            <w:r w:rsidRPr="00E47FFD">
              <w:rPr>
                <w:rFonts w:ascii="Times New Roman" w:eastAsia="Times New Roman" w:hAnsi="Times New Roman" w:cs="Times New Roman"/>
                <w:bCs/>
                <w:sz w:val="24"/>
                <w:szCs w:val="24"/>
                <w:lang w:eastAsia="lv-LV"/>
              </w:rPr>
              <w:t>62.</w:t>
            </w:r>
            <w:r>
              <w:rPr>
                <w:rFonts w:ascii="Times New Roman" w:eastAsia="Times New Roman" w:hAnsi="Times New Roman" w:cs="Times New Roman"/>
                <w:bCs/>
                <w:sz w:val="24"/>
                <w:szCs w:val="24"/>
                <w:lang w:eastAsia="lv-LV"/>
              </w:rPr>
              <w:t> </w:t>
            </w:r>
            <w:r w:rsidRPr="00E47FFD">
              <w:rPr>
                <w:rFonts w:ascii="Times New Roman" w:eastAsia="Times New Roman" w:hAnsi="Times New Roman" w:cs="Times New Roman"/>
                <w:bCs/>
                <w:sz w:val="24"/>
                <w:szCs w:val="24"/>
                <w:lang w:eastAsia="lv-LV"/>
              </w:rPr>
              <w:t>pantu</w:t>
            </w:r>
            <w:r w:rsidRPr="002268EF">
              <w:rPr>
                <w:rFonts w:ascii="Times New Roman" w:eastAsia="Times New Roman" w:hAnsi="Times New Roman" w:cs="Times New Roman"/>
                <w:bCs/>
                <w:sz w:val="24"/>
                <w:szCs w:val="24"/>
                <w:lang w:eastAsia="lv-LV"/>
              </w:rPr>
              <w:t>"</w:t>
            </w:r>
            <w:r>
              <w:rPr>
                <w:rFonts w:ascii="Times New Roman" w:eastAsia="Times New Roman" w:hAnsi="Times New Roman" w:cs="Times New Roman"/>
                <w:bCs/>
                <w:sz w:val="24"/>
                <w:szCs w:val="24"/>
                <w:lang w:eastAsia="lv-LV"/>
              </w:rPr>
              <w:t xml:space="preserve">, veikti attiecīgi </w:t>
            </w:r>
            <w:r w:rsidRPr="00E47FFD">
              <w:rPr>
                <w:rFonts w:ascii="Times New Roman" w:eastAsia="Times New Roman" w:hAnsi="Times New Roman" w:cs="Times New Roman"/>
                <w:bCs/>
                <w:sz w:val="24"/>
                <w:szCs w:val="24"/>
                <w:lang w:eastAsia="lv-LV"/>
              </w:rPr>
              <w:lastRenderedPageBreak/>
              <w:t>precizē</w:t>
            </w:r>
            <w:r>
              <w:rPr>
                <w:rFonts w:ascii="Times New Roman" w:eastAsia="Times New Roman" w:hAnsi="Times New Roman" w:cs="Times New Roman"/>
                <w:bCs/>
                <w:sz w:val="24"/>
                <w:szCs w:val="24"/>
                <w:lang w:eastAsia="lv-LV"/>
              </w:rPr>
              <w:t>jumi</w:t>
            </w:r>
            <w:r w:rsidRPr="00E47FFD">
              <w:rPr>
                <w:rFonts w:ascii="Times New Roman" w:eastAsia="Times New Roman" w:hAnsi="Times New Roman" w:cs="Times New Roman"/>
                <w:bCs/>
                <w:sz w:val="24"/>
                <w:szCs w:val="24"/>
                <w:lang w:eastAsia="lv-LV"/>
              </w:rPr>
              <w:t xml:space="preserve"> veidlapas paraugā (noteikumu projekta pielikums) </w:t>
            </w:r>
            <w:r w:rsidR="001122A1" w:rsidRPr="00E47FFD">
              <w:rPr>
                <w:rFonts w:ascii="Times New Roman" w:eastAsia="Times New Roman" w:hAnsi="Times New Roman" w:cs="Times New Roman"/>
                <w:bCs/>
                <w:sz w:val="24"/>
                <w:szCs w:val="24"/>
                <w:lang w:eastAsia="lv-LV"/>
              </w:rPr>
              <w:t>attiecībā uz Noguldījumu garantiju likuma 23.</w:t>
            </w:r>
            <w:r w:rsidR="008E5272" w:rsidRPr="00E47FFD">
              <w:rPr>
                <w:rFonts w:ascii="Times New Roman" w:eastAsia="Times New Roman" w:hAnsi="Times New Roman" w:cs="Times New Roman"/>
                <w:bCs/>
                <w:sz w:val="24"/>
                <w:szCs w:val="24"/>
                <w:lang w:eastAsia="lv-LV"/>
              </w:rPr>
              <w:t> </w:t>
            </w:r>
            <w:r w:rsidR="001122A1" w:rsidRPr="00E47FFD">
              <w:rPr>
                <w:rFonts w:ascii="Times New Roman" w:eastAsia="Times New Roman" w:hAnsi="Times New Roman" w:cs="Times New Roman"/>
                <w:bCs/>
                <w:sz w:val="24"/>
                <w:szCs w:val="24"/>
                <w:lang w:eastAsia="lv-LV"/>
              </w:rPr>
              <w:t>panta 6.</w:t>
            </w:r>
            <w:r w:rsidR="008E5272" w:rsidRPr="00E47FFD">
              <w:rPr>
                <w:rFonts w:ascii="Times New Roman" w:eastAsia="Times New Roman" w:hAnsi="Times New Roman" w:cs="Times New Roman"/>
                <w:bCs/>
                <w:sz w:val="24"/>
                <w:szCs w:val="24"/>
                <w:lang w:eastAsia="lv-LV"/>
              </w:rPr>
              <w:t> </w:t>
            </w:r>
            <w:r w:rsidR="001122A1" w:rsidRPr="00E47FFD">
              <w:rPr>
                <w:rFonts w:ascii="Times New Roman" w:eastAsia="Times New Roman" w:hAnsi="Times New Roman" w:cs="Times New Roman"/>
                <w:bCs/>
                <w:sz w:val="24"/>
                <w:szCs w:val="24"/>
                <w:lang w:eastAsia="lv-LV"/>
              </w:rPr>
              <w:t>punktā minētajiem noguldījumiem, par kuriem netiek izmaksāta garantētā atlīdzība;</w:t>
            </w:r>
          </w:p>
          <w:p w14:paraId="35A391B7" w14:textId="23D80431" w:rsidR="00814A87" w:rsidRDefault="00743A0B" w:rsidP="0067525D">
            <w:pPr>
              <w:pStyle w:val="ListParagraph"/>
              <w:numPr>
                <w:ilvl w:val="0"/>
                <w:numId w:val="4"/>
              </w:numPr>
              <w:tabs>
                <w:tab w:val="left" w:pos="264"/>
              </w:tabs>
              <w:spacing w:before="120" w:after="120" w:line="240" w:lineRule="auto"/>
              <w:ind w:left="0" w:firstLine="0"/>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ņemot vērā likumprojektā </w:t>
            </w:r>
            <w:r w:rsidRPr="002268EF">
              <w:rPr>
                <w:rFonts w:ascii="Times New Roman" w:eastAsia="Times New Roman" w:hAnsi="Times New Roman" w:cs="Times New Roman"/>
                <w:bCs/>
                <w:sz w:val="24"/>
                <w:szCs w:val="24"/>
                <w:lang w:eastAsia="lv-LV"/>
              </w:rPr>
              <w:t>"</w:t>
            </w:r>
            <w:r>
              <w:rPr>
                <w:rFonts w:ascii="Times New Roman" w:eastAsia="Times New Roman" w:hAnsi="Times New Roman" w:cs="Times New Roman"/>
                <w:bCs/>
                <w:sz w:val="24"/>
                <w:szCs w:val="24"/>
                <w:lang w:eastAsia="lv-LV"/>
              </w:rPr>
              <w:t>Grozījumi Noguldījumu garantiju likumā</w:t>
            </w:r>
            <w:r w:rsidRPr="002268EF">
              <w:rPr>
                <w:rFonts w:ascii="Times New Roman" w:eastAsia="Times New Roman" w:hAnsi="Times New Roman" w:cs="Times New Roman"/>
                <w:bCs/>
                <w:sz w:val="24"/>
                <w:szCs w:val="24"/>
                <w:lang w:eastAsia="lv-LV"/>
              </w:rPr>
              <w:t>"</w:t>
            </w:r>
            <w:r>
              <w:rPr>
                <w:rFonts w:ascii="Times New Roman" w:eastAsia="Times New Roman" w:hAnsi="Times New Roman" w:cs="Times New Roman"/>
                <w:bCs/>
                <w:sz w:val="24"/>
                <w:szCs w:val="24"/>
                <w:lang w:eastAsia="lv-LV"/>
              </w:rPr>
              <w:t xml:space="preserve"> (Nr. 559/Lp14) iekļautos grozījumus, </w:t>
            </w:r>
            <w:r w:rsidR="002F4E26" w:rsidRPr="00E47FFD">
              <w:rPr>
                <w:rFonts w:ascii="Times New Roman" w:eastAsia="Times New Roman" w:hAnsi="Times New Roman" w:cs="Times New Roman"/>
                <w:bCs/>
                <w:sz w:val="24"/>
                <w:szCs w:val="24"/>
                <w:lang w:eastAsia="lv-LV"/>
              </w:rPr>
              <w:t>veidlapas paraug</w:t>
            </w:r>
            <w:r w:rsidR="00CB425F">
              <w:rPr>
                <w:rFonts w:ascii="Times New Roman" w:eastAsia="Times New Roman" w:hAnsi="Times New Roman" w:cs="Times New Roman"/>
                <w:bCs/>
                <w:sz w:val="24"/>
                <w:szCs w:val="24"/>
                <w:lang w:eastAsia="lv-LV"/>
              </w:rPr>
              <w:t>ā</w:t>
            </w:r>
            <w:r w:rsidR="002F4E26" w:rsidRPr="00E47FFD">
              <w:rPr>
                <w:rFonts w:ascii="Times New Roman" w:eastAsia="Times New Roman" w:hAnsi="Times New Roman" w:cs="Times New Roman"/>
                <w:bCs/>
                <w:sz w:val="24"/>
                <w:szCs w:val="24"/>
                <w:lang w:eastAsia="lv-LV"/>
              </w:rPr>
              <w:t xml:space="preserve"> (noteikumu projekta pielikums)</w:t>
            </w:r>
            <w:r w:rsidR="002F4E26">
              <w:rPr>
                <w:rFonts w:ascii="Times New Roman" w:eastAsia="Times New Roman" w:hAnsi="Times New Roman" w:cs="Times New Roman"/>
                <w:bCs/>
                <w:sz w:val="24"/>
                <w:szCs w:val="24"/>
                <w:lang w:eastAsia="lv-LV"/>
              </w:rPr>
              <w:t xml:space="preserve"> </w:t>
            </w:r>
            <w:r w:rsidR="004332A4">
              <w:rPr>
                <w:rFonts w:ascii="Times New Roman" w:eastAsia="Times New Roman" w:hAnsi="Times New Roman" w:cs="Times New Roman"/>
                <w:bCs/>
                <w:sz w:val="24"/>
                <w:szCs w:val="24"/>
                <w:lang w:eastAsia="lv-LV"/>
              </w:rPr>
              <w:t>precizēta</w:t>
            </w:r>
            <w:r w:rsidR="002F4E26">
              <w:rPr>
                <w:rFonts w:ascii="Times New Roman" w:eastAsia="Times New Roman" w:hAnsi="Times New Roman" w:cs="Times New Roman"/>
                <w:bCs/>
                <w:sz w:val="24"/>
                <w:szCs w:val="24"/>
                <w:lang w:eastAsia="lv-LV"/>
              </w:rPr>
              <w:t xml:space="preserve"> informācij</w:t>
            </w:r>
            <w:r w:rsidR="004332A4">
              <w:rPr>
                <w:rFonts w:ascii="Times New Roman" w:eastAsia="Times New Roman" w:hAnsi="Times New Roman" w:cs="Times New Roman"/>
                <w:bCs/>
                <w:sz w:val="24"/>
                <w:szCs w:val="24"/>
                <w:lang w:eastAsia="lv-LV"/>
              </w:rPr>
              <w:t>a</w:t>
            </w:r>
            <w:r w:rsidR="002F4E26">
              <w:rPr>
                <w:rFonts w:ascii="Times New Roman" w:eastAsia="Times New Roman" w:hAnsi="Times New Roman" w:cs="Times New Roman"/>
                <w:bCs/>
                <w:sz w:val="24"/>
                <w:szCs w:val="24"/>
                <w:lang w:eastAsia="lv-LV"/>
              </w:rPr>
              <w:t xml:space="preserve"> </w:t>
            </w:r>
            <w:r w:rsidR="005A4A9A" w:rsidRPr="00B074FF">
              <w:rPr>
                <w:rFonts w:ascii="Times New Roman" w:eastAsia="Times New Roman" w:hAnsi="Times New Roman" w:cs="Times New Roman"/>
                <w:bCs/>
                <w:sz w:val="24"/>
                <w:szCs w:val="24"/>
                <w:lang w:eastAsia="lv-LV"/>
              </w:rPr>
              <w:t xml:space="preserve">par </w:t>
            </w:r>
            <w:r w:rsidR="009A1D3C" w:rsidRPr="00B074FF">
              <w:rPr>
                <w:rFonts w:ascii="Times New Roman" w:eastAsia="Times New Roman" w:hAnsi="Times New Roman" w:cs="Times New Roman"/>
                <w:bCs/>
                <w:sz w:val="24"/>
                <w:szCs w:val="24"/>
                <w:lang w:eastAsia="lv-LV"/>
              </w:rPr>
              <w:t>garantētās atlīdzības saņemšanas iespēj</w:t>
            </w:r>
            <w:r w:rsidR="005A4A9A" w:rsidRPr="00B074FF">
              <w:rPr>
                <w:rFonts w:ascii="Times New Roman" w:eastAsia="Times New Roman" w:hAnsi="Times New Roman" w:cs="Times New Roman"/>
                <w:bCs/>
                <w:sz w:val="24"/>
                <w:szCs w:val="24"/>
                <w:lang w:eastAsia="lv-LV"/>
              </w:rPr>
              <w:t>ām</w:t>
            </w:r>
            <w:r w:rsidR="009A1D3C" w:rsidRPr="00B074FF">
              <w:rPr>
                <w:rFonts w:ascii="Times New Roman" w:eastAsia="Times New Roman" w:hAnsi="Times New Roman" w:cs="Times New Roman"/>
                <w:bCs/>
                <w:sz w:val="24"/>
                <w:szCs w:val="24"/>
                <w:lang w:eastAsia="lv-LV"/>
              </w:rPr>
              <w:t xml:space="preserve"> gadījumā, ja noguldītājs pārvalda citai personai pienākošos līdzekļus noguldījumu piesaistītājā</w:t>
            </w:r>
            <w:r w:rsidR="006310BF" w:rsidRPr="00B074FF">
              <w:rPr>
                <w:rFonts w:ascii="Times New Roman" w:eastAsia="Times New Roman" w:hAnsi="Times New Roman" w:cs="Times New Roman"/>
                <w:bCs/>
                <w:sz w:val="24"/>
                <w:szCs w:val="24"/>
                <w:lang w:eastAsia="lv-LV"/>
              </w:rPr>
              <w:t xml:space="preserve">, </w:t>
            </w:r>
            <w:r>
              <w:rPr>
                <w:rFonts w:ascii="Times New Roman" w:eastAsia="Times New Roman" w:hAnsi="Times New Roman" w:cs="Times New Roman"/>
                <w:bCs/>
                <w:sz w:val="24"/>
                <w:szCs w:val="24"/>
                <w:lang w:eastAsia="lv-LV"/>
              </w:rPr>
              <w:t>t.</w:t>
            </w:r>
            <w:r w:rsidR="009473FA">
              <w:rPr>
                <w:rFonts w:ascii="Times New Roman" w:eastAsia="Times New Roman" w:hAnsi="Times New Roman" w:cs="Times New Roman"/>
                <w:bCs/>
                <w:sz w:val="24"/>
                <w:szCs w:val="24"/>
                <w:lang w:eastAsia="lv-LV"/>
              </w:rPr>
              <w:t> </w:t>
            </w:r>
            <w:r>
              <w:rPr>
                <w:rFonts w:ascii="Times New Roman" w:eastAsia="Times New Roman" w:hAnsi="Times New Roman" w:cs="Times New Roman"/>
                <w:bCs/>
                <w:sz w:val="24"/>
                <w:szCs w:val="24"/>
                <w:lang w:eastAsia="lv-LV"/>
              </w:rPr>
              <w:t xml:space="preserve">i., </w:t>
            </w:r>
            <w:r w:rsidR="004332A4">
              <w:rPr>
                <w:rFonts w:ascii="Times New Roman" w:eastAsia="Times New Roman" w:hAnsi="Times New Roman" w:cs="Times New Roman"/>
                <w:bCs/>
                <w:sz w:val="24"/>
                <w:szCs w:val="24"/>
                <w:lang w:eastAsia="lv-LV"/>
              </w:rPr>
              <w:t>precizēta</w:t>
            </w:r>
            <w:r>
              <w:rPr>
                <w:rFonts w:ascii="Times New Roman" w:eastAsia="Times New Roman" w:hAnsi="Times New Roman" w:cs="Times New Roman"/>
                <w:bCs/>
                <w:sz w:val="24"/>
                <w:szCs w:val="24"/>
                <w:lang w:eastAsia="lv-LV"/>
              </w:rPr>
              <w:t xml:space="preserve"> informācij</w:t>
            </w:r>
            <w:r w:rsidR="004332A4">
              <w:rPr>
                <w:rFonts w:ascii="Times New Roman" w:eastAsia="Times New Roman" w:hAnsi="Times New Roman" w:cs="Times New Roman"/>
                <w:bCs/>
                <w:sz w:val="24"/>
                <w:szCs w:val="24"/>
                <w:lang w:eastAsia="lv-LV"/>
              </w:rPr>
              <w:t>a</w:t>
            </w:r>
            <w:r w:rsidR="006310BF" w:rsidRPr="00B074FF">
              <w:rPr>
                <w:rFonts w:ascii="Times New Roman" w:eastAsia="Times New Roman" w:hAnsi="Times New Roman" w:cs="Times New Roman"/>
                <w:bCs/>
                <w:sz w:val="24"/>
                <w:szCs w:val="24"/>
                <w:lang w:eastAsia="lv-LV"/>
              </w:rPr>
              <w:t xml:space="preserve">, ka </w:t>
            </w:r>
            <w:r w:rsidR="006338F7" w:rsidRPr="006338F7">
              <w:rPr>
                <w:rFonts w:ascii="Times New Roman" w:eastAsia="Times New Roman" w:hAnsi="Times New Roman" w:cs="Times New Roman"/>
                <w:bCs/>
                <w:sz w:val="24"/>
                <w:szCs w:val="24"/>
                <w:lang w:eastAsia="lv-LV"/>
              </w:rPr>
              <w:t>garantēto atlīdzību ir tiesības saņemt personai, kura var pierādīt savas prasījuma tiesības uz noguldītāja pārvaldītajiem līdzekļiem, ar nosacījumu, ka noguldījumu piesaistītājs vai – Noguldījumu garantiju likuma 5.</w:t>
            </w:r>
            <w:r w:rsidR="006338F7" w:rsidRPr="00496946">
              <w:rPr>
                <w:rFonts w:ascii="Times New Roman" w:eastAsia="Times New Roman" w:hAnsi="Times New Roman" w:cs="Times New Roman"/>
                <w:bCs/>
                <w:sz w:val="24"/>
                <w:szCs w:val="24"/>
                <w:vertAlign w:val="superscript"/>
                <w:lang w:eastAsia="lv-LV"/>
              </w:rPr>
              <w:t>1</w:t>
            </w:r>
            <w:r w:rsidR="003A7F39">
              <w:rPr>
                <w:rFonts w:ascii="Times New Roman" w:eastAsia="Times New Roman" w:hAnsi="Times New Roman" w:cs="Times New Roman"/>
                <w:bCs/>
                <w:sz w:val="24"/>
                <w:szCs w:val="24"/>
                <w:lang w:eastAsia="lv-LV"/>
              </w:rPr>
              <w:t> </w:t>
            </w:r>
            <w:r w:rsidR="006338F7" w:rsidRPr="006338F7">
              <w:rPr>
                <w:rFonts w:ascii="Times New Roman" w:eastAsia="Times New Roman" w:hAnsi="Times New Roman" w:cs="Times New Roman"/>
                <w:bCs/>
                <w:sz w:val="24"/>
                <w:szCs w:val="24"/>
                <w:lang w:eastAsia="lv-LV"/>
              </w:rPr>
              <w:t>panta otrajā daļā minētajā gadījumā – noguldītājs šo personu ir identificējis vai var identificēt pirms noguldījumu nepieejamības iestāšanās dienas</w:t>
            </w:r>
            <w:r w:rsidR="00496149">
              <w:rPr>
                <w:rFonts w:ascii="Times New Roman" w:eastAsia="Times New Roman" w:hAnsi="Times New Roman" w:cs="Times New Roman"/>
                <w:bCs/>
                <w:sz w:val="24"/>
                <w:szCs w:val="24"/>
                <w:lang w:eastAsia="lv-LV"/>
              </w:rPr>
              <w:t xml:space="preserve">, </w:t>
            </w:r>
            <w:r w:rsidR="00496149" w:rsidRPr="00496149">
              <w:rPr>
                <w:rFonts w:ascii="Times New Roman" w:eastAsia="Times New Roman" w:hAnsi="Times New Roman" w:cs="Times New Roman"/>
                <w:bCs/>
                <w:sz w:val="24"/>
                <w:szCs w:val="24"/>
                <w:lang w:eastAsia="lv-LV"/>
              </w:rPr>
              <w:t xml:space="preserve">kā arī </w:t>
            </w:r>
            <w:r w:rsidR="00CB425F" w:rsidRPr="00E47FFD">
              <w:rPr>
                <w:rFonts w:ascii="Times New Roman" w:eastAsia="Times New Roman" w:hAnsi="Times New Roman" w:cs="Times New Roman"/>
                <w:bCs/>
                <w:sz w:val="24"/>
                <w:szCs w:val="24"/>
                <w:lang w:eastAsia="lv-LV"/>
              </w:rPr>
              <w:t>veidlapas paraug</w:t>
            </w:r>
            <w:r w:rsidR="00CB425F">
              <w:rPr>
                <w:rFonts w:ascii="Times New Roman" w:eastAsia="Times New Roman" w:hAnsi="Times New Roman" w:cs="Times New Roman"/>
                <w:bCs/>
                <w:sz w:val="24"/>
                <w:szCs w:val="24"/>
                <w:lang w:eastAsia="lv-LV"/>
              </w:rPr>
              <w:t>s</w:t>
            </w:r>
            <w:r w:rsidR="00CB425F" w:rsidRPr="00E47FFD">
              <w:rPr>
                <w:rFonts w:ascii="Times New Roman" w:eastAsia="Times New Roman" w:hAnsi="Times New Roman" w:cs="Times New Roman"/>
                <w:bCs/>
                <w:sz w:val="24"/>
                <w:szCs w:val="24"/>
                <w:lang w:eastAsia="lv-LV"/>
              </w:rPr>
              <w:t xml:space="preserve"> (noteikumu projekta pielikums)</w:t>
            </w:r>
            <w:r w:rsidR="00CB425F">
              <w:rPr>
                <w:rFonts w:ascii="Times New Roman" w:eastAsia="Times New Roman" w:hAnsi="Times New Roman" w:cs="Times New Roman"/>
                <w:bCs/>
                <w:sz w:val="24"/>
                <w:szCs w:val="24"/>
                <w:lang w:eastAsia="lv-LV"/>
              </w:rPr>
              <w:t xml:space="preserve"> </w:t>
            </w:r>
            <w:r w:rsidR="00496149" w:rsidRPr="00496149">
              <w:rPr>
                <w:rFonts w:ascii="Times New Roman" w:eastAsia="Times New Roman" w:hAnsi="Times New Roman" w:cs="Times New Roman"/>
                <w:bCs/>
                <w:sz w:val="24"/>
                <w:szCs w:val="24"/>
                <w:lang w:eastAsia="lv-LV"/>
              </w:rPr>
              <w:t xml:space="preserve">papildināts ar </w:t>
            </w:r>
            <w:r w:rsidR="00CB425F">
              <w:rPr>
                <w:rFonts w:ascii="Times New Roman" w:eastAsia="Times New Roman" w:hAnsi="Times New Roman" w:cs="Times New Roman"/>
                <w:bCs/>
                <w:sz w:val="24"/>
                <w:szCs w:val="24"/>
                <w:lang w:eastAsia="lv-LV"/>
              </w:rPr>
              <w:t xml:space="preserve">informāciju par </w:t>
            </w:r>
            <w:r w:rsidR="00AD69B0" w:rsidRPr="00AD69B0">
              <w:rPr>
                <w:rFonts w:ascii="Times New Roman" w:eastAsia="Times New Roman" w:hAnsi="Times New Roman" w:cs="Times New Roman"/>
                <w:bCs/>
                <w:sz w:val="24"/>
                <w:szCs w:val="24"/>
                <w:lang w:eastAsia="lv-LV"/>
              </w:rPr>
              <w:t>noguldītāj</w:t>
            </w:r>
            <w:r w:rsidR="00CB425F">
              <w:rPr>
                <w:rFonts w:ascii="Times New Roman" w:eastAsia="Times New Roman" w:hAnsi="Times New Roman" w:cs="Times New Roman"/>
                <w:bCs/>
                <w:sz w:val="24"/>
                <w:szCs w:val="24"/>
                <w:lang w:eastAsia="lv-LV"/>
              </w:rPr>
              <w:t>a,</w:t>
            </w:r>
            <w:r w:rsidR="00AD69B0" w:rsidRPr="00AD69B0">
              <w:rPr>
                <w:rFonts w:ascii="Times New Roman" w:eastAsia="Times New Roman" w:hAnsi="Times New Roman" w:cs="Times New Roman"/>
                <w:bCs/>
                <w:sz w:val="24"/>
                <w:szCs w:val="24"/>
                <w:lang w:eastAsia="lv-LV"/>
              </w:rPr>
              <w:t xml:space="preserve"> </w:t>
            </w:r>
            <w:r w:rsidR="00CB425F" w:rsidRPr="00496149">
              <w:rPr>
                <w:rFonts w:ascii="Times New Roman" w:eastAsia="Times New Roman" w:hAnsi="Times New Roman" w:cs="Times New Roman"/>
                <w:bCs/>
                <w:sz w:val="24"/>
                <w:szCs w:val="24"/>
                <w:lang w:eastAsia="lv-LV"/>
              </w:rPr>
              <w:t>kas nodrošina citai personai pienākošos līdzekļu pārvaldību noguldījumu piesaistītājā</w:t>
            </w:r>
            <w:r w:rsidR="00CB425F">
              <w:rPr>
                <w:rFonts w:ascii="Times New Roman" w:eastAsia="Times New Roman" w:hAnsi="Times New Roman" w:cs="Times New Roman"/>
                <w:bCs/>
                <w:sz w:val="24"/>
                <w:szCs w:val="24"/>
                <w:lang w:eastAsia="lv-LV"/>
              </w:rPr>
              <w:t>,</w:t>
            </w:r>
            <w:r w:rsidR="00CB425F" w:rsidRPr="00496149">
              <w:rPr>
                <w:rFonts w:ascii="Times New Roman" w:eastAsia="Times New Roman" w:hAnsi="Times New Roman" w:cs="Times New Roman"/>
                <w:bCs/>
                <w:sz w:val="24"/>
                <w:szCs w:val="24"/>
                <w:lang w:eastAsia="lv-LV"/>
              </w:rPr>
              <w:t xml:space="preserve"> </w:t>
            </w:r>
            <w:r w:rsidR="00CB425F">
              <w:rPr>
                <w:rFonts w:ascii="Times New Roman" w:eastAsia="Times New Roman" w:hAnsi="Times New Roman" w:cs="Times New Roman"/>
                <w:bCs/>
                <w:sz w:val="24"/>
                <w:szCs w:val="24"/>
                <w:lang w:eastAsia="lv-LV"/>
              </w:rPr>
              <w:t xml:space="preserve">pienākumu </w:t>
            </w:r>
            <w:r w:rsidR="00496149" w:rsidRPr="00496149">
              <w:rPr>
                <w:rFonts w:ascii="Times New Roman" w:eastAsia="Times New Roman" w:hAnsi="Times New Roman" w:cs="Times New Roman"/>
                <w:bCs/>
                <w:sz w:val="24"/>
                <w:szCs w:val="24"/>
                <w:lang w:eastAsia="lv-LV"/>
              </w:rPr>
              <w:t>informēt noguldījumu piesaistītāju</w:t>
            </w:r>
            <w:r w:rsidR="00CB425F">
              <w:rPr>
                <w:rFonts w:ascii="Times New Roman" w:eastAsia="Times New Roman" w:hAnsi="Times New Roman" w:cs="Times New Roman"/>
                <w:bCs/>
                <w:sz w:val="24"/>
                <w:szCs w:val="24"/>
                <w:lang w:eastAsia="lv-LV"/>
              </w:rPr>
              <w:t>, ka tas</w:t>
            </w:r>
            <w:r w:rsidR="00496149" w:rsidRPr="00496149">
              <w:rPr>
                <w:rFonts w:ascii="Times New Roman" w:eastAsia="Times New Roman" w:hAnsi="Times New Roman" w:cs="Times New Roman"/>
                <w:bCs/>
                <w:sz w:val="24"/>
                <w:szCs w:val="24"/>
                <w:lang w:eastAsia="lv-LV"/>
              </w:rPr>
              <w:t xml:space="preserve"> nodrošin</w:t>
            </w:r>
            <w:r w:rsidR="00CB425F">
              <w:rPr>
                <w:rFonts w:ascii="Times New Roman" w:eastAsia="Times New Roman" w:hAnsi="Times New Roman" w:cs="Times New Roman"/>
                <w:bCs/>
                <w:sz w:val="24"/>
                <w:szCs w:val="24"/>
                <w:lang w:eastAsia="lv-LV"/>
              </w:rPr>
              <w:t>a šādu līdzekļu pārvaldīšanu,</w:t>
            </w:r>
            <w:r w:rsidR="00496149" w:rsidRPr="00496149">
              <w:rPr>
                <w:rFonts w:ascii="Times New Roman" w:eastAsia="Times New Roman" w:hAnsi="Times New Roman" w:cs="Times New Roman"/>
                <w:bCs/>
                <w:sz w:val="24"/>
                <w:szCs w:val="24"/>
                <w:lang w:eastAsia="lv-LV"/>
              </w:rPr>
              <w:t xml:space="preserve"> š</w:t>
            </w:r>
            <w:r w:rsidR="003A7F39">
              <w:rPr>
                <w:rFonts w:ascii="Times New Roman" w:eastAsia="Times New Roman" w:hAnsi="Times New Roman" w:cs="Times New Roman"/>
                <w:bCs/>
                <w:sz w:val="24"/>
                <w:szCs w:val="24"/>
                <w:lang w:eastAsia="lv-LV"/>
              </w:rPr>
              <w:t>īs</w:t>
            </w:r>
            <w:r w:rsidR="00496149" w:rsidRPr="00496149">
              <w:rPr>
                <w:rFonts w:ascii="Times New Roman" w:eastAsia="Times New Roman" w:hAnsi="Times New Roman" w:cs="Times New Roman"/>
                <w:bCs/>
                <w:sz w:val="24"/>
                <w:szCs w:val="24"/>
                <w:lang w:eastAsia="lv-LV"/>
              </w:rPr>
              <w:t xml:space="preserve"> person</w:t>
            </w:r>
            <w:r w:rsidR="003A7F39">
              <w:rPr>
                <w:rFonts w:ascii="Times New Roman" w:eastAsia="Times New Roman" w:hAnsi="Times New Roman" w:cs="Times New Roman"/>
                <w:bCs/>
                <w:sz w:val="24"/>
                <w:szCs w:val="24"/>
                <w:lang w:eastAsia="lv-LV"/>
              </w:rPr>
              <w:t>as</w:t>
            </w:r>
            <w:r w:rsidR="00496149" w:rsidRPr="00496149">
              <w:rPr>
                <w:rFonts w:ascii="Times New Roman" w:eastAsia="Times New Roman" w:hAnsi="Times New Roman" w:cs="Times New Roman"/>
                <w:bCs/>
                <w:sz w:val="24"/>
                <w:szCs w:val="24"/>
                <w:lang w:eastAsia="lv-LV"/>
              </w:rPr>
              <w:t xml:space="preserve"> identifikāciju un t</w:t>
            </w:r>
            <w:r w:rsidR="003A7F39">
              <w:rPr>
                <w:rFonts w:ascii="Times New Roman" w:eastAsia="Times New Roman" w:hAnsi="Times New Roman" w:cs="Times New Roman"/>
                <w:bCs/>
                <w:sz w:val="24"/>
                <w:szCs w:val="24"/>
                <w:lang w:eastAsia="lv-LV"/>
              </w:rPr>
              <w:t>ai</w:t>
            </w:r>
            <w:r w:rsidR="00496149" w:rsidRPr="00496149">
              <w:rPr>
                <w:rFonts w:ascii="Times New Roman" w:eastAsia="Times New Roman" w:hAnsi="Times New Roman" w:cs="Times New Roman"/>
                <w:bCs/>
                <w:sz w:val="24"/>
                <w:szCs w:val="24"/>
                <w:lang w:eastAsia="lv-LV"/>
              </w:rPr>
              <w:t xml:space="preserve"> pienākošos līdzekļu uzskaiti</w:t>
            </w:r>
            <w:r w:rsidR="00E7718F">
              <w:rPr>
                <w:rFonts w:ascii="Times New Roman" w:eastAsia="Times New Roman" w:hAnsi="Times New Roman" w:cs="Times New Roman"/>
                <w:bCs/>
                <w:sz w:val="24"/>
                <w:szCs w:val="24"/>
                <w:lang w:eastAsia="lv-LV"/>
              </w:rPr>
              <w:t xml:space="preserve">. </w:t>
            </w:r>
            <w:r w:rsidR="00E7718F" w:rsidRPr="00E7718F">
              <w:rPr>
                <w:rFonts w:ascii="Times New Roman" w:eastAsia="Times New Roman" w:hAnsi="Times New Roman" w:cs="Times New Roman"/>
                <w:bCs/>
                <w:sz w:val="24"/>
                <w:szCs w:val="24"/>
                <w:lang w:eastAsia="lv-LV"/>
              </w:rPr>
              <w:t>Lai arī noteikumu projektā iekļauti</w:t>
            </w:r>
            <w:r w:rsidR="001666A4">
              <w:rPr>
                <w:rFonts w:ascii="Times New Roman" w:eastAsia="Times New Roman" w:hAnsi="Times New Roman" w:cs="Times New Roman"/>
                <w:bCs/>
                <w:sz w:val="24"/>
                <w:szCs w:val="24"/>
                <w:lang w:eastAsia="lv-LV"/>
              </w:rPr>
              <w:t>e</w:t>
            </w:r>
            <w:r w:rsidR="00E7718F" w:rsidRPr="00E7718F">
              <w:rPr>
                <w:rFonts w:ascii="Times New Roman" w:eastAsia="Times New Roman" w:hAnsi="Times New Roman" w:cs="Times New Roman"/>
                <w:bCs/>
                <w:sz w:val="24"/>
                <w:szCs w:val="24"/>
                <w:lang w:eastAsia="lv-LV"/>
              </w:rPr>
              <w:t xml:space="preserve"> likumprojektā "Grozījumi Noguldījumu garantiju likumā" (Nr.</w:t>
            </w:r>
            <w:r w:rsidR="006338F7">
              <w:rPr>
                <w:rFonts w:ascii="Times New Roman" w:eastAsia="Times New Roman" w:hAnsi="Times New Roman" w:cs="Times New Roman"/>
                <w:bCs/>
                <w:sz w:val="24"/>
                <w:szCs w:val="24"/>
                <w:lang w:eastAsia="lv-LV"/>
              </w:rPr>
              <w:t> </w:t>
            </w:r>
            <w:r w:rsidR="00E7718F" w:rsidRPr="00E7718F">
              <w:rPr>
                <w:rFonts w:ascii="Times New Roman" w:eastAsia="Times New Roman" w:hAnsi="Times New Roman" w:cs="Times New Roman"/>
                <w:bCs/>
                <w:sz w:val="24"/>
                <w:szCs w:val="24"/>
                <w:lang w:eastAsia="lv-LV"/>
              </w:rPr>
              <w:t xml:space="preserve">559/Lp14) paredzētie grozījumi, kas saistīti ar tehnisku (redakcionālu) izmaiņu veikšanu </w:t>
            </w:r>
            <w:r w:rsidR="000D353C">
              <w:rPr>
                <w:rFonts w:ascii="Times New Roman" w:eastAsia="Times New Roman" w:hAnsi="Times New Roman" w:cs="Times New Roman"/>
                <w:bCs/>
                <w:sz w:val="24"/>
                <w:szCs w:val="24"/>
                <w:lang w:eastAsia="lv-LV"/>
              </w:rPr>
              <w:t>ar Noteikumiem Nr. 180</w:t>
            </w:r>
            <w:r w:rsidR="00E7718F" w:rsidRPr="00E7718F">
              <w:rPr>
                <w:rFonts w:ascii="Times New Roman" w:eastAsia="Times New Roman" w:hAnsi="Times New Roman" w:cs="Times New Roman"/>
                <w:bCs/>
                <w:sz w:val="24"/>
                <w:szCs w:val="24"/>
                <w:lang w:eastAsia="lv-LV"/>
              </w:rPr>
              <w:t xml:space="preserve"> apstiprinātās veidlapas tekstā, prasīs gan to tulkošanu, gan informācijas tehnoloģiju resursu iesaisti, tomēr jānorāda, ka noguldījumu piesaistītāja papildu</w:t>
            </w:r>
            <w:r w:rsidR="00227D57">
              <w:rPr>
                <w:rFonts w:ascii="Times New Roman" w:eastAsia="Times New Roman" w:hAnsi="Times New Roman" w:cs="Times New Roman"/>
                <w:bCs/>
                <w:sz w:val="24"/>
                <w:szCs w:val="24"/>
                <w:lang w:eastAsia="lv-LV"/>
              </w:rPr>
              <w:t>s</w:t>
            </w:r>
            <w:r w:rsidR="00E7718F" w:rsidRPr="00E7718F">
              <w:rPr>
                <w:rFonts w:ascii="Times New Roman" w:eastAsia="Times New Roman" w:hAnsi="Times New Roman" w:cs="Times New Roman"/>
                <w:bCs/>
                <w:sz w:val="24"/>
                <w:szCs w:val="24"/>
                <w:lang w:eastAsia="lv-LV"/>
              </w:rPr>
              <w:t xml:space="preserve"> veicamie darbi veidlapas pamatinformācijas par noguldījumu aizsardzību pilnveidošanai ir samērīgi ar ieguvumu</w:t>
            </w:r>
            <w:r w:rsidR="00B77BF1">
              <w:rPr>
                <w:rFonts w:ascii="Times New Roman" w:eastAsia="Times New Roman" w:hAnsi="Times New Roman" w:cs="Times New Roman"/>
                <w:bCs/>
                <w:sz w:val="24"/>
                <w:szCs w:val="24"/>
                <w:lang w:eastAsia="lv-LV"/>
              </w:rPr>
              <w:t>,</w:t>
            </w:r>
            <w:r w:rsidR="00E7718F" w:rsidRPr="00E7718F">
              <w:rPr>
                <w:rFonts w:ascii="Times New Roman" w:eastAsia="Times New Roman" w:hAnsi="Times New Roman" w:cs="Times New Roman"/>
                <w:bCs/>
                <w:sz w:val="24"/>
                <w:szCs w:val="24"/>
                <w:lang w:eastAsia="lv-LV"/>
              </w:rPr>
              <w:t xml:space="preserve"> kādu noguldītāji turpmāk saņems</w:t>
            </w:r>
            <w:r w:rsidR="003A7F39">
              <w:rPr>
                <w:rFonts w:ascii="Times New Roman" w:eastAsia="Times New Roman" w:hAnsi="Times New Roman" w:cs="Times New Roman"/>
                <w:bCs/>
                <w:sz w:val="24"/>
                <w:szCs w:val="24"/>
                <w:lang w:eastAsia="lv-LV"/>
              </w:rPr>
              <w:t>, </w:t>
            </w:r>
            <w:r w:rsidR="00E7718F" w:rsidRPr="00E7718F">
              <w:rPr>
                <w:rFonts w:ascii="Times New Roman" w:eastAsia="Times New Roman" w:hAnsi="Times New Roman" w:cs="Times New Roman"/>
                <w:bCs/>
                <w:sz w:val="24"/>
                <w:szCs w:val="24"/>
                <w:lang w:eastAsia="lv-LV"/>
              </w:rPr>
              <w:t>– pilnīgu un precīzu informāciju par noguldījumu aizsardzību</w:t>
            </w:r>
            <w:r w:rsidR="00814A87" w:rsidRPr="00814A87">
              <w:rPr>
                <w:rFonts w:ascii="Times New Roman" w:eastAsia="Times New Roman" w:hAnsi="Times New Roman" w:cs="Times New Roman"/>
                <w:bCs/>
                <w:sz w:val="24"/>
                <w:szCs w:val="24"/>
                <w:lang w:eastAsia="lv-LV"/>
              </w:rPr>
              <w:t>;</w:t>
            </w:r>
          </w:p>
          <w:p w14:paraId="676BED85" w14:textId="21C972F4" w:rsidR="00E86735" w:rsidRDefault="00F82DA1" w:rsidP="0067525D">
            <w:pPr>
              <w:pStyle w:val="ListParagraph"/>
              <w:numPr>
                <w:ilvl w:val="0"/>
                <w:numId w:val="4"/>
              </w:numPr>
              <w:tabs>
                <w:tab w:val="left" w:pos="264"/>
              </w:tabs>
              <w:spacing w:before="120" w:after="120" w:line="240" w:lineRule="auto"/>
              <w:ind w:left="0" w:firstLine="0"/>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ņemot vērā to, ka</w:t>
            </w:r>
            <w:r w:rsidR="009A0416">
              <w:rPr>
                <w:rFonts w:ascii="Times New Roman" w:eastAsia="Times New Roman" w:hAnsi="Times New Roman" w:cs="Times New Roman"/>
                <w:bCs/>
                <w:sz w:val="24"/>
                <w:szCs w:val="24"/>
                <w:lang w:eastAsia="lv-LV"/>
              </w:rPr>
              <w:t xml:space="preserve"> </w:t>
            </w:r>
            <w:r w:rsidR="00B074FF">
              <w:rPr>
                <w:rFonts w:ascii="Times New Roman" w:eastAsia="Times New Roman" w:hAnsi="Times New Roman" w:cs="Times New Roman"/>
                <w:bCs/>
                <w:sz w:val="24"/>
                <w:szCs w:val="24"/>
                <w:lang w:eastAsia="lv-LV"/>
              </w:rPr>
              <w:t>Noguldījumu garantiju likuma pārejas noteikumu 13. un 14.</w:t>
            </w:r>
            <w:r w:rsidR="006A1907">
              <w:rPr>
                <w:rFonts w:ascii="Times New Roman" w:eastAsia="Times New Roman" w:hAnsi="Times New Roman" w:cs="Times New Roman"/>
                <w:bCs/>
                <w:sz w:val="24"/>
                <w:szCs w:val="24"/>
                <w:lang w:eastAsia="lv-LV"/>
              </w:rPr>
              <w:t> </w:t>
            </w:r>
            <w:r w:rsidR="00B074FF">
              <w:rPr>
                <w:rFonts w:ascii="Times New Roman" w:eastAsia="Times New Roman" w:hAnsi="Times New Roman" w:cs="Times New Roman"/>
                <w:bCs/>
                <w:sz w:val="24"/>
                <w:szCs w:val="24"/>
                <w:lang w:eastAsia="lv-LV"/>
              </w:rPr>
              <w:t>punkt</w:t>
            </w:r>
            <w:r>
              <w:rPr>
                <w:rFonts w:ascii="Times New Roman" w:eastAsia="Times New Roman" w:hAnsi="Times New Roman" w:cs="Times New Roman"/>
                <w:bCs/>
                <w:sz w:val="24"/>
                <w:szCs w:val="24"/>
                <w:lang w:eastAsia="lv-LV"/>
              </w:rPr>
              <w:t xml:space="preserve">ā iekļautais regulējums </w:t>
            </w:r>
            <w:r w:rsidR="002F4E26">
              <w:rPr>
                <w:rFonts w:ascii="Times New Roman" w:eastAsia="Times New Roman" w:hAnsi="Times New Roman" w:cs="Times New Roman"/>
                <w:bCs/>
                <w:sz w:val="24"/>
                <w:szCs w:val="24"/>
                <w:lang w:eastAsia="lv-LV"/>
              </w:rPr>
              <w:t>t.</w:t>
            </w:r>
            <w:r w:rsidR="009473FA">
              <w:rPr>
                <w:rFonts w:ascii="Times New Roman" w:eastAsia="Times New Roman" w:hAnsi="Times New Roman" w:cs="Times New Roman"/>
                <w:bCs/>
                <w:sz w:val="24"/>
                <w:szCs w:val="24"/>
                <w:lang w:eastAsia="lv-LV"/>
              </w:rPr>
              <w:t> </w:t>
            </w:r>
            <w:r w:rsidR="006A1907">
              <w:rPr>
                <w:rFonts w:ascii="Times New Roman" w:eastAsia="Times New Roman" w:hAnsi="Times New Roman" w:cs="Times New Roman"/>
                <w:bCs/>
                <w:sz w:val="24"/>
                <w:szCs w:val="24"/>
                <w:lang w:eastAsia="lv-LV"/>
              </w:rPr>
              <w:t>i</w:t>
            </w:r>
            <w:r w:rsidR="002F4E26">
              <w:rPr>
                <w:rFonts w:ascii="Times New Roman" w:eastAsia="Times New Roman" w:hAnsi="Times New Roman" w:cs="Times New Roman"/>
                <w:bCs/>
                <w:sz w:val="24"/>
                <w:szCs w:val="24"/>
                <w:lang w:eastAsia="lv-LV"/>
              </w:rPr>
              <w:t>.</w:t>
            </w:r>
            <w:r w:rsidR="006A1907">
              <w:rPr>
                <w:rFonts w:ascii="Times New Roman" w:eastAsia="Times New Roman" w:hAnsi="Times New Roman" w:cs="Times New Roman"/>
                <w:bCs/>
                <w:sz w:val="24"/>
                <w:szCs w:val="24"/>
                <w:lang w:eastAsia="lv-LV"/>
              </w:rPr>
              <w:t>,</w:t>
            </w:r>
            <w:r w:rsidR="002F4E26">
              <w:rPr>
                <w:rFonts w:ascii="Times New Roman" w:eastAsia="Times New Roman" w:hAnsi="Times New Roman" w:cs="Times New Roman"/>
                <w:bCs/>
                <w:sz w:val="24"/>
                <w:szCs w:val="24"/>
                <w:lang w:eastAsia="lv-LV"/>
              </w:rPr>
              <w:t xml:space="preserve"> tajos paredzētais </w:t>
            </w:r>
            <w:r>
              <w:rPr>
                <w:rFonts w:ascii="Times New Roman" w:eastAsia="Times New Roman" w:hAnsi="Times New Roman" w:cs="Times New Roman"/>
                <w:bCs/>
                <w:sz w:val="24"/>
                <w:szCs w:val="24"/>
                <w:lang w:eastAsia="lv-LV"/>
              </w:rPr>
              <w:t xml:space="preserve">garantētās atlīdzības </w:t>
            </w:r>
            <w:r w:rsidR="002F4E26">
              <w:rPr>
                <w:rFonts w:ascii="Times New Roman" w:eastAsia="Times New Roman" w:hAnsi="Times New Roman" w:cs="Times New Roman"/>
                <w:bCs/>
                <w:sz w:val="24"/>
                <w:szCs w:val="24"/>
                <w:lang w:eastAsia="lv-LV"/>
              </w:rPr>
              <w:t xml:space="preserve">izmaksas </w:t>
            </w:r>
            <w:r>
              <w:rPr>
                <w:rFonts w:ascii="Times New Roman" w:eastAsia="Times New Roman" w:hAnsi="Times New Roman" w:cs="Times New Roman"/>
                <w:bCs/>
                <w:sz w:val="24"/>
                <w:szCs w:val="24"/>
                <w:lang w:eastAsia="lv-LV"/>
              </w:rPr>
              <w:t>uzsākšanas termiņ</w:t>
            </w:r>
            <w:r w:rsidR="002F4E26">
              <w:rPr>
                <w:rFonts w:ascii="Times New Roman" w:eastAsia="Times New Roman" w:hAnsi="Times New Roman" w:cs="Times New Roman"/>
                <w:bCs/>
                <w:sz w:val="24"/>
                <w:szCs w:val="24"/>
                <w:lang w:eastAsia="lv-LV"/>
              </w:rPr>
              <w:t>š (15</w:t>
            </w:r>
            <w:r w:rsidR="009473FA">
              <w:rPr>
                <w:rFonts w:ascii="Times New Roman" w:eastAsia="Times New Roman" w:hAnsi="Times New Roman" w:cs="Times New Roman"/>
                <w:bCs/>
                <w:sz w:val="24"/>
                <w:szCs w:val="24"/>
                <w:lang w:eastAsia="lv-LV"/>
              </w:rPr>
              <w:t> </w:t>
            </w:r>
            <w:r w:rsidR="002F4E26">
              <w:rPr>
                <w:rFonts w:ascii="Times New Roman" w:eastAsia="Times New Roman" w:hAnsi="Times New Roman" w:cs="Times New Roman"/>
                <w:bCs/>
                <w:sz w:val="24"/>
                <w:szCs w:val="24"/>
                <w:lang w:eastAsia="lv-LV"/>
              </w:rPr>
              <w:t>darbdienu un 10</w:t>
            </w:r>
            <w:r w:rsidR="009473FA">
              <w:rPr>
                <w:rFonts w:ascii="Times New Roman" w:eastAsia="Times New Roman" w:hAnsi="Times New Roman" w:cs="Times New Roman"/>
                <w:bCs/>
                <w:sz w:val="24"/>
                <w:szCs w:val="24"/>
                <w:lang w:eastAsia="lv-LV"/>
              </w:rPr>
              <w:t> </w:t>
            </w:r>
            <w:r w:rsidR="002F4E26">
              <w:rPr>
                <w:rFonts w:ascii="Times New Roman" w:eastAsia="Times New Roman" w:hAnsi="Times New Roman" w:cs="Times New Roman"/>
                <w:bCs/>
                <w:sz w:val="24"/>
                <w:szCs w:val="24"/>
                <w:lang w:eastAsia="lv-LV"/>
              </w:rPr>
              <w:t>darbdienu laikā)</w:t>
            </w:r>
            <w:r>
              <w:rPr>
                <w:rFonts w:ascii="Times New Roman" w:eastAsia="Times New Roman" w:hAnsi="Times New Roman" w:cs="Times New Roman"/>
                <w:bCs/>
                <w:sz w:val="24"/>
                <w:szCs w:val="24"/>
                <w:lang w:eastAsia="lv-LV"/>
              </w:rPr>
              <w:t>,</w:t>
            </w:r>
            <w:r w:rsidR="00AB4E14">
              <w:rPr>
                <w:rFonts w:ascii="Times New Roman" w:eastAsia="Times New Roman" w:hAnsi="Times New Roman" w:cs="Times New Roman"/>
                <w:bCs/>
                <w:sz w:val="24"/>
                <w:szCs w:val="24"/>
                <w:lang w:eastAsia="lv-LV"/>
              </w:rPr>
              <w:t xml:space="preserve"> vairs nav aktuāls, </w:t>
            </w:r>
            <w:r>
              <w:rPr>
                <w:rFonts w:ascii="Times New Roman" w:eastAsia="Times New Roman" w:hAnsi="Times New Roman" w:cs="Times New Roman"/>
                <w:bCs/>
                <w:sz w:val="24"/>
                <w:szCs w:val="24"/>
                <w:lang w:eastAsia="lv-LV"/>
              </w:rPr>
              <w:t xml:space="preserve"> </w:t>
            </w:r>
            <w:r w:rsidR="002F4E26">
              <w:rPr>
                <w:rFonts w:ascii="Times New Roman" w:eastAsia="Times New Roman" w:hAnsi="Times New Roman" w:cs="Times New Roman"/>
                <w:bCs/>
                <w:sz w:val="24"/>
                <w:szCs w:val="24"/>
                <w:lang w:eastAsia="lv-LV"/>
              </w:rPr>
              <w:t>veikti attiecīgi precizējumi</w:t>
            </w:r>
            <w:r w:rsidR="00CB425F">
              <w:rPr>
                <w:rFonts w:ascii="Times New Roman" w:eastAsia="Times New Roman" w:hAnsi="Times New Roman" w:cs="Times New Roman"/>
                <w:bCs/>
                <w:sz w:val="24"/>
                <w:szCs w:val="24"/>
                <w:lang w:eastAsia="lv-LV"/>
              </w:rPr>
              <w:t xml:space="preserve"> un</w:t>
            </w:r>
            <w:r w:rsidR="002F4E26">
              <w:rPr>
                <w:rFonts w:ascii="Times New Roman" w:eastAsia="Times New Roman" w:hAnsi="Times New Roman" w:cs="Times New Roman"/>
                <w:bCs/>
                <w:sz w:val="24"/>
                <w:szCs w:val="24"/>
                <w:lang w:eastAsia="lv-LV"/>
              </w:rPr>
              <w:t xml:space="preserve"> </w:t>
            </w:r>
            <w:r w:rsidR="002F4E26" w:rsidRPr="00E47FFD">
              <w:rPr>
                <w:rFonts w:ascii="Times New Roman" w:eastAsia="Times New Roman" w:hAnsi="Times New Roman" w:cs="Times New Roman"/>
                <w:bCs/>
                <w:sz w:val="24"/>
                <w:szCs w:val="24"/>
                <w:lang w:eastAsia="lv-LV"/>
              </w:rPr>
              <w:t>veidlapas paraugā (noteikumu projekta pielikums)</w:t>
            </w:r>
            <w:r w:rsidR="002F4E26">
              <w:rPr>
                <w:rFonts w:ascii="Times New Roman" w:eastAsia="Times New Roman" w:hAnsi="Times New Roman" w:cs="Times New Roman"/>
                <w:bCs/>
                <w:sz w:val="24"/>
                <w:szCs w:val="24"/>
                <w:lang w:eastAsia="lv-LV"/>
              </w:rPr>
              <w:t xml:space="preserve"> </w:t>
            </w:r>
            <w:r w:rsidR="00CB425F">
              <w:rPr>
                <w:rFonts w:ascii="Times New Roman" w:eastAsia="Times New Roman" w:hAnsi="Times New Roman" w:cs="Times New Roman"/>
                <w:bCs/>
                <w:sz w:val="24"/>
                <w:szCs w:val="24"/>
                <w:lang w:eastAsia="lv-LV"/>
              </w:rPr>
              <w:t xml:space="preserve">iekļauta </w:t>
            </w:r>
            <w:r w:rsidR="002F4E26">
              <w:rPr>
                <w:rFonts w:ascii="Times New Roman" w:eastAsia="Times New Roman" w:hAnsi="Times New Roman" w:cs="Times New Roman"/>
                <w:bCs/>
                <w:sz w:val="24"/>
                <w:szCs w:val="24"/>
                <w:lang w:eastAsia="lv-LV"/>
              </w:rPr>
              <w:t>informācij</w:t>
            </w:r>
            <w:r w:rsidR="00CB425F">
              <w:rPr>
                <w:rFonts w:ascii="Times New Roman" w:eastAsia="Times New Roman" w:hAnsi="Times New Roman" w:cs="Times New Roman"/>
                <w:bCs/>
                <w:sz w:val="24"/>
                <w:szCs w:val="24"/>
                <w:lang w:eastAsia="lv-LV"/>
              </w:rPr>
              <w:t>a</w:t>
            </w:r>
            <w:r w:rsidR="00CD05CB" w:rsidRPr="00CD05CB">
              <w:rPr>
                <w:rFonts w:ascii="Times New Roman" w:eastAsia="Times New Roman" w:hAnsi="Times New Roman" w:cs="Times New Roman"/>
                <w:bCs/>
                <w:sz w:val="24"/>
                <w:szCs w:val="24"/>
                <w:lang w:eastAsia="lv-LV"/>
              </w:rPr>
              <w:t>, ka garantēt</w:t>
            </w:r>
            <w:r w:rsidR="00B074FF">
              <w:rPr>
                <w:rFonts w:ascii="Times New Roman" w:eastAsia="Times New Roman" w:hAnsi="Times New Roman" w:cs="Times New Roman"/>
                <w:bCs/>
                <w:sz w:val="24"/>
                <w:szCs w:val="24"/>
                <w:lang w:eastAsia="lv-LV"/>
              </w:rPr>
              <w:t>ā</w:t>
            </w:r>
            <w:r w:rsidR="00CD05CB" w:rsidRPr="00CD05CB">
              <w:rPr>
                <w:rFonts w:ascii="Times New Roman" w:eastAsia="Times New Roman" w:hAnsi="Times New Roman" w:cs="Times New Roman"/>
                <w:bCs/>
                <w:sz w:val="24"/>
                <w:szCs w:val="24"/>
                <w:lang w:eastAsia="lv-LV"/>
              </w:rPr>
              <w:t xml:space="preserve"> </w:t>
            </w:r>
            <w:r w:rsidR="00B074FF" w:rsidRPr="00B074FF">
              <w:rPr>
                <w:rFonts w:ascii="Times New Roman" w:eastAsia="Times New Roman" w:hAnsi="Times New Roman" w:cs="Times New Roman"/>
                <w:bCs/>
                <w:sz w:val="24"/>
                <w:szCs w:val="24"/>
                <w:lang w:eastAsia="lv-LV"/>
              </w:rPr>
              <w:t>atlīdzība ir pieejama ne vēlāk kā septiņu darbdienu laikā pēc dienas, kad iestājusies noguldījumu nepieejamība</w:t>
            </w:r>
            <w:r w:rsidR="00CD05CB">
              <w:rPr>
                <w:rFonts w:ascii="Times New Roman" w:eastAsia="Times New Roman" w:hAnsi="Times New Roman" w:cs="Times New Roman"/>
                <w:bCs/>
                <w:sz w:val="24"/>
                <w:szCs w:val="24"/>
                <w:lang w:eastAsia="lv-LV"/>
              </w:rPr>
              <w:t>;</w:t>
            </w:r>
          </w:p>
          <w:p w14:paraId="60867157" w14:textId="216931AE" w:rsidR="006F4E21" w:rsidRPr="00F2527D" w:rsidRDefault="002268EF" w:rsidP="0067525D">
            <w:pPr>
              <w:pStyle w:val="ListParagraph"/>
              <w:numPr>
                <w:ilvl w:val="0"/>
                <w:numId w:val="4"/>
              </w:numPr>
              <w:tabs>
                <w:tab w:val="left" w:pos="264"/>
              </w:tabs>
              <w:spacing w:before="120" w:after="120" w:line="240" w:lineRule="auto"/>
              <w:ind w:left="0" w:firstLine="0"/>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precizēta noguldījumu garantiju fonda </w:t>
            </w:r>
            <w:r w:rsidR="00CD05CB">
              <w:rPr>
                <w:rFonts w:ascii="Times New Roman" w:eastAsia="Times New Roman" w:hAnsi="Times New Roman" w:cs="Times New Roman"/>
                <w:bCs/>
                <w:sz w:val="24"/>
                <w:szCs w:val="24"/>
                <w:lang w:eastAsia="lv-LV"/>
              </w:rPr>
              <w:t>kontaktinformācija.</w:t>
            </w:r>
          </w:p>
        </w:tc>
      </w:tr>
      <w:tr w:rsidR="000B4E0A" w:rsidRPr="00CB43C1" w14:paraId="5E047A73" w14:textId="77777777" w:rsidTr="00E253DA">
        <w:trPr>
          <w:trHeight w:val="567"/>
        </w:trPr>
        <w:tc>
          <w:tcPr>
            <w:tcW w:w="1796" w:type="pct"/>
            <w:shd w:val="clear" w:color="auto" w:fill="auto"/>
            <w:hideMark/>
          </w:tcPr>
          <w:p w14:paraId="392312D0" w14:textId="77777777" w:rsidR="00A42788" w:rsidRPr="00CB43C1" w:rsidRDefault="00A42788" w:rsidP="00517943">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lastRenderedPageBreak/>
              <w:t>Leģitīmais mērķis</w:t>
            </w:r>
          </w:p>
          <w:p w14:paraId="76383DF1" w14:textId="1469C7CF" w:rsidR="00CA28AB" w:rsidRPr="00CB43C1"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6AD4387" w14:textId="0006DAE5" w:rsidR="000D7719" w:rsidRPr="00CB43C1" w:rsidRDefault="00E2144D" w:rsidP="00531424">
            <w:pPr>
              <w:spacing w:after="120" w:line="240" w:lineRule="auto"/>
              <w:jc w:val="both"/>
              <w:rPr>
                <w:rFonts w:ascii="Times New Roman" w:hAnsi="Times New Roman" w:cs="Times New Roman"/>
                <w:sz w:val="24"/>
                <w:szCs w:val="24"/>
              </w:rPr>
            </w:pPr>
            <w:r w:rsidRPr="00CB43C1">
              <w:rPr>
                <w:rFonts w:ascii="Times New Roman" w:hAnsi="Times New Roman" w:cs="Times New Roman"/>
                <w:sz w:val="24"/>
                <w:szCs w:val="24"/>
              </w:rPr>
              <w:t xml:space="preserve">Noteikumu projekta leģitīmais mērķis ir citu personu tiesību un sabiedrības labklājības </w:t>
            </w:r>
            <w:r w:rsidR="007C3623" w:rsidRPr="00CB43C1">
              <w:rPr>
                <w:rFonts w:ascii="Times New Roman" w:hAnsi="Times New Roman" w:cs="Times New Roman"/>
                <w:sz w:val="24"/>
                <w:szCs w:val="24"/>
              </w:rPr>
              <w:t>aizsardzība</w:t>
            </w:r>
            <w:r w:rsidRPr="00CB43C1">
              <w:rPr>
                <w:rFonts w:ascii="Times New Roman" w:hAnsi="Times New Roman" w:cs="Times New Roman"/>
                <w:sz w:val="24"/>
                <w:szCs w:val="24"/>
              </w:rPr>
              <w:t>. Minēt</w:t>
            </w:r>
            <w:r w:rsidR="00EE3E74" w:rsidRPr="00CB43C1">
              <w:rPr>
                <w:rFonts w:ascii="Times New Roman" w:hAnsi="Times New Roman" w:cs="Times New Roman"/>
                <w:sz w:val="24"/>
                <w:szCs w:val="24"/>
              </w:rPr>
              <w:t>ais</w:t>
            </w:r>
            <w:r w:rsidRPr="00CB43C1">
              <w:rPr>
                <w:rFonts w:ascii="Times New Roman" w:hAnsi="Times New Roman" w:cs="Times New Roman"/>
                <w:sz w:val="24"/>
                <w:szCs w:val="24"/>
              </w:rPr>
              <w:t xml:space="preserve"> leģitīm</w:t>
            </w:r>
            <w:r w:rsidR="00EE3E74" w:rsidRPr="00CB43C1">
              <w:rPr>
                <w:rFonts w:ascii="Times New Roman" w:hAnsi="Times New Roman" w:cs="Times New Roman"/>
                <w:sz w:val="24"/>
                <w:szCs w:val="24"/>
              </w:rPr>
              <w:t>ais</w:t>
            </w:r>
            <w:r w:rsidRPr="00CB43C1">
              <w:rPr>
                <w:rFonts w:ascii="Times New Roman" w:hAnsi="Times New Roman" w:cs="Times New Roman"/>
                <w:sz w:val="24"/>
                <w:szCs w:val="24"/>
              </w:rPr>
              <w:t xml:space="preserve"> mērķi</w:t>
            </w:r>
            <w:r w:rsidR="00EE3E74" w:rsidRPr="00CB43C1">
              <w:rPr>
                <w:rFonts w:ascii="Times New Roman" w:hAnsi="Times New Roman" w:cs="Times New Roman"/>
                <w:sz w:val="24"/>
                <w:szCs w:val="24"/>
              </w:rPr>
              <w:t>s</w:t>
            </w:r>
            <w:r w:rsidRPr="00CB43C1">
              <w:rPr>
                <w:rFonts w:ascii="Times New Roman" w:hAnsi="Times New Roman" w:cs="Times New Roman"/>
                <w:sz w:val="24"/>
                <w:szCs w:val="24"/>
              </w:rPr>
              <w:t xml:space="preserve"> tiek sasniegt</w:t>
            </w:r>
            <w:r w:rsidR="00EE3E74" w:rsidRPr="00CB43C1">
              <w:rPr>
                <w:rFonts w:ascii="Times New Roman" w:hAnsi="Times New Roman" w:cs="Times New Roman"/>
                <w:sz w:val="24"/>
                <w:szCs w:val="24"/>
              </w:rPr>
              <w:t>s</w:t>
            </w:r>
            <w:r w:rsidRPr="00CB43C1">
              <w:rPr>
                <w:rFonts w:ascii="Times New Roman" w:hAnsi="Times New Roman" w:cs="Times New Roman"/>
                <w:sz w:val="24"/>
                <w:szCs w:val="24"/>
              </w:rPr>
              <w:t>, nodrošinot</w:t>
            </w:r>
            <w:r w:rsidR="004938E5" w:rsidRPr="00CB43C1">
              <w:rPr>
                <w:rFonts w:ascii="Times New Roman" w:hAnsi="Times New Roman" w:cs="Times New Roman"/>
                <w:sz w:val="24"/>
                <w:szCs w:val="24"/>
              </w:rPr>
              <w:t>, ka</w:t>
            </w:r>
            <w:r w:rsidR="000055BD" w:rsidRPr="00CB43C1">
              <w:rPr>
                <w:rFonts w:ascii="Times New Roman" w:hAnsi="Times New Roman" w:cs="Times New Roman"/>
                <w:sz w:val="24"/>
                <w:szCs w:val="24"/>
              </w:rPr>
              <w:t xml:space="preserve"> </w:t>
            </w:r>
            <w:r w:rsidR="00BE01DA">
              <w:rPr>
                <w:rFonts w:ascii="Times New Roman" w:hAnsi="Times New Roman" w:cs="Times New Roman"/>
                <w:sz w:val="24"/>
                <w:szCs w:val="24"/>
              </w:rPr>
              <w:t xml:space="preserve">noguldījumu piesaistītāji </w:t>
            </w:r>
            <w:r w:rsidR="00247EC5">
              <w:rPr>
                <w:rFonts w:ascii="Times New Roman" w:hAnsi="Times New Roman" w:cs="Times New Roman"/>
                <w:sz w:val="24"/>
                <w:szCs w:val="24"/>
              </w:rPr>
              <w:t>sniedz esošajiem un potenciālajiem noguldītājiem</w:t>
            </w:r>
            <w:r w:rsidR="00BF43D9">
              <w:rPr>
                <w:rFonts w:ascii="Times New Roman" w:hAnsi="Times New Roman" w:cs="Times New Roman"/>
                <w:sz w:val="24"/>
                <w:szCs w:val="24"/>
              </w:rPr>
              <w:t xml:space="preserve"> (klientiem)</w:t>
            </w:r>
            <w:r w:rsidR="00247EC5">
              <w:rPr>
                <w:rFonts w:ascii="Times New Roman" w:hAnsi="Times New Roman" w:cs="Times New Roman"/>
                <w:sz w:val="24"/>
                <w:szCs w:val="24"/>
              </w:rPr>
              <w:t xml:space="preserve"> </w:t>
            </w:r>
            <w:r w:rsidR="00BF43D9" w:rsidRPr="00BF43D9">
              <w:rPr>
                <w:rFonts w:ascii="Times New Roman" w:hAnsi="Times New Roman" w:cs="Times New Roman"/>
                <w:sz w:val="24"/>
                <w:szCs w:val="24"/>
              </w:rPr>
              <w:t xml:space="preserve">Noguldījumu </w:t>
            </w:r>
            <w:r w:rsidR="00BF43D9" w:rsidRPr="00BF43D9">
              <w:rPr>
                <w:rFonts w:ascii="Times New Roman" w:hAnsi="Times New Roman" w:cs="Times New Roman"/>
                <w:sz w:val="24"/>
                <w:szCs w:val="24"/>
              </w:rPr>
              <w:lastRenderedPageBreak/>
              <w:t xml:space="preserve">garantiju likumā </w:t>
            </w:r>
            <w:r w:rsidR="00BF43D9">
              <w:rPr>
                <w:rFonts w:ascii="Times New Roman" w:hAnsi="Times New Roman" w:cs="Times New Roman"/>
                <w:sz w:val="24"/>
                <w:szCs w:val="24"/>
              </w:rPr>
              <w:t>ietverto pamat</w:t>
            </w:r>
            <w:r w:rsidR="00247EC5">
              <w:rPr>
                <w:rFonts w:ascii="Times New Roman" w:hAnsi="Times New Roman" w:cs="Times New Roman"/>
                <w:sz w:val="24"/>
                <w:szCs w:val="24"/>
              </w:rPr>
              <w:t>informāciju par</w:t>
            </w:r>
            <w:r w:rsidR="000227AF" w:rsidRPr="005A0912">
              <w:rPr>
                <w:rFonts w:ascii="Times New Roman" w:hAnsi="Times New Roman" w:cs="Times New Roman"/>
                <w:sz w:val="24"/>
                <w:szCs w:val="24"/>
              </w:rPr>
              <w:t xml:space="preserve"> </w:t>
            </w:r>
            <w:r w:rsidR="00247EC5" w:rsidRPr="005A0912">
              <w:rPr>
                <w:rFonts w:ascii="Times New Roman" w:hAnsi="Times New Roman" w:cs="Times New Roman"/>
                <w:sz w:val="24"/>
                <w:szCs w:val="24"/>
              </w:rPr>
              <w:t>noguldījum</w:t>
            </w:r>
            <w:r w:rsidR="000227AF" w:rsidRPr="005A0912">
              <w:rPr>
                <w:rFonts w:ascii="Times New Roman" w:hAnsi="Times New Roman" w:cs="Times New Roman"/>
                <w:sz w:val="24"/>
                <w:szCs w:val="24"/>
              </w:rPr>
              <w:t>u</w:t>
            </w:r>
            <w:r w:rsidR="00247EC5" w:rsidRPr="005A0912">
              <w:rPr>
                <w:rFonts w:ascii="Times New Roman" w:hAnsi="Times New Roman" w:cs="Times New Roman"/>
                <w:sz w:val="24"/>
                <w:szCs w:val="24"/>
              </w:rPr>
              <w:t xml:space="preserve"> aizsardzību.</w:t>
            </w:r>
          </w:p>
        </w:tc>
      </w:tr>
      <w:tr w:rsidR="000B4E0A" w:rsidRPr="00CB43C1" w14:paraId="039121D7" w14:textId="77777777" w:rsidTr="00E253DA">
        <w:trPr>
          <w:trHeight w:val="567"/>
        </w:trPr>
        <w:tc>
          <w:tcPr>
            <w:tcW w:w="1796" w:type="pct"/>
            <w:shd w:val="clear" w:color="auto" w:fill="auto"/>
            <w:hideMark/>
          </w:tcPr>
          <w:p w14:paraId="2EABB69F" w14:textId="77777777" w:rsidR="00A42788" w:rsidRPr="00CB43C1" w:rsidRDefault="00A42788" w:rsidP="00517943">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lastRenderedPageBreak/>
              <w:t>Samērīgums</w:t>
            </w:r>
          </w:p>
          <w:p w14:paraId="6CDA7E8B" w14:textId="11957B66" w:rsidR="00CA28AB" w:rsidRPr="00CB43C1"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D15FCF3" w14:textId="739745E7" w:rsidR="00FD4D7F" w:rsidRPr="00CB43C1" w:rsidRDefault="00FD4D7F" w:rsidP="00531424">
            <w:pPr>
              <w:spacing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 xml:space="preserve">Lai izvērtētu, vai pieņemtā tiesību norma atbilst samērīguma principam, jānoskaidro: pirmkārt, </w:t>
            </w:r>
            <w:r w:rsidR="00523792" w:rsidRPr="00523792">
              <w:rPr>
                <w:rFonts w:ascii="Times New Roman" w:eastAsia="Times New Roman" w:hAnsi="Times New Roman" w:cs="Times New Roman"/>
                <w:bCs/>
                <w:sz w:val="24"/>
                <w:szCs w:val="24"/>
                <w:lang w:eastAsia="lv-LV"/>
              </w:rPr>
              <w:t>vai leģitīmā mērķa sasniegšanai izraudzītie līdzekļi ir piemēroti šā mērķa sasniegšanai, otrkārt, vai nepastāv personu pamattiesības mazāk ierobežojoši (saudzējošāki) līdzekļi; treškārt, vai labums, ko iegūs sabiedrība, ir lielāks par indivīda tiesībām un likumiskajām interesēm nodarīto zaudējumu</w:t>
            </w:r>
            <w:r w:rsidRPr="00CB43C1">
              <w:rPr>
                <w:rFonts w:ascii="Times New Roman" w:eastAsia="Times New Roman" w:hAnsi="Times New Roman" w:cs="Times New Roman"/>
                <w:bCs/>
                <w:sz w:val="24"/>
                <w:szCs w:val="24"/>
                <w:lang w:eastAsia="lv-LV"/>
              </w:rPr>
              <w:t>.</w:t>
            </w:r>
          </w:p>
          <w:p w14:paraId="71A02D50" w14:textId="28F74FF9" w:rsidR="00BE01DA" w:rsidRDefault="00FD4D7F" w:rsidP="00E311A2">
            <w:pPr>
              <w:spacing w:before="120"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Atbilstošākais veids, kā noteikt</w:t>
            </w:r>
            <w:r w:rsidR="003502F4" w:rsidRPr="00CB43C1">
              <w:rPr>
                <w:rFonts w:ascii="Times New Roman" w:eastAsia="Times New Roman" w:hAnsi="Times New Roman" w:cs="Times New Roman"/>
                <w:bCs/>
                <w:sz w:val="24"/>
                <w:szCs w:val="24"/>
                <w:lang w:eastAsia="lv-LV"/>
              </w:rPr>
              <w:t xml:space="preserve"> </w:t>
            </w:r>
            <w:r w:rsidR="00492B04">
              <w:rPr>
                <w:rFonts w:ascii="Times New Roman" w:eastAsia="Times New Roman" w:hAnsi="Times New Roman" w:cs="Times New Roman"/>
                <w:bCs/>
                <w:sz w:val="24"/>
                <w:szCs w:val="24"/>
                <w:lang w:eastAsia="lv-LV"/>
              </w:rPr>
              <w:t xml:space="preserve">noguldījumu piesaistītājiem </w:t>
            </w:r>
            <w:r w:rsidRPr="00CB43C1">
              <w:rPr>
                <w:rFonts w:ascii="Times New Roman" w:eastAsia="Times New Roman" w:hAnsi="Times New Roman" w:cs="Times New Roman"/>
                <w:bCs/>
                <w:sz w:val="24"/>
                <w:szCs w:val="24"/>
                <w:lang w:eastAsia="lv-LV"/>
              </w:rPr>
              <w:t xml:space="preserve">vienotas un saistošas prasības, ir izdot tiem saistošus noteikumus. Citas alternatīvas jautājuma noregulēšanai un vienotu prasību noteikšanai </w:t>
            </w:r>
            <w:r w:rsidR="00E342BF" w:rsidRPr="00E342BF">
              <w:rPr>
                <w:rFonts w:ascii="Times New Roman" w:eastAsia="Times New Roman" w:hAnsi="Times New Roman" w:cs="Times New Roman"/>
                <w:bCs/>
                <w:sz w:val="24"/>
                <w:szCs w:val="24"/>
                <w:lang w:eastAsia="lv-LV"/>
              </w:rPr>
              <w:t xml:space="preserve">noguldījumu piesaistītājiem </w:t>
            </w:r>
            <w:r w:rsidRPr="00CB43C1">
              <w:rPr>
                <w:rFonts w:ascii="Times New Roman" w:eastAsia="Times New Roman" w:hAnsi="Times New Roman" w:cs="Times New Roman"/>
                <w:bCs/>
                <w:sz w:val="24"/>
                <w:szCs w:val="24"/>
                <w:lang w:eastAsia="lv-LV"/>
              </w:rPr>
              <w:t>nebūtu efektīvas un nesasniegtu izvirzīto mērķi, jo nenodrošinātu minēto prasību vienveidīgu piemērošanu.</w:t>
            </w:r>
          </w:p>
          <w:p w14:paraId="15358280" w14:textId="484BB695" w:rsidR="00AD5AF9" w:rsidRPr="00CB43C1" w:rsidRDefault="00492B04" w:rsidP="00AD5AF9">
            <w:pPr>
              <w:spacing w:before="120" w:after="120" w:line="240" w:lineRule="auto"/>
              <w:jc w:val="both"/>
              <w:rPr>
                <w:rFonts w:ascii="Times New Roman" w:eastAsia="Times New Roman" w:hAnsi="Times New Roman" w:cs="Times New Roman"/>
                <w:bCs/>
                <w:sz w:val="24"/>
                <w:szCs w:val="24"/>
                <w:lang w:eastAsia="lv-LV"/>
              </w:rPr>
            </w:pPr>
            <w:r w:rsidRPr="00492B04">
              <w:rPr>
                <w:rFonts w:ascii="Times New Roman" w:eastAsia="Times New Roman" w:hAnsi="Times New Roman" w:cs="Times New Roman"/>
                <w:bCs/>
                <w:sz w:val="24"/>
                <w:szCs w:val="24"/>
                <w:lang w:eastAsia="lv-LV"/>
              </w:rPr>
              <w:t>A</w:t>
            </w:r>
            <w:r>
              <w:rPr>
                <w:rFonts w:ascii="Times New Roman" w:eastAsia="Times New Roman" w:hAnsi="Times New Roman" w:cs="Times New Roman"/>
                <w:bCs/>
                <w:sz w:val="24"/>
                <w:szCs w:val="24"/>
                <w:lang w:eastAsia="lv-LV"/>
              </w:rPr>
              <w:t xml:space="preserve">r </w:t>
            </w:r>
            <w:r w:rsidR="00EA632E">
              <w:rPr>
                <w:rFonts w:ascii="Times New Roman" w:eastAsia="Times New Roman" w:hAnsi="Times New Roman" w:cs="Times New Roman"/>
                <w:bCs/>
                <w:sz w:val="24"/>
                <w:szCs w:val="24"/>
                <w:lang w:eastAsia="lv-LV"/>
              </w:rPr>
              <w:t>n</w:t>
            </w:r>
            <w:r>
              <w:rPr>
                <w:rFonts w:ascii="Times New Roman" w:eastAsia="Times New Roman" w:hAnsi="Times New Roman" w:cs="Times New Roman"/>
                <w:bCs/>
                <w:sz w:val="24"/>
                <w:szCs w:val="24"/>
                <w:lang w:eastAsia="lv-LV"/>
              </w:rPr>
              <w:t>oteikum</w:t>
            </w:r>
            <w:r w:rsidR="00EA632E">
              <w:rPr>
                <w:rFonts w:ascii="Times New Roman" w:eastAsia="Times New Roman" w:hAnsi="Times New Roman" w:cs="Times New Roman"/>
                <w:bCs/>
                <w:sz w:val="24"/>
                <w:szCs w:val="24"/>
                <w:lang w:eastAsia="lv-LV"/>
              </w:rPr>
              <w:t>u projektu</w:t>
            </w:r>
            <w:r>
              <w:rPr>
                <w:rFonts w:ascii="Times New Roman" w:eastAsia="Times New Roman" w:hAnsi="Times New Roman" w:cs="Times New Roman"/>
                <w:bCs/>
                <w:sz w:val="24"/>
                <w:szCs w:val="24"/>
                <w:lang w:eastAsia="lv-LV"/>
              </w:rPr>
              <w:t xml:space="preserve"> apstiprinātajā </w:t>
            </w:r>
            <w:r w:rsidRPr="00492B04">
              <w:rPr>
                <w:rFonts w:ascii="Times New Roman" w:eastAsia="Times New Roman" w:hAnsi="Times New Roman" w:cs="Times New Roman"/>
                <w:bCs/>
                <w:sz w:val="24"/>
                <w:szCs w:val="24"/>
                <w:lang w:eastAsia="lv-LV"/>
              </w:rPr>
              <w:t>veidlap</w:t>
            </w:r>
            <w:r w:rsidR="00BC63F6">
              <w:rPr>
                <w:rFonts w:ascii="Times New Roman" w:eastAsia="Times New Roman" w:hAnsi="Times New Roman" w:cs="Times New Roman"/>
                <w:bCs/>
                <w:sz w:val="24"/>
                <w:szCs w:val="24"/>
                <w:lang w:eastAsia="lv-LV"/>
              </w:rPr>
              <w:t>as paraugā</w:t>
            </w:r>
            <w:r w:rsidRPr="00492B04">
              <w:rPr>
                <w:rFonts w:ascii="Times New Roman" w:eastAsia="Times New Roman" w:hAnsi="Times New Roman" w:cs="Times New Roman"/>
                <w:bCs/>
                <w:sz w:val="24"/>
                <w:szCs w:val="24"/>
                <w:lang w:eastAsia="lv-LV"/>
              </w:rPr>
              <w:t xml:space="preserve"> ietvert</w:t>
            </w:r>
            <w:r w:rsidR="008B79D1">
              <w:rPr>
                <w:rFonts w:ascii="Times New Roman" w:eastAsia="Times New Roman" w:hAnsi="Times New Roman" w:cs="Times New Roman"/>
                <w:bCs/>
                <w:sz w:val="24"/>
                <w:szCs w:val="24"/>
                <w:lang w:eastAsia="lv-LV"/>
              </w:rPr>
              <w:t>ās</w:t>
            </w:r>
            <w:r w:rsidRPr="00492B04">
              <w:rPr>
                <w:rFonts w:ascii="Times New Roman" w:eastAsia="Times New Roman" w:hAnsi="Times New Roman" w:cs="Times New Roman"/>
                <w:bCs/>
                <w:sz w:val="24"/>
                <w:szCs w:val="24"/>
                <w:lang w:eastAsia="lv-LV"/>
              </w:rPr>
              <w:t xml:space="preserve"> </w:t>
            </w:r>
            <w:r w:rsidR="003F0688">
              <w:rPr>
                <w:rFonts w:ascii="Times New Roman" w:eastAsia="Times New Roman" w:hAnsi="Times New Roman" w:cs="Times New Roman"/>
                <w:bCs/>
                <w:sz w:val="24"/>
                <w:szCs w:val="24"/>
                <w:lang w:eastAsia="lv-LV"/>
              </w:rPr>
              <w:t>pamat</w:t>
            </w:r>
            <w:r w:rsidR="00EA632E">
              <w:rPr>
                <w:rFonts w:ascii="Times New Roman" w:eastAsia="Times New Roman" w:hAnsi="Times New Roman" w:cs="Times New Roman"/>
                <w:bCs/>
                <w:sz w:val="24"/>
                <w:szCs w:val="24"/>
                <w:lang w:eastAsia="lv-LV"/>
              </w:rPr>
              <w:t>i</w:t>
            </w:r>
            <w:r w:rsidRPr="00492B04">
              <w:rPr>
                <w:rFonts w:ascii="Times New Roman" w:eastAsia="Times New Roman" w:hAnsi="Times New Roman" w:cs="Times New Roman"/>
                <w:bCs/>
                <w:sz w:val="24"/>
                <w:szCs w:val="24"/>
                <w:lang w:eastAsia="lv-LV"/>
              </w:rPr>
              <w:t>nformācij</w:t>
            </w:r>
            <w:r w:rsidR="008B79D1">
              <w:rPr>
                <w:rFonts w:ascii="Times New Roman" w:eastAsia="Times New Roman" w:hAnsi="Times New Roman" w:cs="Times New Roman"/>
                <w:bCs/>
                <w:sz w:val="24"/>
                <w:szCs w:val="24"/>
                <w:lang w:eastAsia="lv-LV"/>
              </w:rPr>
              <w:t>as apjoms</w:t>
            </w:r>
            <w:r w:rsidRPr="00492B04">
              <w:rPr>
                <w:rFonts w:ascii="Times New Roman" w:eastAsia="Times New Roman" w:hAnsi="Times New Roman" w:cs="Times New Roman"/>
                <w:bCs/>
                <w:sz w:val="24"/>
                <w:szCs w:val="24"/>
                <w:lang w:eastAsia="lv-LV"/>
              </w:rPr>
              <w:t xml:space="preserve"> par noguldījum</w:t>
            </w:r>
            <w:r w:rsidR="008B79D1">
              <w:rPr>
                <w:rFonts w:ascii="Times New Roman" w:eastAsia="Times New Roman" w:hAnsi="Times New Roman" w:cs="Times New Roman"/>
                <w:bCs/>
                <w:sz w:val="24"/>
                <w:szCs w:val="24"/>
                <w:lang w:eastAsia="lv-LV"/>
              </w:rPr>
              <w:t>a</w:t>
            </w:r>
            <w:r w:rsidRPr="00492B04">
              <w:rPr>
                <w:rFonts w:ascii="Times New Roman" w:eastAsia="Times New Roman" w:hAnsi="Times New Roman" w:cs="Times New Roman"/>
                <w:bCs/>
                <w:sz w:val="24"/>
                <w:szCs w:val="24"/>
                <w:lang w:eastAsia="lv-LV"/>
              </w:rPr>
              <w:t xml:space="preserve"> aizsardzību</w:t>
            </w:r>
            <w:r w:rsidR="008B79D1">
              <w:t xml:space="preserve"> </w:t>
            </w:r>
            <w:r w:rsidR="008B79D1" w:rsidRPr="008B79D1">
              <w:rPr>
                <w:rFonts w:ascii="Times New Roman" w:eastAsia="Times New Roman" w:hAnsi="Times New Roman" w:cs="Times New Roman"/>
                <w:bCs/>
                <w:sz w:val="24"/>
                <w:szCs w:val="24"/>
                <w:lang w:eastAsia="lv-LV"/>
              </w:rPr>
              <w:t>ir atbilstošs, lai izpildītu Noguldījumu garantiju likuma prasības.</w:t>
            </w:r>
            <w:r w:rsidR="00BF43D9">
              <w:t xml:space="preserve"> </w:t>
            </w:r>
            <w:r w:rsidR="00BF43D9" w:rsidRPr="00BF43D9">
              <w:rPr>
                <w:rFonts w:ascii="Times New Roman" w:eastAsia="Times New Roman" w:hAnsi="Times New Roman" w:cs="Times New Roman"/>
                <w:bCs/>
                <w:sz w:val="24"/>
                <w:szCs w:val="24"/>
                <w:lang w:eastAsia="lv-LV"/>
              </w:rPr>
              <w:t>No</w:t>
            </w:r>
            <w:r w:rsidR="001D5906">
              <w:rPr>
                <w:rFonts w:ascii="Times New Roman" w:eastAsia="Times New Roman" w:hAnsi="Times New Roman" w:cs="Times New Roman"/>
                <w:bCs/>
                <w:sz w:val="24"/>
                <w:szCs w:val="24"/>
                <w:lang w:eastAsia="lv-LV"/>
              </w:rPr>
              <w:t>guldījumu piesaistītājie</w:t>
            </w:r>
            <w:r w:rsidR="00BF43D9" w:rsidRPr="00BF43D9">
              <w:rPr>
                <w:rFonts w:ascii="Times New Roman" w:eastAsia="Times New Roman" w:hAnsi="Times New Roman" w:cs="Times New Roman"/>
                <w:bCs/>
                <w:sz w:val="24"/>
                <w:szCs w:val="24"/>
                <w:lang w:eastAsia="lv-LV"/>
              </w:rPr>
              <w:t>m netiek uzlikti būtiski papildu pienākumi, jo noguldījumu piesaistītāja</w:t>
            </w:r>
            <w:r w:rsidR="00DF46AE">
              <w:rPr>
                <w:rFonts w:ascii="Times New Roman" w:eastAsia="Times New Roman" w:hAnsi="Times New Roman" w:cs="Times New Roman"/>
                <w:bCs/>
                <w:sz w:val="24"/>
                <w:szCs w:val="24"/>
                <w:lang w:eastAsia="lv-LV"/>
              </w:rPr>
              <w:t xml:space="preserve"> </w:t>
            </w:r>
            <w:r w:rsidR="00BF43D9" w:rsidRPr="00BF43D9">
              <w:rPr>
                <w:rFonts w:ascii="Times New Roman" w:eastAsia="Times New Roman" w:hAnsi="Times New Roman" w:cs="Times New Roman"/>
                <w:bCs/>
                <w:sz w:val="24"/>
                <w:szCs w:val="24"/>
                <w:lang w:eastAsia="lv-LV"/>
              </w:rPr>
              <w:t xml:space="preserve">pienākums pirms darījumu attiecību uzsākšanas </w:t>
            </w:r>
            <w:r w:rsidR="00AD5AF9">
              <w:rPr>
                <w:rFonts w:ascii="Times New Roman" w:eastAsia="Times New Roman" w:hAnsi="Times New Roman" w:cs="Times New Roman"/>
                <w:bCs/>
                <w:sz w:val="24"/>
                <w:szCs w:val="24"/>
                <w:lang w:eastAsia="lv-LV"/>
              </w:rPr>
              <w:t xml:space="preserve">ar noguldītāju </w:t>
            </w:r>
            <w:r w:rsidR="00BF43D9" w:rsidRPr="00BF43D9">
              <w:rPr>
                <w:rFonts w:ascii="Times New Roman" w:eastAsia="Times New Roman" w:hAnsi="Times New Roman" w:cs="Times New Roman"/>
                <w:bCs/>
                <w:sz w:val="24"/>
                <w:szCs w:val="24"/>
                <w:lang w:eastAsia="lv-LV"/>
              </w:rPr>
              <w:t>sniegt</w:t>
            </w:r>
            <w:r w:rsidR="00AB4E14">
              <w:rPr>
                <w:rFonts w:ascii="Times New Roman" w:eastAsia="Times New Roman" w:hAnsi="Times New Roman" w:cs="Times New Roman"/>
                <w:bCs/>
                <w:sz w:val="24"/>
                <w:szCs w:val="24"/>
                <w:lang w:eastAsia="lv-LV"/>
              </w:rPr>
              <w:t xml:space="preserve"> tam</w:t>
            </w:r>
            <w:r w:rsidR="00BF43D9" w:rsidRPr="00BF43D9">
              <w:rPr>
                <w:rFonts w:ascii="Times New Roman" w:eastAsia="Times New Roman" w:hAnsi="Times New Roman" w:cs="Times New Roman"/>
                <w:bCs/>
                <w:sz w:val="24"/>
                <w:szCs w:val="24"/>
                <w:lang w:eastAsia="lv-LV"/>
              </w:rPr>
              <w:t xml:space="preserve"> informāciju par </w:t>
            </w:r>
            <w:r w:rsidR="00AD5AF9" w:rsidRPr="00AD5AF9">
              <w:rPr>
                <w:rFonts w:ascii="Times New Roman" w:eastAsia="Times New Roman" w:hAnsi="Times New Roman" w:cs="Times New Roman"/>
                <w:bCs/>
                <w:sz w:val="24"/>
                <w:szCs w:val="24"/>
                <w:lang w:eastAsia="lv-LV"/>
              </w:rPr>
              <w:t>garantētās atlīdzības apmēru</w:t>
            </w:r>
            <w:r w:rsidR="00AD5AF9">
              <w:rPr>
                <w:rFonts w:ascii="Times New Roman" w:eastAsia="Times New Roman" w:hAnsi="Times New Roman" w:cs="Times New Roman"/>
                <w:bCs/>
                <w:sz w:val="24"/>
                <w:szCs w:val="24"/>
                <w:lang w:eastAsia="lv-LV"/>
              </w:rPr>
              <w:t>,</w:t>
            </w:r>
            <w:r w:rsidR="00AD5AF9" w:rsidRPr="00AD5AF9">
              <w:rPr>
                <w:rFonts w:ascii="Times New Roman" w:eastAsia="Times New Roman" w:hAnsi="Times New Roman" w:cs="Times New Roman"/>
                <w:bCs/>
                <w:sz w:val="24"/>
                <w:szCs w:val="24"/>
                <w:lang w:eastAsia="lv-LV"/>
              </w:rPr>
              <w:t xml:space="preserve"> </w:t>
            </w:r>
            <w:r w:rsidR="00BF43D9" w:rsidRPr="00BF43D9">
              <w:rPr>
                <w:rFonts w:ascii="Times New Roman" w:eastAsia="Times New Roman" w:hAnsi="Times New Roman" w:cs="Times New Roman"/>
                <w:bCs/>
                <w:sz w:val="24"/>
                <w:szCs w:val="24"/>
                <w:lang w:eastAsia="lv-LV"/>
              </w:rPr>
              <w:t>garantētās atlīdzības izmaksas kārtību un termiņu</w:t>
            </w:r>
            <w:r w:rsidR="00AD5AF9">
              <w:rPr>
                <w:rFonts w:ascii="Times New Roman" w:eastAsia="Times New Roman" w:hAnsi="Times New Roman" w:cs="Times New Roman"/>
                <w:bCs/>
                <w:sz w:val="24"/>
                <w:szCs w:val="24"/>
                <w:lang w:eastAsia="lv-LV"/>
              </w:rPr>
              <w:t xml:space="preserve">, par </w:t>
            </w:r>
            <w:r w:rsidR="00AD5AF9" w:rsidRPr="00AD5AF9">
              <w:rPr>
                <w:rFonts w:ascii="Times New Roman" w:eastAsia="Times New Roman" w:hAnsi="Times New Roman" w:cs="Times New Roman"/>
                <w:bCs/>
                <w:sz w:val="24"/>
                <w:szCs w:val="24"/>
                <w:lang w:eastAsia="lv-LV"/>
              </w:rPr>
              <w:t>prasījumu saistību savstarpējo ieskaitu iespējamību</w:t>
            </w:r>
            <w:r w:rsidR="00523792">
              <w:rPr>
                <w:rFonts w:ascii="Times New Roman" w:eastAsia="Times New Roman" w:hAnsi="Times New Roman" w:cs="Times New Roman"/>
                <w:bCs/>
                <w:sz w:val="24"/>
                <w:szCs w:val="24"/>
                <w:lang w:eastAsia="lv-LV"/>
              </w:rPr>
              <w:t xml:space="preserve">, </w:t>
            </w:r>
            <w:r w:rsidR="00523792" w:rsidRPr="00523792">
              <w:rPr>
                <w:rFonts w:ascii="Times New Roman" w:eastAsia="Times New Roman" w:hAnsi="Times New Roman" w:cs="Times New Roman"/>
                <w:bCs/>
                <w:sz w:val="24"/>
                <w:szCs w:val="24"/>
                <w:lang w:eastAsia="lv-LV"/>
              </w:rPr>
              <w:t>noguldījumu garantiju fonda kontaktinformāciju</w:t>
            </w:r>
            <w:r w:rsidR="00BF43D9" w:rsidRPr="00BF43D9">
              <w:rPr>
                <w:rFonts w:ascii="Times New Roman" w:eastAsia="Times New Roman" w:hAnsi="Times New Roman" w:cs="Times New Roman"/>
                <w:bCs/>
                <w:sz w:val="24"/>
                <w:szCs w:val="24"/>
                <w:lang w:eastAsia="lv-LV"/>
              </w:rPr>
              <w:t xml:space="preserve"> un </w:t>
            </w:r>
            <w:r w:rsidR="00AB4E14">
              <w:rPr>
                <w:rFonts w:ascii="Times New Roman" w:eastAsia="Times New Roman" w:hAnsi="Times New Roman" w:cs="Times New Roman"/>
                <w:bCs/>
                <w:sz w:val="24"/>
                <w:szCs w:val="24"/>
                <w:lang w:eastAsia="lv-LV"/>
              </w:rPr>
              <w:t xml:space="preserve">informāciju </w:t>
            </w:r>
            <w:r w:rsidR="00BF43D9" w:rsidRPr="00BF43D9">
              <w:rPr>
                <w:rFonts w:ascii="Times New Roman" w:eastAsia="Times New Roman" w:hAnsi="Times New Roman" w:cs="Times New Roman"/>
                <w:bCs/>
                <w:sz w:val="24"/>
                <w:szCs w:val="24"/>
                <w:lang w:eastAsia="lv-LV"/>
              </w:rPr>
              <w:t>par noguldījumiem, par kuriem atbilstoši Noguldījumu garantiju likuma 23.</w:t>
            </w:r>
            <w:r w:rsidR="008E5272">
              <w:rPr>
                <w:rFonts w:ascii="Times New Roman" w:eastAsia="Times New Roman" w:hAnsi="Times New Roman" w:cs="Times New Roman"/>
                <w:bCs/>
                <w:sz w:val="24"/>
                <w:szCs w:val="24"/>
                <w:lang w:eastAsia="lv-LV"/>
              </w:rPr>
              <w:t> </w:t>
            </w:r>
            <w:r w:rsidR="00BF43D9" w:rsidRPr="00BF43D9">
              <w:rPr>
                <w:rFonts w:ascii="Times New Roman" w:eastAsia="Times New Roman" w:hAnsi="Times New Roman" w:cs="Times New Roman"/>
                <w:bCs/>
                <w:sz w:val="24"/>
                <w:szCs w:val="24"/>
                <w:lang w:eastAsia="lv-LV"/>
              </w:rPr>
              <w:t xml:space="preserve">pantam garantēto atlīdzību neizmaksā, jau </w:t>
            </w:r>
            <w:r w:rsidR="00523792">
              <w:rPr>
                <w:rFonts w:ascii="Times New Roman" w:eastAsia="Times New Roman" w:hAnsi="Times New Roman" w:cs="Times New Roman"/>
                <w:bCs/>
                <w:sz w:val="24"/>
                <w:szCs w:val="24"/>
                <w:lang w:eastAsia="lv-LV"/>
              </w:rPr>
              <w:t xml:space="preserve">ir </w:t>
            </w:r>
            <w:r w:rsidR="00BF43D9" w:rsidRPr="00BF43D9">
              <w:rPr>
                <w:rFonts w:ascii="Times New Roman" w:eastAsia="Times New Roman" w:hAnsi="Times New Roman" w:cs="Times New Roman"/>
                <w:bCs/>
                <w:sz w:val="24"/>
                <w:szCs w:val="24"/>
                <w:lang w:eastAsia="lv-LV"/>
              </w:rPr>
              <w:t>ietvert</w:t>
            </w:r>
            <w:r w:rsidR="00523792">
              <w:rPr>
                <w:rFonts w:ascii="Times New Roman" w:eastAsia="Times New Roman" w:hAnsi="Times New Roman" w:cs="Times New Roman"/>
                <w:bCs/>
                <w:sz w:val="24"/>
                <w:szCs w:val="24"/>
                <w:lang w:eastAsia="lv-LV"/>
              </w:rPr>
              <w:t>s</w:t>
            </w:r>
            <w:r w:rsidR="00BF43D9" w:rsidRPr="00BF43D9">
              <w:rPr>
                <w:rFonts w:ascii="Times New Roman" w:eastAsia="Times New Roman" w:hAnsi="Times New Roman" w:cs="Times New Roman"/>
                <w:bCs/>
                <w:sz w:val="24"/>
                <w:szCs w:val="24"/>
                <w:lang w:eastAsia="lv-LV"/>
              </w:rPr>
              <w:t xml:space="preserve"> Noguldījumu garantiju likumā.</w:t>
            </w:r>
            <w:r w:rsidR="003F0688">
              <w:rPr>
                <w:rFonts w:ascii="Times New Roman" w:eastAsia="Times New Roman" w:hAnsi="Times New Roman" w:cs="Times New Roman"/>
                <w:bCs/>
                <w:sz w:val="24"/>
                <w:szCs w:val="24"/>
                <w:lang w:eastAsia="lv-LV"/>
              </w:rPr>
              <w:t xml:space="preserve"> </w:t>
            </w:r>
          </w:p>
        </w:tc>
      </w:tr>
      <w:tr w:rsidR="000B4E0A" w:rsidRPr="00CB43C1" w14:paraId="457D6A2B" w14:textId="77777777" w:rsidTr="00E253DA">
        <w:trPr>
          <w:trHeight w:val="567"/>
        </w:trPr>
        <w:tc>
          <w:tcPr>
            <w:tcW w:w="1796" w:type="pct"/>
            <w:shd w:val="clear" w:color="auto" w:fill="auto"/>
            <w:hideMark/>
          </w:tcPr>
          <w:p w14:paraId="167B9358" w14:textId="77777777" w:rsidR="00A42788" w:rsidRPr="00CB43C1" w:rsidRDefault="00A42788" w:rsidP="00517943">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t>Spēkā stāšanās</w:t>
            </w:r>
          </w:p>
          <w:p w14:paraId="71CBECED" w14:textId="06C03345" w:rsidR="00CA28AB" w:rsidRPr="00CB43C1"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74D264D" w14:textId="275210A2" w:rsidR="004A01DF" w:rsidRPr="00CB43C1" w:rsidRDefault="00C05BD9" w:rsidP="00531424">
            <w:pPr>
              <w:spacing w:after="120" w:line="240" w:lineRule="auto"/>
              <w:jc w:val="both"/>
              <w:rPr>
                <w:rFonts w:ascii="Times New Roman" w:eastAsia="Times New Roman" w:hAnsi="Times New Roman" w:cs="Times New Roman"/>
                <w:bCs/>
                <w:sz w:val="24"/>
                <w:szCs w:val="24"/>
                <w:lang w:eastAsia="lv-LV"/>
              </w:rPr>
            </w:pPr>
            <w:r w:rsidRPr="00C05BD9">
              <w:rPr>
                <w:rFonts w:ascii="Times New Roman" w:eastAsia="Times New Roman" w:hAnsi="Times New Roman" w:cs="Times New Roman"/>
                <w:bCs/>
                <w:sz w:val="24"/>
                <w:szCs w:val="24"/>
                <w:lang w:eastAsia="lv-LV"/>
              </w:rPr>
              <w:t>Atbilstoši Latvijas Bankas likuma 8.</w:t>
            </w:r>
            <w:r w:rsidR="00523792">
              <w:rPr>
                <w:rFonts w:ascii="Times New Roman" w:eastAsia="Times New Roman" w:hAnsi="Times New Roman" w:cs="Times New Roman"/>
                <w:bCs/>
                <w:sz w:val="24"/>
                <w:szCs w:val="24"/>
                <w:lang w:eastAsia="lv-LV"/>
              </w:rPr>
              <w:t> </w:t>
            </w:r>
            <w:r w:rsidRPr="00C05BD9">
              <w:rPr>
                <w:rFonts w:ascii="Times New Roman" w:eastAsia="Times New Roman" w:hAnsi="Times New Roman" w:cs="Times New Roman"/>
                <w:bCs/>
                <w:sz w:val="24"/>
                <w:szCs w:val="24"/>
                <w:lang w:eastAsia="lv-LV"/>
              </w:rPr>
              <w:t xml:space="preserve">panta otrajai daļai – nākamajā dienā pēc noteikumu publicēšanas oficiālajā izdevumā ''Latvijas Vēstnesis'', </w:t>
            </w:r>
            <w:r w:rsidR="0047713D">
              <w:rPr>
                <w:rFonts w:ascii="Times New Roman" w:eastAsia="Times New Roman" w:hAnsi="Times New Roman" w:cs="Times New Roman"/>
                <w:bCs/>
                <w:sz w:val="24"/>
                <w:szCs w:val="24"/>
                <w:lang w:eastAsia="lv-LV"/>
              </w:rPr>
              <w:t>vienlaikus</w:t>
            </w:r>
            <w:r w:rsidRPr="00C05BD9">
              <w:rPr>
                <w:rFonts w:ascii="Times New Roman" w:eastAsia="Times New Roman" w:hAnsi="Times New Roman" w:cs="Times New Roman"/>
                <w:bCs/>
                <w:sz w:val="24"/>
                <w:szCs w:val="24"/>
                <w:lang w:eastAsia="lv-LV"/>
              </w:rPr>
              <w:t xml:space="preserve"> ievērojot likuma "Grozījumi Noguldījumu garantiju likumā" (Nr.</w:t>
            </w:r>
            <w:r w:rsidR="00523792">
              <w:rPr>
                <w:rFonts w:ascii="Times New Roman" w:eastAsia="Times New Roman" w:hAnsi="Times New Roman" w:cs="Times New Roman"/>
                <w:bCs/>
                <w:sz w:val="24"/>
                <w:szCs w:val="24"/>
                <w:lang w:eastAsia="lv-LV"/>
              </w:rPr>
              <w:t> </w:t>
            </w:r>
            <w:r w:rsidRPr="00C05BD9">
              <w:rPr>
                <w:rFonts w:ascii="Times New Roman" w:eastAsia="Times New Roman" w:hAnsi="Times New Roman" w:cs="Times New Roman"/>
                <w:bCs/>
                <w:sz w:val="24"/>
                <w:szCs w:val="24"/>
                <w:lang w:eastAsia="lv-LV"/>
              </w:rPr>
              <w:t>559/Lp14) spēkā stāšanās laiku.</w:t>
            </w:r>
          </w:p>
        </w:tc>
      </w:tr>
      <w:tr w:rsidR="000B4E0A" w:rsidRPr="00CB43C1" w14:paraId="29A97663" w14:textId="77777777" w:rsidTr="00E253DA">
        <w:trPr>
          <w:trHeight w:val="567"/>
        </w:trPr>
        <w:tc>
          <w:tcPr>
            <w:tcW w:w="1796" w:type="pct"/>
            <w:shd w:val="clear" w:color="auto" w:fill="auto"/>
            <w:hideMark/>
          </w:tcPr>
          <w:p w14:paraId="5B9C5F63" w14:textId="77777777" w:rsidR="00A42788" w:rsidRPr="00CB43C1" w:rsidRDefault="00A42788" w:rsidP="00517943">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t>Ietekme uz Latvijas Bankas budžetu</w:t>
            </w:r>
          </w:p>
          <w:p w14:paraId="014B1A80" w14:textId="1DD05011" w:rsidR="00CA28AB" w:rsidRPr="00CB43C1"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944460A" w14:textId="40E22A06" w:rsidR="00E53DE9" w:rsidRPr="00CB43C1" w:rsidRDefault="00A52337" w:rsidP="00531424">
            <w:pPr>
              <w:spacing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Nav ietekmes uz Latvijas Bankas budžeta ieņēmumiem vai izdevumiem.</w:t>
            </w:r>
          </w:p>
        </w:tc>
      </w:tr>
      <w:tr w:rsidR="000B4E0A" w:rsidRPr="00CB43C1" w14:paraId="74F122AB" w14:textId="77777777" w:rsidTr="00E253DA">
        <w:trPr>
          <w:trHeight w:val="567"/>
        </w:trPr>
        <w:tc>
          <w:tcPr>
            <w:tcW w:w="1796" w:type="pct"/>
            <w:shd w:val="clear" w:color="auto" w:fill="auto"/>
            <w:hideMark/>
          </w:tcPr>
          <w:p w14:paraId="50B93F09" w14:textId="77777777" w:rsidR="00A42788" w:rsidRPr="00CB43C1" w:rsidRDefault="00A42788" w:rsidP="00517943">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t xml:space="preserve">Administratīvā sloga un izmaksu novērtējums </w:t>
            </w:r>
            <w:r w:rsidR="00C85C34" w:rsidRPr="00CB43C1">
              <w:rPr>
                <w:rFonts w:ascii="Times New Roman" w:eastAsia="Times New Roman" w:hAnsi="Times New Roman" w:cs="Times New Roman"/>
                <w:b/>
                <w:bCs/>
                <w:sz w:val="24"/>
                <w:szCs w:val="24"/>
                <w:lang w:eastAsia="lv-LV"/>
              </w:rPr>
              <w:t>(</w:t>
            </w:r>
            <w:r w:rsidRPr="00CB43C1">
              <w:rPr>
                <w:rFonts w:ascii="Times New Roman" w:eastAsia="Times New Roman" w:hAnsi="Times New Roman" w:cs="Times New Roman"/>
                <w:b/>
                <w:bCs/>
                <w:sz w:val="24"/>
                <w:szCs w:val="24"/>
                <w:lang w:eastAsia="lv-LV"/>
              </w:rPr>
              <w:t>tirgus dalībniekiem</w:t>
            </w:r>
            <w:r w:rsidR="00C85C34" w:rsidRPr="00CB43C1">
              <w:rPr>
                <w:rFonts w:ascii="Times New Roman" w:eastAsia="Times New Roman" w:hAnsi="Times New Roman" w:cs="Times New Roman"/>
                <w:b/>
                <w:bCs/>
                <w:sz w:val="24"/>
                <w:szCs w:val="24"/>
                <w:lang w:eastAsia="lv-LV"/>
              </w:rPr>
              <w:t>)</w:t>
            </w:r>
          </w:p>
          <w:p w14:paraId="652F8FE6" w14:textId="1904302F" w:rsidR="00CA28AB" w:rsidRPr="00CB43C1"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CB065E2" w14:textId="47602EE3" w:rsidR="00A42788" w:rsidRPr="00CB43C1" w:rsidRDefault="000736D3" w:rsidP="00531424">
            <w:pPr>
              <w:spacing w:after="120" w:line="240" w:lineRule="auto"/>
              <w:jc w:val="both"/>
              <w:rPr>
                <w:rFonts w:ascii="Times New Roman" w:eastAsia="Times New Roman" w:hAnsi="Times New Roman" w:cs="Times New Roman"/>
                <w:bCs/>
                <w:sz w:val="24"/>
                <w:szCs w:val="24"/>
                <w:lang w:eastAsia="lv-LV"/>
              </w:rPr>
            </w:pPr>
            <w:r w:rsidRPr="000736D3">
              <w:rPr>
                <w:rFonts w:ascii="Times New Roman" w:eastAsia="Times New Roman" w:hAnsi="Times New Roman" w:cs="Times New Roman"/>
                <w:bCs/>
                <w:sz w:val="24"/>
                <w:szCs w:val="24"/>
                <w:lang w:eastAsia="lv-LV"/>
              </w:rPr>
              <w:t xml:space="preserve">Noteikumu projekts nerada papildu administratīvo slogu </w:t>
            </w:r>
            <w:r w:rsidR="004B488D">
              <w:rPr>
                <w:rFonts w:ascii="Times New Roman" w:eastAsia="Times New Roman" w:hAnsi="Times New Roman" w:cs="Times New Roman"/>
                <w:bCs/>
                <w:sz w:val="24"/>
                <w:szCs w:val="24"/>
                <w:lang w:eastAsia="lv-LV"/>
              </w:rPr>
              <w:t>noguldījumu piesaistītājiem.</w:t>
            </w:r>
          </w:p>
        </w:tc>
      </w:tr>
      <w:tr w:rsidR="000B4E0A" w:rsidRPr="00CB43C1" w14:paraId="5E6D0405" w14:textId="77777777" w:rsidTr="00E253DA">
        <w:trPr>
          <w:trHeight w:val="567"/>
        </w:trPr>
        <w:tc>
          <w:tcPr>
            <w:tcW w:w="1796" w:type="pct"/>
            <w:shd w:val="clear" w:color="auto" w:fill="auto"/>
            <w:hideMark/>
          </w:tcPr>
          <w:p w14:paraId="2F4E3287" w14:textId="77777777" w:rsidR="00A42788" w:rsidRPr="00CB43C1" w:rsidRDefault="00A42788" w:rsidP="00517943">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t>Saistītie dokumenti</w:t>
            </w:r>
          </w:p>
          <w:p w14:paraId="378C981E" w14:textId="6DB40C71" w:rsidR="00CA28AB" w:rsidRPr="00CB43C1"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5C60844" w14:textId="556CBC21" w:rsidR="00BF3A88" w:rsidRPr="00605597" w:rsidRDefault="00605597" w:rsidP="00CD79E1">
            <w:pPr>
              <w:spacing w:after="120" w:line="240" w:lineRule="auto"/>
              <w:jc w:val="both"/>
              <w:rPr>
                <w:rFonts w:ascii="Times New Roman" w:eastAsia="Times New Roman" w:hAnsi="Times New Roman" w:cs="Times New Roman"/>
                <w:bCs/>
                <w:sz w:val="24"/>
                <w:szCs w:val="24"/>
                <w:lang w:eastAsia="lv-LV"/>
              </w:rPr>
            </w:pPr>
            <w:r w:rsidRPr="00605597">
              <w:rPr>
                <w:rFonts w:ascii="Times New Roman" w:eastAsia="Times New Roman" w:hAnsi="Times New Roman" w:cs="Times New Roman"/>
                <w:bCs/>
                <w:sz w:val="24"/>
                <w:szCs w:val="24"/>
                <w:lang w:eastAsia="lv-LV"/>
              </w:rPr>
              <w:t>1.</w:t>
            </w:r>
            <w:r w:rsidR="00523792">
              <w:rPr>
                <w:rFonts w:ascii="Times New Roman" w:eastAsia="Times New Roman" w:hAnsi="Times New Roman" w:cs="Times New Roman"/>
                <w:bCs/>
                <w:sz w:val="24"/>
                <w:szCs w:val="24"/>
                <w:lang w:eastAsia="lv-LV"/>
              </w:rPr>
              <w:t> </w:t>
            </w:r>
            <w:r w:rsidR="00BF3A88" w:rsidRPr="00605597">
              <w:rPr>
                <w:rFonts w:ascii="Times New Roman" w:eastAsia="Times New Roman" w:hAnsi="Times New Roman" w:cs="Times New Roman"/>
                <w:bCs/>
                <w:sz w:val="24"/>
                <w:szCs w:val="24"/>
                <w:lang w:eastAsia="lv-LV"/>
              </w:rPr>
              <w:t>Noteikumi Nr.</w:t>
            </w:r>
            <w:r w:rsidR="00F965E4" w:rsidRPr="00605597">
              <w:rPr>
                <w:rFonts w:ascii="Times New Roman" w:eastAsia="Times New Roman" w:hAnsi="Times New Roman" w:cs="Times New Roman"/>
                <w:bCs/>
                <w:sz w:val="24"/>
                <w:szCs w:val="24"/>
                <w:lang w:eastAsia="lv-LV"/>
              </w:rPr>
              <w:t> </w:t>
            </w:r>
            <w:r w:rsidR="00376326" w:rsidRPr="00605597">
              <w:rPr>
                <w:rFonts w:ascii="Times New Roman" w:eastAsia="Times New Roman" w:hAnsi="Times New Roman" w:cs="Times New Roman"/>
                <w:bCs/>
                <w:sz w:val="24"/>
                <w:szCs w:val="24"/>
                <w:lang w:eastAsia="lv-LV"/>
              </w:rPr>
              <w:t>180</w:t>
            </w:r>
            <w:r w:rsidR="005A4590" w:rsidRPr="00605597">
              <w:rPr>
                <w:rFonts w:ascii="Times New Roman" w:eastAsia="Times New Roman" w:hAnsi="Times New Roman" w:cs="Times New Roman"/>
                <w:bCs/>
                <w:sz w:val="24"/>
                <w:szCs w:val="24"/>
                <w:lang w:eastAsia="lv-LV"/>
              </w:rPr>
              <w:t>.</w:t>
            </w:r>
          </w:p>
          <w:p w14:paraId="291C79B7" w14:textId="5C7BBAAE" w:rsidR="00605597" w:rsidRDefault="008A4612" w:rsidP="00E311A2">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2</w:t>
            </w:r>
            <w:r w:rsidR="005A4590">
              <w:rPr>
                <w:rFonts w:ascii="Times New Roman" w:eastAsia="Times New Roman" w:hAnsi="Times New Roman" w:cs="Times New Roman"/>
                <w:bCs/>
                <w:sz w:val="24"/>
                <w:szCs w:val="24"/>
                <w:lang w:eastAsia="lv-LV"/>
              </w:rPr>
              <w:t>.</w:t>
            </w:r>
            <w:r w:rsidR="00F965E4" w:rsidRPr="00CB43C1">
              <w:rPr>
                <w:rFonts w:ascii="Times New Roman" w:eastAsia="Times New Roman" w:hAnsi="Times New Roman" w:cs="Times New Roman"/>
                <w:bCs/>
                <w:sz w:val="24"/>
                <w:szCs w:val="24"/>
                <w:lang w:eastAsia="lv-LV"/>
              </w:rPr>
              <w:t> </w:t>
            </w:r>
            <w:r w:rsidR="00376326">
              <w:rPr>
                <w:rFonts w:ascii="Times New Roman" w:eastAsia="Times New Roman" w:hAnsi="Times New Roman" w:cs="Times New Roman"/>
                <w:bCs/>
                <w:sz w:val="24"/>
                <w:szCs w:val="24"/>
                <w:lang w:eastAsia="lv-LV"/>
              </w:rPr>
              <w:t>Noguldījumu garantiju</w:t>
            </w:r>
            <w:r w:rsidR="00BF3A88" w:rsidRPr="00CB43C1">
              <w:rPr>
                <w:rFonts w:ascii="Times New Roman" w:eastAsia="Times New Roman" w:hAnsi="Times New Roman" w:cs="Times New Roman"/>
                <w:bCs/>
                <w:sz w:val="24"/>
                <w:szCs w:val="24"/>
                <w:lang w:eastAsia="lv-LV"/>
              </w:rPr>
              <w:t xml:space="preserve"> likums</w:t>
            </w:r>
            <w:r w:rsidR="00E138DB" w:rsidRPr="00CB43C1">
              <w:rPr>
                <w:rFonts w:ascii="Times New Roman" w:eastAsia="Times New Roman" w:hAnsi="Times New Roman" w:cs="Times New Roman"/>
                <w:bCs/>
                <w:sz w:val="24"/>
                <w:szCs w:val="24"/>
                <w:lang w:eastAsia="lv-LV"/>
              </w:rPr>
              <w:t>.</w:t>
            </w:r>
          </w:p>
          <w:p w14:paraId="27B485CD" w14:textId="2A1D1715" w:rsidR="002268EF" w:rsidRPr="00CB43C1" w:rsidRDefault="008A4612" w:rsidP="00E311A2">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3</w:t>
            </w:r>
            <w:r w:rsidR="002268EF">
              <w:rPr>
                <w:rFonts w:ascii="Times New Roman" w:eastAsia="Times New Roman" w:hAnsi="Times New Roman" w:cs="Times New Roman"/>
                <w:bCs/>
                <w:sz w:val="24"/>
                <w:szCs w:val="24"/>
                <w:lang w:eastAsia="lv-LV"/>
              </w:rPr>
              <w:t>. </w:t>
            </w:r>
            <w:r w:rsidR="009473FA">
              <w:rPr>
                <w:rFonts w:ascii="Times New Roman" w:eastAsia="Times New Roman" w:hAnsi="Times New Roman" w:cs="Times New Roman"/>
                <w:bCs/>
                <w:sz w:val="24"/>
                <w:szCs w:val="24"/>
                <w:lang w:eastAsia="lv-LV"/>
              </w:rPr>
              <w:t xml:space="preserve">Likumprojekts </w:t>
            </w:r>
            <w:r w:rsidR="002268EF" w:rsidRPr="002268EF">
              <w:rPr>
                <w:rFonts w:ascii="Times New Roman" w:eastAsia="Times New Roman" w:hAnsi="Times New Roman" w:cs="Times New Roman"/>
                <w:bCs/>
                <w:sz w:val="24"/>
                <w:szCs w:val="24"/>
                <w:lang w:eastAsia="lv-LV"/>
              </w:rPr>
              <w:t>"</w:t>
            </w:r>
            <w:r w:rsidR="002268EF">
              <w:rPr>
                <w:rFonts w:ascii="Times New Roman" w:eastAsia="Times New Roman" w:hAnsi="Times New Roman" w:cs="Times New Roman"/>
                <w:bCs/>
                <w:sz w:val="24"/>
                <w:szCs w:val="24"/>
                <w:lang w:eastAsia="lv-LV"/>
              </w:rPr>
              <w:t>Grozījumi Noguldījumu garantiju likumā</w:t>
            </w:r>
            <w:r w:rsidR="002268EF" w:rsidRPr="002268EF">
              <w:rPr>
                <w:rFonts w:ascii="Times New Roman" w:eastAsia="Times New Roman" w:hAnsi="Times New Roman" w:cs="Times New Roman"/>
                <w:bCs/>
                <w:sz w:val="24"/>
                <w:szCs w:val="24"/>
                <w:lang w:eastAsia="lv-LV"/>
              </w:rPr>
              <w:t>"</w:t>
            </w:r>
            <w:r w:rsidR="002268EF">
              <w:rPr>
                <w:rFonts w:ascii="Times New Roman" w:eastAsia="Times New Roman" w:hAnsi="Times New Roman" w:cs="Times New Roman"/>
                <w:bCs/>
                <w:sz w:val="24"/>
                <w:szCs w:val="24"/>
                <w:lang w:eastAsia="lv-LV"/>
              </w:rPr>
              <w:t xml:space="preserve"> (Nr. 559/Lp14).</w:t>
            </w:r>
          </w:p>
        </w:tc>
      </w:tr>
      <w:tr w:rsidR="000B4E0A" w:rsidRPr="00CB43C1" w14:paraId="7B39A4DD" w14:textId="77777777" w:rsidTr="00E253DA">
        <w:trPr>
          <w:trHeight w:val="567"/>
        </w:trPr>
        <w:tc>
          <w:tcPr>
            <w:tcW w:w="1796" w:type="pct"/>
            <w:shd w:val="clear" w:color="auto" w:fill="auto"/>
            <w:hideMark/>
          </w:tcPr>
          <w:p w14:paraId="0B99FFDD" w14:textId="77777777" w:rsidR="00A42788" w:rsidRPr="00CB43C1" w:rsidRDefault="00A42788" w:rsidP="00517943">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t>Saskaņošana ar Eiropas Centrālo banku</w:t>
            </w:r>
          </w:p>
          <w:p w14:paraId="4A756E9D" w14:textId="65F53909" w:rsidR="00CA28AB" w:rsidRPr="00CB43C1"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62166C3" w14:textId="0F223869" w:rsidR="00A42788" w:rsidRPr="00CB43C1" w:rsidRDefault="0023637C" w:rsidP="00531424">
            <w:pPr>
              <w:spacing w:after="120" w:line="240" w:lineRule="auto"/>
              <w:jc w:val="both"/>
              <w:rPr>
                <w:rFonts w:ascii="Times New Roman" w:eastAsia="Times New Roman" w:hAnsi="Times New Roman" w:cs="Times New Roman"/>
                <w:bCs/>
                <w:sz w:val="24"/>
                <w:szCs w:val="24"/>
                <w:lang w:eastAsia="lv-LV"/>
              </w:rPr>
            </w:pPr>
            <w:r w:rsidRPr="00CB43C1">
              <w:rPr>
                <w:rFonts w:ascii="Times New Roman" w:eastAsia="Times New Roman" w:hAnsi="Times New Roman" w:cs="Times New Roman"/>
                <w:bCs/>
                <w:sz w:val="24"/>
                <w:szCs w:val="24"/>
                <w:lang w:eastAsia="lv-LV"/>
              </w:rPr>
              <w:t>Noteikumu projektu nav nepieciešams saskaņot ar Eiropas Centrālo banku.</w:t>
            </w:r>
          </w:p>
        </w:tc>
      </w:tr>
      <w:tr w:rsidR="000D186F" w:rsidRPr="00CB43C1" w14:paraId="79622963" w14:textId="77777777" w:rsidTr="00E253DA">
        <w:trPr>
          <w:trHeight w:val="567"/>
        </w:trPr>
        <w:tc>
          <w:tcPr>
            <w:tcW w:w="1796" w:type="pct"/>
            <w:shd w:val="clear" w:color="auto" w:fill="auto"/>
            <w:hideMark/>
          </w:tcPr>
          <w:p w14:paraId="581D9633" w14:textId="77777777" w:rsidR="000D186F" w:rsidRPr="00CB43C1" w:rsidRDefault="000D186F" w:rsidP="000D186F">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lastRenderedPageBreak/>
              <w:t>Saskaņošana ar citām publiskām un privātām personām</w:t>
            </w:r>
          </w:p>
          <w:p w14:paraId="6D76A17A" w14:textId="2DF982D9" w:rsidR="000D186F" w:rsidRPr="00CB43C1" w:rsidRDefault="000D186F" w:rsidP="000D186F">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C5800AC" w14:textId="0B6D4078" w:rsidR="000D186F" w:rsidRDefault="000D186F" w:rsidP="00E47FF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Noteikumu projekts </w:t>
            </w:r>
            <w:r w:rsidR="00F70939">
              <w:rPr>
                <w:rFonts w:ascii="Times New Roman" w:hAnsi="Times New Roman" w:cs="Times New Roman"/>
                <w:sz w:val="24"/>
                <w:szCs w:val="24"/>
              </w:rPr>
              <w:t>2024.</w:t>
            </w:r>
            <w:r w:rsidR="003A7F39">
              <w:rPr>
                <w:rFonts w:ascii="Times New Roman" w:hAnsi="Times New Roman" w:cs="Times New Roman"/>
                <w:sz w:val="24"/>
                <w:szCs w:val="24"/>
              </w:rPr>
              <w:t> </w:t>
            </w:r>
            <w:r w:rsidR="00F70939">
              <w:rPr>
                <w:rFonts w:ascii="Times New Roman" w:hAnsi="Times New Roman" w:cs="Times New Roman"/>
                <w:sz w:val="24"/>
                <w:szCs w:val="24"/>
              </w:rPr>
              <w:t>gada 19.</w:t>
            </w:r>
            <w:r w:rsidR="003A7F39">
              <w:rPr>
                <w:rFonts w:ascii="Times New Roman" w:hAnsi="Times New Roman" w:cs="Times New Roman"/>
                <w:sz w:val="24"/>
                <w:szCs w:val="24"/>
              </w:rPr>
              <w:t> </w:t>
            </w:r>
            <w:r w:rsidR="00F70939">
              <w:rPr>
                <w:rFonts w:ascii="Times New Roman" w:hAnsi="Times New Roman" w:cs="Times New Roman"/>
                <w:sz w:val="24"/>
                <w:szCs w:val="24"/>
              </w:rPr>
              <w:t>jūnijā</w:t>
            </w:r>
            <w:r>
              <w:rPr>
                <w:rFonts w:ascii="Times New Roman" w:hAnsi="Times New Roman" w:cs="Times New Roman"/>
                <w:sz w:val="24"/>
                <w:szCs w:val="24"/>
              </w:rPr>
              <w:t xml:space="preserve"> </w:t>
            </w:r>
            <w:r w:rsidR="00853AB8">
              <w:rPr>
                <w:rFonts w:ascii="Times New Roman" w:hAnsi="Times New Roman" w:cs="Times New Roman"/>
                <w:sz w:val="24"/>
                <w:szCs w:val="24"/>
              </w:rPr>
              <w:t xml:space="preserve">tika </w:t>
            </w:r>
            <w:r>
              <w:rPr>
                <w:rFonts w:ascii="Times New Roman" w:hAnsi="Times New Roman" w:cs="Times New Roman"/>
                <w:sz w:val="24"/>
                <w:szCs w:val="24"/>
              </w:rPr>
              <w:t xml:space="preserve">publicēts Latvijas Bankas tīmekļvietnes </w:t>
            </w:r>
            <w:hyperlink r:id="rId11" w:history="1">
              <w:r>
                <w:rPr>
                  <w:rStyle w:val="Hyperlink"/>
                  <w:rFonts w:ascii="Times New Roman" w:hAnsi="Times New Roman" w:cs="Times New Roman"/>
                  <w:sz w:val="24"/>
                  <w:szCs w:val="24"/>
                </w:rPr>
                <w:t>www.bank.lv</w:t>
              </w:r>
            </w:hyperlink>
            <w:r>
              <w:rPr>
                <w:rFonts w:ascii="Times New Roman" w:hAnsi="Times New Roman" w:cs="Times New Roman"/>
                <w:sz w:val="24"/>
                <w:szCs w:val="24"/>
              </w:rPr>
              <w:t xml:space="preserve"> sadaļas "Tiesību akti" apakšsadaļā "Sabiedrības līdzdalība"</w:t>
            </w:r>
            <w:r w:rsidR="009473FA">
              <w:rPr>
                <w:rFonts w:ascii="Times New Roman" w:hAnsi="Times New Roman" w:cs="Times New Roman"/>
                <w:sz w:val="24"/>
                <w:szCs w:val="24"/>
              </w:rPr>
              <w:t>,</w:t>
            </w:r>
            <w:r>
              <w:rPr>
                <w:rFonts w:ascii="Times New Roman" w:hAnsi="Times New Roman" w:cs="Times New Roman"/>
                <w:sz w:val="24"/>
                <w:szCs w:val="24"/>
              </w:rPr>
              <w:t xml:space="preserve"> un par to </w:t>
            </w:r>
            <w:r w:rsidR="00227D57">
              <w:rPr>
                <w:rFonts w:ascii="Times New Roman" w:hAnsi="Times New Roman" w:cs="Times New Roman"/>
                <w:sz w:val="24"/>
                <w:szCs w:val="24"/>
              </w:rPr>
              <w:t xml:space="preserve">bija </w:t>
            </w:r>
            <w:r>
              <w:rPr>
                <w:rFonts w:ascii="Times New Roman" w:hAnsi="Times New Roman" w:cs="Times New Roman"/>
                <w:sz w:val="24"/>
                <w:szCs w:val="24"/>
              </w:rPr>
              <w:t>iespējama sabiedrības līdzdalība.</w:t>
            </w:r>
          </w:p>
          <w:p w14:paraId="0CDB6DC3" w14:textId="0CCCFB48" w:rsidR="00523792" w:rsidRPr="00905142" w:rsidRDefault="00A71350" w:rsidP="00E47FFD">
            <w:pPr>
              <w:spacing w:line="240" w:lineRule="auto"/>
              <w:jc w:val="both"/>
              <w:rPr>
                <w:rFonts w:ascii="Times New Roman" w:hAnsi="Times New Roman" w:cs="Times New Roman"/>
                <w:sz w:val="24"/>
                <w:szCs w:val="24"/>
              </w:rPr>
            </w:pPr>
            <w:r w:rsidRPr="00A71350">
              <w:rPr>
                <w:rFonts w:ascii="Times New Roman" w:hAnsi="Times New Roman" w:cs="Times New Roman"/>
                <w:sz w:val="24"/>
                <w:szCs w:val="24"/>
              </w:rPr>
              <w:t>Vienlaikus par noteikumu projektu un notiekošo sabiedrības līdzdalību individuāli tik</w:t>
            </w:r>
            <w:r w:rsidR="00227D57">
              <w:rPr>
                <w:rFonts w:ascii="Times New Roman" w:hAnsi="Times New Roman" w:cs="Times New Roman"/>
                <w:sz w:val="24"/>
                <w:szCs w:val="24"/>
              </w:rPr>
              <w:t>a</w:t>
            </w:r>
            <w:r w:rsidRPr="00A71350">
              <w:rPr>
                <w:rFonts w:ascii="Times New Roman" w:hAnsi="Times New Roman" w:cs="Times New Roman"/>
                <w:sz w:val="24"/>
                <w:szCs w:val="24"/>
              </w:rPr>
              <w:t xml:space="preserve"> informēta Latvijas Finanšu nozares asociācija un tās kredītiestādes, kuras nav Latvijas Finanšu nozares asociācijas biedres</w:t>
            </w:r>
            <w:r w:rsidR="001F7213">
              <w:rPr>
                <w:rFonts w:ascii="Times New Roman" w:hAnsi="Times New Roman" w:cs="Times New Roman"/>
                <w:sz w:val="24"/>
                <w:szCs w:val="24"/>
              </w:rPr>
              <w:t xml:space="preserve">, kā arī </w:t>
            </w:r>
            <w:r w:rsidR="00F46C1E" w:rsidRPr="00F46C1E">
              <w:rPr>
                <w:rFonts w:ascii="Times New Roman" w:hAnsi="Times New Roman" w:cs="Times New Roman"/>
                <w:sz w:val="24"/>
                <w:szCs w:val="24"/>
              </w:rPr>
              <w:t>Latvijas Kooperatīvo krājaizdevu sabiedrību savienība</w:t>
            </w:r>
            <w:r w:rsidR="001F7213">
              <w:rPr>
                <w:rFonts w:ascii="Times New Roman" w:hAnsi="Times New Roman" w:cs="Times New Roman"/>
                <w:sz w:val="24"/>
                <w:szCs w:val="24"/>
              </w:rPr>
              <w:t xml:space="preserve"> un</w:t>
            </w:r>
            <w:r w:rsidR="001F7213">
              <w:t xml:space="preserve"> </w:t>
            </w:r>
            <w:r w:rsidR="001F7213" w:rsidRPr="001F7213">
              <w:rPr>
                <w:rFonts w:ascii="Times New Roman" w:hAnsi="Times New Roman" w:cs="Times New Roman"/>
                <w:sz w:val="24"/>
                <w:szCs w:val="24"/>
              </w:rPr>
              <w:t>Krājaizdevu Apvienība</w:t>
            </w:r>
            <w:r w:rsidR="00F46C1E">
              <w:rPr>
                <w:rFonts w:ascii="Times New Roman" w:hAnsi="Times New Roman" w:cs="Times New Roman"/>
                <w:sz w:val="24"/>
                <w:szCs w:val="24"/>
              </w:rPr>
              <w:t>.</w:t>
            </w:r>
          </w:p>
          <w:p w14:paraId="7B1DB470" w14:textId="0D3BE1C9" w:rsidR="000D186F" w:rsidRPr="00CB43C1" w:rsidRDefault="00905142" w:rsidP="000D186F">
            <w:pPr>
              <w:spacing w:before="120" w:after="120" w:line="240" w:lineRule="auto"/>
              <w:jc w:val="both"/>
              <w:rPr>
                <w:rFonts w:ascii="Times New Roman" w:hAnsi="Times New Roman" w:cs="Times New Roman"/>
                <w:sz w:val="24"/>
                <w:szCs w:val="24"/>
              </w:rPr>
            </w:pPr>
            <w:r w:rsidRPr="00905142">
              <w:rPr>
                <w:rFonts w:ascii="Times New Roman" w:hAnsi="Times New Roman" w:cs="Times New Roman"/>
                <w:sz w:val="24"/>
                <w:szCs w:val="24"/>
              </w:rPr>
              <w:t>Pēc sabiedrības līdzdalībai noteiktā termiņa beigām noteikumu projekts tik</w:t>
            </w:r>
            <w:r w:rsidR="00DC58BD">
              <w:rPr>
                <w:rFonts w:ascii="Times New Roman" w:hAnsi="Times New Roman" w:cs="Times New Roman"/>
                <w:sz w:val="24"/>
                <w:szCs w:val="24"/>
              </w:rPr>
              <w:t>s</w:t>
            </w:r>
            <w:r w:rsidRPr="00905142">
              <w:rPr>
                <w:rFonts w:ascii="Times New Roman" w:hAnsi="Times New Roman" w:cs="Times New Roman"/>
                <w:sz w:val="24"/>
                <w:szCs w:val="24"/>
              </w:rPr>
              <w:t xml:space="preserve"> iesniegts izskatīšanai Latvijas Bankas konsultatīvās finanšu tirgus padomes sēdē.</w:t>
            </w:r>
          </w:p>
        </w:tc>
      </w:tr>
      <w:tr w:rsidR="000D186F" w:rsidRPr="00CB43C1" w14:paraId="4A3E4A01" w14:textId="77777777" w:rsidTr="00E253DA">
        <w:trPr>
          <w:trHeight w:val="567"/>
        </w:trPr>
        <w:tc>
          <w:tcPr>
            <w:tcW w:w="1796" w:type="pct"/>
            <w:shd w:val="clear" w:color="auto" w:fill="auto"/>
            <w:hideMark/>
          </w:tcPr>
          <w:p w14:paraId="45DABBFE" w14:textId="00AA82F1" w:rsidR="000D186F" w:rsidRPr="00CB43C1" w:rsidRDefault="000D186F" w:rsidP="000D186F">
            <w:pPr>
              <w:spacing w:after="0" w:line="240" w:lineRule="auto"/>
              <w:rPr>
                <w:rFonts w:ascii="Times New Roman" w:eastAsia="Times New Roman" w:hAnsi="Times New Roman" w:cs="Times New Roman"/>
                <w:b/>
                <w:bCs/>
                <w:sz w:val="24"/>
                <w:szCs w:val="24"/>
                <w:lang w:eastAsia="lv-LV"/>
              </w:rPr>
            </w:pPr>
            <w:r w:rsidRPr="00CB43C1">
              <w:rPr>
                <w:rFonts w:ascii="Times New Roman" w:eastAsia="Times New Roman" w:hAnsi="Times New Roman" w:cs="Times New Roman"/>
                <w:b/>
                <w:bCs/>
                <w:sz w:val="24"/>
                <w:szCs w:val="24"/>
                <w:lang w:eastAsia="lv-LV"/>
              </w:rPr>
              <w:t>Saskaņošanas rezultāti</w:t>
            </w:r>
          </w:p>
        </w:tc>
        <w:tc>
          <w:tcPr>
            <w:tcW w:w="3204" w:type="pct"/>
            <w:shd w:val="clear" w:color="auto" w:fill="auto"/>
          </w:tcPr>
          <w:p w14:paraId="736AD104" w14:textId="54677566" w:rsidR="00725217" w:rsidRPr="00CB43C1" w:rsidRDefault="00725217" w:rsidP="000D353C">
            <w:pPr>
              <w:spacing w:after="120" w:line="240" w:lineRule="auto"/>
              <w:jc w:val="both"/>
              <w:rPr>
                <w:rFonts w:ascii="Times New Roman" w:eastAsia="Times New Roman" w:hAnsi="Times New Roman" w:cs="Times New Roman"/>
                <w:bCs/>
                <w:sz w:val="24"/>
                <w:szCs w:val="24"/>
                <w:lang w:eastAsia="lv-LV"/>
              </w:rPr>
            </w:pPr>
            <w:r w:rsidRPr="00725217">
              <w:rPr>
                <w:rFonts w:ascii="Times New Roman" w:eastAsia="Times New Roman" w:hAnsi="Times New Roman" w:cs="Times New Roman"/>
                <w:bCs/>
                <w:sz w:val="24"/>
                <w:szCs w:val="24"/>
                <w:lang w:eastAsia="lv-LV"/>
              </w:rPr>
              <w:t>Sabiedrības līdzdalības rezultātā par noteikumu projektu tika saņemti priekšlikumi, kuri tika ņemti vērā, precizējot noteikumu projektu</w:t>
            </w:r>
            <w:r w:rsidR="004550AB">
              <w:rPr>
                <w:rFonts w:ascii="Times New Roman" w:eastAsia="Times New Roman" w:hAnsi="Times New Roman" w:cs="Times New Roman"/>
                <w:bCs/>
                <w:sz w:val="24"/>
                <w:szCs w:val="24"/>
                <w:lang w:eastAsia="lv-LV"/>
              </w:rPr>
              <w:t xml:space="preserve"> un papildinot anotāciju</w:t>
            </w:r>
            <w:r w:rsidRPr="00725217">
              <w:rPr>
                <w:rFonts w:ascii="Times New Roman" w:eastAsia="Times New Roman" w:hAnsi="Times New Roman" w:cs="Times New Roman"/>
                <w:bCs/>
                <w:sz w:val="24"/>
                <w:szCs w:val="24"/>
                <w:lang w:eastAsia="lv-LV"/>
              </w:rPr>
              <w:t>. To apkopojums ir pievienots anotācijas pielikumā.</w:t>
            </w:r>
          </w:p>
        </w:tc>
      </w:tr>
    </w:tbl>
    <w:p w14:paraId="0B016432" w14:textId="77777777" w:rsidR="00E53DE9" w:rsidRDefault="00E53DE9" w:rsidP="00900C7D">
      <w:pPr>
        <w:spacing w:after="0" w:line="240" w:lineRule="auto"/>
        <w:rPr>
          <w:rFonts w:ascii="Times New Roman" w:hAnsi="Times New Roman" w:cs="Times New Roman"/>
          <w:sz w:val="24"/>
          <w:szCs w:val="24"/>
        </w:rPr>
      </w:pPr>
    </w:p>
    <w:p w14:paraId="440360F5" w14:textId="1B61FC78" w:rsidR="000D353C" w:rsidRDefault="000D353C">
      <w:pPr>
        <w:rPr>
          <w:rFonts w:ascii="Times New Roman" w:hAnsi="Times New Roman" w:cs="Times New Roman"/>
          <w:sz w:val="24"/>
          <w:szCs w:val="24"/>
        </w:rPr>
      </w:pPr>
      <w:r>
        <w:rPr>
          <w:rFonts w:ascii="Times New Roman" w:hAnsi="Times New Roman" w:cs="Times New Roman"/>
          <w:sz w:val="24"/>
          <w:szCs w:val="24"/>
        </w:rPr>
        <w:br w:type="page"/>
      </w:r>
    </w:p>
    <w:p w14:paraId="3D837038" w14:textId="77777777" w:rsidR="000D353C" w:rsidRDefault="000D353C" w:rsidP="000D353C">
      <w:pPr>
        <w:spacing w:after="0"/>
        <w:jc w:val="right"/>
        <w:rPr>
          <w:rFonts w:ascii="Times New Roman" w:hAnsi="Times New Roman" w:cs="Times New Roman"/>
          <w:sz w:val="24"/>
          <w:szCs w:val="24"/>
        </w:rPr>
        <w:sectPr w:rsidR="000D353C" w:rsidSect="00147390">
          <w:headerReference w:type="default" r:id="rId12"/>
          <w:footerReference w:type="default" r:id="rId13"/>
          <w:pgSz w:w="11906" w:h="16838" w:code="9"/>
          <w:pgMar w:top="1134" w:right="1134" w:bottom="1134" w:left="1701" w:header="708" w:footer="708" w:gutter="0"/>
          <w:cols w:space="708"/>
          <w:titlePg/>
          <w:docGrid w:linePitch="360"/>
        </w:sectPr>
      </w:pPr>
    </w:p>
    <w:p w14:paraId="1C48606A" w14:textId="77777777" w:rsidR="000D353C" w:rsidRPr="000D353C" w:rsidRDefault="000D353C" w:rsidP="00AC6377">
      <w:pPr>
        <w:spacing w:after="0"/>
        <w:jc w:val="right"/>
        <w:rPr>
          <w:rFonts w:ascii="Times New Roman" w:hAnsi="Times New Roman" w:cs="Times New Roman"/>
          <w:sz w:val="24"/>
          <w:szCs w:val="24"/>
        </w:rPr>
      </w:pPr>
      <w:r w:rsidRPr="000D353C">
        <w:rPr>
          <w:rFonts w:ascii="Times New Roman" w:hAnsi="Times New Roman" w:cs="Times New Roman"/>
          <w:sz w:val="24"/>
          <w:szCs w:val="24"/>
        </w:rPr>
        <w:lastRenderedPageBreak/>
        <w:t>Pielikums</w:t>
      </w:r>
    </w:p>
    <w:p w14:paraId="6DE2CD09" w14:textId="5C725FFF" w:rsidR="000D353C" w:rsidRDefault="000D353C" w:rsidP="000D353C">
      <w:pPr>
        <w:spacing w:after="0" w:line="240" w:lineRule="auto"/>
        <w:jc w:val="right"/>
        <w:rPr>
          <w:rFonts w:ascii="Times New Roman" w:hAnsi="Times New Roman" w:cs="Times New Roman"/>
          <w:sz w:val="24"/>
          <w:szCs w:val="24"/>
        </w:rPr>
      </w:pPr>
      <w:r w:rsidRPr="000D353C">
        <w:rPr>
          <w:rFonts w:ascii="Times New Roman" w:hAnsi="Times New Roman" w:cs="Times New Roman"/>
          <w:sz w:val="24"/>
          <w:szCs w:val="24"/>
        </w:rPr>
        <w:t>Latvijas Bankas noteikumu projekta anotācijai</w:t>
      </w:r>
    </w:p>
    <w:p w14:paraId="4CD2AF7F" w14:textId="77777777" w:rsidR="000D353C" w:rsidRDefault="000D353C" w:rsidP="000D353C">
      <w:pPr>
        <w:spacing w:after="0" w:line="240" w:lineRule="auto"/>
        <w:jc w:val="right"/>
        <w:rPr>
          <w:rFonts w:ascii="Times New Roman" w:hAnsi="Times New Roman" w:cs="Times New Roman"/>
          <w:sz w:val="24"/>
          <w:szCs w:val="24"/>
        </w:rPr>
      </w:pPr>
    </w:p>
    <w:sdt>
      <w:sdtPr>
        <w:rPr>
          <w:rFonts w:ascii="Times New Roman" w:hAnsi="Times New Roman" w:cs="Times New Roman"/>
          <w:b/>
          <w:color w:val="000000" w:themeColor="text1"/>
          <w:sz w:val="24"/>
          <w:szCs w:val="24"/>
        </w:rPr>
        <w:id w:val="1472949152"/>
        <w:placeholder>
          <w:docPart w:val="9416C82B005B468FB2AA695C8D5A2DC3"/>
        </w:placeholder>
      </w:sdtPr>
      <w:sdtEndPr>
        <w:rPr>
          <w:rFonts w:asciiTheme="minorHAnsi" w:hAnsiTheme="minorHAnsi"/>
          <w:sz w:val="22"/>
        </w:rPr>
      </w:sdtEndPr>
      <w:sdtContent>
        <w:p w14:paraId="0B1A67CC" w14:textId="77777777" w:rsidR="000D353C" w:rsidRPr="00AC6377" w:rsidRDefault="000D353C" w:rsidP="003A7F39">
          <w:pPr>
            <w:spacing w:before="240"/>
            <w:jc w:val="center"/>
            <w:rPr>
              <w:rFonts w:cs="Times New Roman"/>
              <w:b/>
              <w:color w:val="000000" w:themeColor="text1"/>
              <w:szCs w:val="24"/>
            </w:rPr>
          </w:pPr>
          <w:r w:rsidRPr="00AC6377">
            <w:rPr>
              <w:rFonts w:ascii="Times New Roman" w:hAnsi="Times New Roman" w:cs="Times New Roman"/>
              <w:b/>
              <w:color w:val="000000" w:themeColor="text1"/>
              <w:sz w:val="24"/>
              <w:szCs w:val="24"/>
            </w:rPr>
            <w:t>Sabiedrības līdzdalības laikā saņemto priekšlikumu par Latvijas Bankas noteikumu projektu "Noteikumi par veidlapas paraugu informācijas sniegšanai noguldītājam" apkopojums</w:t>
          </w:r>
        </w:p>
      </w:sdtContent>
    </w:sdt>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4472"/>
        <w:gridCol w:w="4519"/>
        <w:gridCol w:w="4942"/>
      </w:tblGrid>
      <w:tr w:rsidR="000D353C" w:rsidRPr="000D353C" w14:paraId="54A91217" w14:textId="77777777" w:rsidTr="000D353C">
        <w:tc>
          <w:tcPr>
            <w:tcW w:w="0" w:type="auto"/>
            <w:tcBorders>
              <w:top w:val="single" w:sz="4" w:space="0" w:color="auto"/>
              <w:left w:val="single" w:sz="4" w:space="0" w:color="auto"/>
              <w:bottom w:val="single" w:sz="4" w:space="0" w:color="auto"/>
              <w:right w:val="single" w:sz="4" w:space="0" w:color="auto"/>
            </w:tcBorders>
          </w:tcPr>
          <w:p w14:paraId="23BDE3A0" w14:textId="21E67464" w:rsidR="000D353C" w:rsidRPr="00AC6377" w:rsidRDefault="000D353C" w:rsidP="00AC6377">
            <w:pPr>
              <w:spacing w:after="0" w:line="240" w:lineRule="auto"/>
              <w:jc w:val="center"/>
              <w:rPr>
                <w:rFonts w:ascii="Times New Roman" w:hAnsi="Times New Roman" w:cs="Times New Roman"/>
                <w:b/>
                <w:sz w:val="24"/>
                <w:szCs w:val="24"/>
              </w:rPr>
            </w:pPr>
            <w:bookmarkStart w:id="0" w:name="_Hlk178177894"/>
            <w:r w:rsidRPr="00AC6377">
              <w:rPr>
                <w:rFonts w:ascii="Times New Roman" w:hAnsi="Times New Roman" w:cs="Times New Roman"/>
                <w:b/>
                <w:sz w:val="24"/>
                <w:szCs w:val="24"/>
              </w:rPr>
              <w:t>Nr.</w:t>
            </w:r>
            <w:r w:rsidRPr="00AC6377">
              <w:rPr>
                <w:rFonts w:ascii="Times New Roman" w:hAnsi="Times New Roman" w:cs="Times New Roman"/>
                <w:b/>
                <w:sz w:val="24"/>
                <w:szCs w:val="24"/>
              </w:rPr>
              <w:br/>
              <w:t>p.</w:t>
            </w:r>
            <w:r w:rsidR="003A7F39">
              <w:rPr>
                <w:rFonts w:ascii="Times New Roman" w:hAnsi="Times New Roman" w:cs="Times New Roman"/>
                <w:b/>
                <w:sz w:val="24"/>
                <w:szCs w:val="24"/>
              </w:rPr>
              <w:t> </w:t>
            </w:r>
            <w:r w:rsidRPr="00AC6377">
              <w:rPr>
                <w:rFonts w:ascii="Times New Roman" w:hAnsi="Times New Roman" w:cs="Times New Roman"/>
                <w:b/>
                <w:sz w:val="24"/>
                <w:szCs w:val="24"/>
              </w:rPr>
              <w:t>k.</w:t>
            </w:r>
          </w:p>
        </w:tc>
        <w:tc>
          <w:tcPr>
            <w:tcW w:w="4495" w:type="dxa"/>
            <w:tcBorders>
              <w:top w:val="single" w:sz="4" w:space="0" w:color="auto"/>
              <w:left w:val="single" w:sz="4" w:space="0" w:color="auto"/>
              <w:bottom w:val="single" w:sz="4" w:space="0" w:color="auto"/>
              <w:right w:val="single" w:sz="4" w:space="0" w:color="auto"/>
            </w:tcBorders>
            <w:shd w:val="clear" w:color="auto" w:fill="auto"/>
            <w:hideMark/>
          </w:tcPr>
          <w:p w14:paraId="46D241F9" w14:textId="77777777" w:rsidR="000D353C" w:rsidRPr="00AC6377" w:rsidRDefault="000D353C" w:rsidP="00AC6377">
            <w:pPr>
              <w:spacing w:after="0" w:line="240" w:lineRule="auto"/>
              <w:jc w:val="center"/>
              <w:rPr>
                <w:rFonts w:ascii="Times New Roman" w:hAnsi="Times New Roman" w:cs="Times New Roman"/>
                <w:b/>
                <w:sz w:val="24"/>
                <w:szCs w:val="24"/>
              </w:rPr>
            </w:pPr>
            <w:r w:rsidRPr="00AC6377">
              <w:rPr>
                <w:rFonts w:ascii="Times New Roman" w:hAnsi="Times New Roman" w:cs="Times New Roman"/>
                <w:b/>
                <w:sz w:val="24"/>
                <w:szCs w:val="24"/>
              </w:rPr>
              <w:t xml:space="preserve">Sabiedrības līdzdalībai nodotā projekta redakcija </w:t>
            </w:r>
            <w:r w:rsidRPr="00AC6377">
              <w:rPr>
                <w:rFonts w:ascii="Times New Roman" w:hAnsi="Times New Roman" w:cs="Times New Roman"/>
                <w:b/>
                <w:iCs/>
                <w:sz w:val="24"/>
                <w:szCs w:val="24"/>
              </w:rPr>
              <w:t>(konkrēta punkta redakcija)</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0B39C6ED" w14:textId="77777777" w:rsidR="000D353C" w:rsidRPr="00AC6377" w:rsidRDefault="000D353C" w:rsidP="00AC6377">
            <w:pPr>
              <w:spacing w:after="0" w:line="240" w:lineRule="auto"/>
              <w:jc w:val="center"/>
              <w:rPr>
                <w:rFonts w:ascii="Times New Roman" w:hAnsi="Times New Roman" w:cs="Times New Roman"/>
                <w:b/>
                <w:sz w:val="24"/>
                <w:szCs w:val="24"/>
              </w:rPr>
            </w:pPr>
            <w:r w:rsidRPr="00AC6377">
              <w:rPr>
                <w:rFonts w:ascii="Times New Roman" w:hAnsi="Times New Roman" w:cs="Times New Roman"/>
                <w:b/>
                <w:sz w:val="24"/>
                <w:szCs w:val="24"/>
              </w:rPr>
              <w:t>Izteiktais iebildums (priekšlikums)</w:t>
            </w:r>
            <w:r w:rsidRPr="00AC6377">
              <w:rPr>
                <w:rFonts w:ascii="Times New Roman" w:hAnsi="Times New Roman" w:cs="Times New Roman"/>
                <w:b/>
                <w:iCs/>
                <w:sz w:val="24"/>
                <w:szCs w:val="24"/>
              </w:rPr>
              <w:t xml:space="preserve"> par projekta konkrēto punktu, norādot sabiedrības pārstāvi</w:t>
            </w:r>
          </w:p>
        </w:tc>
        <w:tc>
          <w:tcPr>
            <w:tcW w:w="4962" w:type="dxa"/>
            <w:tcBorders>
              <w:top w:val="single" w:sz="4" w:space="0" w:color="auto"/>
              <w:left w:val="single" w:sz="4" w:space="0" w:color="auto"/>
              <w:bottom w:val="single" w:sz="4" w:space="0" w:color="auto"/>
              <w:right w:val="single" w:sz="4" w:space="0" w:color="auto"/>
            </w:tcBorders>
            <w:shd w:val="clear" w:color="auto" w:fill="auto"/>
            <w:hideMark/>
          </w:tcPr>
          <w:p w14:paraId="429120EE" w14:textId="77777777" w:rsidR="000D353C" w:rsidRPr="00AC6377" w:rsidRDefault="000D353C" w:rsidP="00AC6377">
            <w:pPr>
              <w:spacing w:after="0" w:line="240" w:lineRule="auto"/>
              <w:jc w:val="center"/>
              <w:rPr>
                <w:rFonts w:ascii="Times New Roman" w:hAnsi="Times New Roman" w:cs="Times New Roman"/>
                <w:b/>
                <w:sz w:val="24"/>
                <w:szCs w:val="24"/>
              </w:rPr>
            </w:pPr>
            <w:r w:rsidRPr="00AC6377">
              <w:rPr>
                <w:rFonts w:ascii="Times New Roman" w:hAnsi="Times New Roman" w:cs="Times New Roman"/>
                <w:b/>
                <w:iCs/>
                <w:sz w:val="24"/>
                <w:szCs w:val="24"/>
              </w:rPr>
              <w:t xml:space="preserve">Latvijas Bankas </w:t>
            </w:r>
            <w:r w:rsidRPr="00AC6377">
              <w:rPr>
                <w:rFonts w:ascii="Times New Roman" w:hAnsi="Times New Roman" w:cs="Times New Roman"/>
                <w:b/>
                <w:sz w:val="24"/>
                <w:szCs w:val="24"/>
              </w:rPr>
              <w:t xml:space="preserve">viedoklis par izteikto iebildumu (priekšlikumu) un </w:t>
            </w:r>
            <w:r w:rsidRPr="00AC6377">
              <w:rPr>
                <w:rFonts w:ascii="Times New Roman" w:hAnsi="Times New Roman" w:cs="Times New Roman"/>
                <w:b/>
                <w:iCs/>
                <w:sz w:val="24"/>
                <w:szCs w:val="24"/>
              </w:rPr>
              <w:t>norāde, vai tas ņemts vērā</w:t>
            </w:r>
          </w:p>
        </w:tc>
      </w:tr>
      <w:tr w:rsidR="000D353C" w:rsidRPr="000D353C" w14:paraId="17F16554" w14:textId="77777777" w:rsidTr="000D353C">
        <w:tc>
          <w:tcPr>
            <w:tcW w:w="0" w:type="auto"/>
            <w:tcBorders>
              <w:top w:val="single" w:sz="4" w:space="0" w:color="auto"/>
              <w:left w:val="single" w:sz="4" w:space="0" w:color="auto"/>
              <w:bottom w:val="single" w:sz="4" w:space="0" w:color="auto"/>
              <w:right w:val="single" w:sz="4" w:space="0" w:color="auto"/>
            </w:tcBorders>
          </w:tcPr>
          <w:p w14:paraId="7527EF11" w14:textId="77777777" w:rsidR="000D353C" w:rsidRPr="00AC6377" w:rsidRDefault="000D353C" w:rsidP="00AC6377">
            <w:pPr>
              <w:spacing w:after="0" w:line="240" w:lineRule="auto"/>
              <w:jc w:val="center"/>
              <w:rPr>
                <w:rFonts w:ascii="Times New Roman" w:hAnsi="Times New Roman" w:cs="Times New Roman"/>
                <w:sz w:val="24"/>
                <w:szCs w:val="24"/>
              </w:rPr>
            </w:pPr>
            <w:r w:rsidRPr="00AC6377">
              <w:rPr>
                <w:rFonts w:ascii="Times New Roman" w:hAnsi="Times New Roman" w:cs="Times New Roman"/>
                <w:sz w:val="24"/>
                <w:szCs w:val="24"/>
              </w:rPr>
              <w:t>1.</w:t>
            </w:r>
          </w:p>
        </w:tc>
        <w:tc>
          <w:tcPr>
            <w:tcW w:w="4495" w:type="dxa"/>
            <w:tcBorders>
              <w:top w:val="single" w:sz="4" w:space="0" w:color="auto"/>
              <w:left w:val="single" w:sz="4" w:space="0" w:color="auto"/>
              <w:bottom w:val="single" w:sz="4" w:space="0" w:color="auto"/>
              <w:right w:val="single" w:sz="4" w:space="0" w:color="auto"/>
            </w:tcBorders>
          </w:tcPr>
          <w:p w14:paraId="180B62E7" w14:textId="77777777" w:rsidR="000D353C" w:rsidRPr="00AC6377" w:rsidRDefault="000D353C" w:rsidP="00AC6377">
            <w:pPr>
              <w:spacing w:after="0" w:line="240" w:lineRule="auto"/>
              <w:jc w:val="both"/>
              <w:rPr>
                <w:rFonts w:ascii="Times New Roman" w:hAnsi="Times New Roman" w:cs="Times New Roman"/>
                <w:sz w:val="24"/>
                <w:szCs w:val="24"/>
              </w:rPr>
            </w:pPr>
            <w:r w:rsidRPr="00AC6377">
              <w:rPr>
                <w:rFonts w:ascii="Times New Roman" w:hAnsi="Times New Roman" w:cs="Times New Roman"/>
                <w:sz w:val="24"/>
                <w:szCs w:val="24"/>
              </w:rPr>
              <w:t>Noteikumu projekta pielikuma sadaļa "Maksimālais garantētās atlīdzības apmērs un noguldījumi, par kuriem neizmaksā garantēto atlīdzību"</w:t>
            </w:r>
          </w:p>
          <w:p w14:paraId="07DDF7FC" w14:textId="77777777" w:rsidR="000D353C" w:rsidRPr="00AC6377" w:rsidRDefault="000D353C" w:rsidP="00AC6377">
            <w:pPr>
              <w:spacing w:after="0" w:line="240" w:lineRule="auto"/>
              <w:jc w:val="both"/>
              <w:rPr>
                <w:rFonts w:ascii="Times New Roman" w:hAnsi="Times New Roman" w:cs="Times New Roman"/>
                <w:sz w:val="24"/>
                <w:szCs w:val="24"/>
              </w:rPr>
            </w:pPr>
            <w:r w:rsidRPr="00AC6377">
              <w:rPr>
                <w:rFonts w:ascii="Times New Roman" w:hAnsi="Times New Roman" w:cs="Times New Roman"/>
                <w:sz w:val="24"/>
                <w:szCs w:val="24"/>
              </w:rPr>
              <w:t>Maksimālais garantētās atlīdzības apmērs ir 100 000 </w:t>
            </w:r>
            <w:r w:rsidRPr="00AC6377">
              <w:rPr>
                <w:rFonts w:ascii="Times New Roman" w:hAnsi="Times New Roman" w:cs="Times New Roman"/>
                <w:i/>
                <w:iCs/>
                <w:sz w:val="24"/>
                <w:szCs w:val="24"/>
              </w:rPr>
              <w:t>euro</w:t>
            </w:r>
            <w:r w:rsidRPr="00AC6377">
              <w:rPr>
                <w:rFonts w:ascii="Times New Roman" w:hAnsi="Times New Roman" w:cs="Times New Roman"/>
                <w:sz w:val="24"/>
                <w:szCs w:val="24"/>
              </w:rPr>
              <w:t xml:space="preserve"> katram kredītiestādes vai krājaizdevu sabiedrības (noguldījumu piesaistītāja) noguldītājam. Garantētās atlīdzības izmaksa tiek veikta </w:t>
            </w:r>
            <w:r w:rsidRPr="00AC6377">
              <w:rPr>
                <w:rFonts w:ascii="Times New Roman" w:hAnsi="Times New Roman" w:cs="Times New Roman"/>
                <w:i/>
                <w:iCs/>
                <w:sz w:val="24"/>
                <w:szCs w:val="24"/>
              </w:rPr>
              <w:t>euro</w:t>
            </w:r>
            <w:r w:rsidRPr="00AC6377">
              <w:rPr>
                <w:rFonts w:ascii="Times New Roman" w:hAnsi="Times New Roman" w:cs="Times New Roman"/>
                <w:sz w:val="24"/>
                <w:szCs w:val="24"/>
              </w:rPr>
              <w:t>. Garantētā atlīdzība saskaņā ar Noguldījumu garantiju likuma 23. pantu netiek izmaksāta par šādiem noguldījumiem:</w:t>
            </w:r>
          </w:p>
          <w:p w14:paraId="697F3DA2" w14:textId="77777777" w:rsidR="000D353C" w:rsidRPr="00AC6377" w:rsidRDefault="000D353C" w:rsidP="00AC6377">
            <w:pPr>
              <w:spacing w:after="0" w:line="240" w:lineRule="auto"/>
              <w:jc w:val="both"/>
              <w:rPr>
                <w:rFonts w:ascii="Times New Roman" w:hAnsi="Times New Roman" w:cs="Times New Roman"/>
                <w:sz w:val="24"/>
                <w:szCs w:val="24"/>
              </w:rPr>
            </w:pPr>
            <w:r w:rsidRPr="00AC6377">
              <w:rPr>
                <w:rFonts w:ascii="Times New Roman" w:hAnsi="Times New Roman" w:cs="Times New Roman"/>
                <w:sz w:val="24"/>
                <w:szCs w:val="24"/>
              </w:rPr>
              <w:t xml:space="preserve">[..] </w:t>
            </w:r>
          </w:p>
          <w:p w14:paraId="516C6DCE" w14:textId="77777777" w:rsidR="000D353C" w:rsidRPr="00AC6377" w:rsidRDefault="000D353C" w:rsidP="00AC6377">
            <w:pPr>
              <w:spacing w:after="0" w:line="240" w:lineRule="auto"/>
              <w:jc w:val="both"/>
              <w:rPr>
                <w:rFonts w:ascii="Times New Roman" w:hAnsi="Times New Roman" w:cs="Times New Roman"/>
                <w:sz w:val="24"/>
                <w:szCs w:val="24"/>
              </w:rPr>
            </w:pPr>
            <w:r w:rsidRPr="00AC6377">
              <w:rPr>
                <w:rFonts w:ascii="Times New Roman" w:hAnsi="Times New Roman" w:cs="Times New Roman"/>
                <w:sz w:val="24"/>
                <w:szCs w:val="24"/>
              </w:rPr>
              <w:t>3) tādu pašvaldību, kuru gada budžets pārsniedz 500 000 </w:t>
            </w:r>
            <w:r w:rsidRPr="00AC6377">
              <w:rPr>
                <w:rFonts w:ascii="Times New Roman" w:hAnsi="Times New Roman" w:cs="Times New Roman"/>
                <w:i/>
                <w:iCs/>
                <w:sz w:val="24"/>
                <w:szCs w:val="24"/>
              </w:rPr>
              <w:t>euro</w:t>
            </w:r>
            <w:r w:rsidRPr="00AC6377">
              <w:rPr>
                <w:rFonts w:ascii="Times New Roman" w:hAnsi="Times New Roman" w:cs="Times New Roman"/>
                <w:sz w:val="24"/>
                <w:szCs w:val="24"/>
              </w:rPr>
              <w:t>, un tiešās pārvaldes iestāžu noguldījumiem;</w:t>
            </w:r>
          </w:p>
          <w:p w14:paraId="47BD5EA3" w14:textId="77777777" w:rsidR="000D353C" w:rsidRPr="00AC6377" w:rsidRDefault="000D353C" w:rsidP="00AC6377">
            <w:pPr>
              <w:spacing w:after="0" w:line="240" w:lineRule="auto"/>
              <w:jc w:val="both"/>
              <w:rPr>
                <w:rFonts w:ascii="Times New Roman" w:hAnsi="Times New Roman" w:cs="Times New Roman"/>
                <w:sz w:val="24"/>
                <w:szCs w:val="24"/>
              </w:rPr>
            </w:pPr>
            <w:r w:rsidRPr="00AC6377">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tcPr>
          <w:p w14:paraId="46E47525" w14:textId="77777777" w:rsidR="000D353C" w:rsidRPr="00AC6377" w:rsidRDefault="000D353C" w:rsidP="00AC6377">
            <w:pPr>
              <w:spacing w:after="0" w:line="240" w:lineRule="auto"/>
              <w:jc w:val="both"/>
              <w:rPr>
                <w:rFonts w:ascii="Times New Roman" w:hAnsi="Times New Roman" w:cs="Times New Roman"/>
                <w:sz w:val="24"/>
                <w:szCs w:val="24"/>
              </w:rPr>
            </w:pPr>
            <w:r w:rsidRPr="00AC6377">
              <w:rPr>
                <w:rFonts w:ascii="Times New Roman" w:hAnsi="Times New Roman" w:cs="Times New Roman"/>
                <w:b/>
                <w:bCs/>
                <w:sz w:val="24"/>
                <w:szCs w:val="24"/>
              </w:rPr>
              <w:t>Latvijas Finanšu nozares asociācija</w:t>
            </w:r>
            <w:r w:rsidRPr="00AC6377">
              <w:rPr>
                <w:rFonts w:ascii="Times New Roman" w:hAnsi="Times New Roman" w:cs="Times New Roman"/>
                <w:sz w:val="24"/>
                <w:szCs w:val="24"/>
              </w:rPr>
              <w:t>:</w:t>
            </w:r>
          </w:p>
          <w:p w14:paraId="456EF5CA" w14:textId="77777777" w:rsidR="000D353C" w:rsidRPr="00AC6377" w:rsidRDefault="000D353C" w:rsidP="00AC6377">
            <w:pPr>
              <w:spacing w:after="0" w:line="240" w:lineRule="auto"/>
              <w:jc w:val="both"/>
              <w:rPr>
                <w:rFonts w:ascii="Times New Roman" w:hAnsi="Times New Roman" w:cs="Times New Roman"/>
                <w:sz w:val="24"/>
                <w:szCs w:val="24"/>
              </w:rPr>
            </w:pPr>
            <w:r w:rsidRPr="00AC6377">
              <w:rPr>
                <w:rFonts w:ascii="Times New Roman" w:hAnsi="Times New Roman" w:cs="Times New Roman"/>
                <w:sz w:val="24"/>
                <w:szCs w:val="24"/>
              </w:rPr>
              <w:t xml:space="preserve">Lūdzam skaidrot Noteikumu projektā ietvertās veidlapas parauga sadaļā "Maksimālais garantētās atlīdzības apmērs un noguldījumi, par kuriem neizmaksā garantēto atlīdzību" ietverto 3. punkta (tādu pašvaldību, kuru gada budžets pārsniedz 500 000 </w:t>
            </w:r>
            <w:r w:rsidRPr="00AC6377">
              <w:rPr>
                <w:rFonts w:ascii="Times New Roman" w:hAnsi="Times New Roman" w:cs="Times New Roman"/>
                <w:i/>
                <w:iCs/>
                <w:sz w:val="24"/>
                <w:szCs w:val="24"/>
              </w:rPr>
              <w:t>euro</w:t>
            </w:r>
            <w:r w:rsidRPr="00AC6377">
              <w:rPr>
                <w:rFonts w:ascii="Times New Roman" w:hAnsi="Times New Roman" w:cs="Times New Roman"/>
                <w:sz w:val="24"/>
                <w:szCs w:val="24"/>
              </w:rPr>
              <w:t>, un tiešās pārvaldes iestāžu noguldījumiem) piemērošanas aspektu - kā kredītiestādes var pārzināt, piemēram, novadu pašvaldību gada budžetus.</w:t>
            </w:r>
          </w:p>
        </w:tc>
        <w:tc>
          <w:tcPr>
            <w:tcW w:w="4962" w:type="dxa"/>
            <w:tcBorders>
              <w:top w:val="single" w:sz="4" w:space="0" w:color="auto"/>
              <w:left w:val="single" w:sz="4" w:space="0" w:color="auto"/>
              <w:bottom w:val="single" w:sz="4" w:space="0" w:color="auto"/>
              <w:right w:val="single" w:sz="4" w:space="0" w:color="auto"/>
            </w:tcBorders>
          </w:tcPr>
          <w:p w14:paraId="4CD82F0F" w14:textId="77777777" w:rsidR="000D353C" w:rsidRPr="00AC6377" w:rsidRDefault="000D353C" w:rsidP="00AC6377">
            <w:pPr>
              <w:spacing w:after="0" w:line="240" w:lineRule="auto"/>
              <w:jc w:val="both"/>
              <w:rPr>
                <w:rFonts w:ascii="Times New Roman" w:hAnsi="Times New Roman" w:cs="Times New Roman"/>
                <w:b/>
                <w:bCs/>
                <w:iCs/>
                <w:sz w:val="24"/>
                <w:szCs w:val="24"/>
              </w:rPr>
            </w:pPr>
            <w:r w:rsidRPr="00AC6377">
              <w:rPr>
                <w:rFonts w:ascii="Times New Roman" w:hAnsi="Times New Roman" w:cs="Times New Roman"/>
                <w:b/>
                <w:bCs/>
                <w:iCs/>
                <w:sz w:val="24"/>
                <w:szCs w:val="24"/>
              </w:rPr>
              <w:t>Ņemts vērā</w:t>
            </w:r>
            <w:r w:rsidRPr="00AC6377">
              <w:rPr>
                <w:rFonts w:ascii="Times New Roman" w:hAnsi="Times New Roman" w:cs="Times New Roman"/>
                <w:iCs/>
                <w:sz w:val="24"/>
                <w:szCs w:val="24"/>
              </w:rPr>
              <w:t xml:space="preserve">. </w:t>
            </w:r>
          </w:p>
          <w:p w14:paraId="1C9222C6" w14:textId="0E743DE9" w:rsidR="000D353C" w:rsidRPr="00AC6377" w:rsidRDefault="000D353C" w:rsidP="00AC6377">
            <w:pPr>
              <w:spacing w:after="0" w:line="240" w:lineRule="auto"/>
              <w:jc w:val="both"/>
              <w:rPr>
                <w:rFonts w:ascii="Times New Roman" w:hAnsi="Times New Roman" w:cs="Times New Roman"/>
                <w:iCs/>
                <w:sz w:val="24"/>
                <w:szCs w:val="24"/>
              </w:rPr>
            </w:pPr>
            <w:r w:rsidRPr="00AC6377">
              <w:rPr>
                <w:rFonts w:ascii="Times New Roman" w:hAnsi="Times New Roman" w:cs="Times New Roman"/>
                <w:iCs/>
                <w:sz w:val="24"/>
                <w:szCs w:val="24"/>
              </w:rPr>
              <w:t>Ar noteikumu projektu apstiprinātajā veidlapas paraugā ietvertās pamatinformācijas apjoms par noguldījumu aizsardzību, t.</w:t>
            </w:r>
            <w:r w:rsidR="003A7F39">
              <w:rPr>
                <w:rFonts w:ascii="Times New Roman" w:hAnsi="Times New Roman" w:cs="Times New Roman"/>
                <w:iCs/>
                <w:sz w:val="24"/>
                <w:szCs w:val="24"/>
              </w:rPr>
              <w:t> </w:t>
            </w:r>
            <w:r w:rsidRPr="00AC6377">
              <w:rPr>
                <w:rFonts w:ascii="Times New Roman" w:hAnsi="Times New Roman" w:cs="Times New Roman"/>
                <w:iCs/>
                <w:sz w:val="24"/>
                <w:szCs w:val="24"/>
              </w:rPr>
              <w:t>sk. par noguldījumiem, par kuriem saskaņā ar Noguldījumu garantiju likuma 23. pantu garantēto atlīdzību neizmaksā, atbilst Noguldījumu garantiju likuma</w:t>
            </w:r>
            <w:r w:rsidR="003A7F39">
              <w:rPr>
                <w:rFonts w:ascii="Times New Roman" w:hAnsi="Times New Roman" w:cs="Times New Roman"/>
                <w:iCs/>
                <w:sz w:val="24"/>
                <w:szCs w:val="24"/>
              </w:rPr>
              <w:t>m</w:t>
            </w:r>
            <w:r w:rsidRPr="00AC6377">
              <w:rPr>
                <w:rFonts w:ascii="Times New Roman" w:hAnsi="Times New Roman" w:cs="Times New Roman"/>
                <w:iCs/>
                <w:sz w:val="24"/>
                <w:szCs w:val="24"/>
              </w:rPr>
              <w:t>, kurā iekļautās tiesību normas izriet no Eiropas Parlamenta un Padomes 2014. gada 16. aprīļa direktīvas</w:t>
            </w:r>
            <w:r w:rsidR="003A7F39">
              <w:rPr>
                <w:rFonts w:ascii="Times New Roman" w:hAnsi="Times New Roman" w:cs="Times New Roman"/>
                <w:iCs/>
                <w:sz w:val="24"/>
                <w:szCs w:val="24"/>
              </w:rPr>
              <w:t> </w:t>
            </w:r>
            <w:r w:rsidRPr="00AC6377">
              <w:rPr>
                <w:rFonts w:ascii="Times New Roman" w:hAnsi="Times New Roman" w:cs="Times New Roman"/>
                <w:iCs/>
                <w:sz w:val="24"/>
                <w:szCs w:val="24"/>
              </w:rPr>
              <w:t>2014/49/ES par noguldījumu garantiju sistēmām (pārstrādāta redakcija) (turpmāk – direktīva 2014/49/ES).</w:t>
            </w:r>
          </w:p>
          <w:p w14:paraId="2D4CD4FB" w14:textId="38EE0FA5" w:rsidR="000D353C" w:rsidRPr="00AC6377" w:rsidRDefault="000D353C" w:rsidP="00AC6377">
            <w:pPr>
              <w:spacing w:after="0" w:line="240" w:lineRule="auto"/>
              <w:jc w:val="both"/>
              <w:rPr>
                <w:rFonts w:ascii="Times New Roman" w:hAnsi="Times New Roman" w:cs="Times New Roman"/>
                <w:iCs/>
                <w:sz w:val="24"/>
                <w:szCs w:val="24"/>
              </w:rPr>
            </w:pPr>
            <w:r w:rsidRPr="00AC6377">
              <w:rPr>
                <w:rFonts w:ascii="Times New Roman" w:hAnsi="Times New Roman" w:cs="Times New Roman"/>
                <w:iCs/>
                <w:sz w:val="24"/>
                <w:szCs w:val="24"/>
              </w:rPr>
              <w:t>Attiecībā uz Noguldījumu garantiju likuma 23. pantā minēto noguldījumu</w:t>
            </w:r>
            <w:r w:rsidR="003A7F39">
              <w:rPr>
                <w:rFonts w:ascii="Times New Roman" w:hAnsi="Times New Roman" w:cs="Times New Roman"/>
                <w:sz w:val="24"/>
                <w:szCs w:val="24"/>
              </w:rPr>
              <w:t> </w:t>
            </w:r>
            <w:r w:rsidRPr="00AC6377">
              <w:rPr>
                <w:rFonts w:ascii="Times New Roman" w:hAnsi="Times New Roman" w:cs="Times New Roman"/>
                <w:iCs/>
                <w:sz w:val="24"/>
                <w:szCs w:val="24"/>
              </w:rPr>
              <w:t>– tādu pašvaldību, kuru gada budžets pārsniedz 500 000 </w:t>
            </w:r>
            <w:r w:rsidRPr="00AC6377">
              <w:rPr>
                <w:rFonts w:ascii="Times New Roman" w:hAnsi="Times New Roman" w:cs="Times New Roman"/>
                <w:i/>
                <w:sz w:val="24"/>
                <w:szCs w:val="24"/>
              </w:rPr>
              <w:t>euro</w:t>
            </w:r>
            <w:r w:rsidRPr="00AC6377">
              <w:rPr>
                <w:rFonts w:ascii="Times New Roman" w:hAnsi="Times New Roman" w:cs="Times New Roman"/>
                <w:iCs/>
                <w:sz w:val="24"/>
                <w:szCs w:val="24"/>
              </w:rPr>
              <w:t>,</w:t>
            </w:r>
            <w:r w:rsidR="003A7F39">
              <w:rPr>
                <w:rFonts w:ascii="Times New Roman" w:hAnsi="Times New Roman" w:cs="Times New Roman"/>
                <w:iCs/>
                <w:sz w:val="24"/>
                <w:szCs w:val="24"/>
              </w:rPr>
              <w:t xml:space="preserve"> noguldījumu –,</w:t>
            </w:r>
            <w:r w:rsidRPr="00AC6377">
              <w:rPr>
                <w:rFonts w:ascii="Times New Roman" w:hAnsi="Times New Roman" w:cs="Times New Roman"/>
                <w:iCs/>
                <w:sz w:val="24"/>
                <w:szCs w:val="24"/>
              </w:rPr>
              <w:t xml:space="preserve"> norādām, ka minētā likuma norma nav jauna, savukārt kredītiestādēm jābūt izstrādātām t</w:t>
            </w:r>
            <w:r w:rsidR="003A7F39">
              <w:rPr>
                <w:rFonts w:ascii="Times New Roman" w:hAnsi="Times New Roman" w:cs="Times New Roman"/>
                <w:iCs/>
                <w:sz w:val="24"/>
                <w:szCs w:val="24"/>
              </w:rPr>
              <w:t>o</w:t>
            </w:r>
            <w:r w:rsidRPr="00AC6377">
              <w:rPr>
                <w:rFonts w:ascii="Times New Roman" w:hAnsi="Times New Roman" w:cs="Times New Roman"/>
                <w:iCs/>
                <w:sz w:val="24"/>
                <w:szCs w:val="24"/>
              </w:rPr>
              <w:t xml:space="preserve"> darbībai atbilstošām iekšējām procedūrām kvalitatīvai finanšu pakalpojumu sniegšanai. </w:t>
            </w:r>
          </w:p>
          <w:p w14:paraId="6DC41F4B" w14:textId="502E88BA" w:rsidR="000D353C" w:rsidRPr="00AC6377" w:rsidRDefault="000D353C" w:rsidP="00AC6377">
            <w:pPr>
              <w:spacing w:after="0" w:line="240" w:lineRule="auto"/>
              <w:jc w:val="both"/>
              <w:rPr>
                <w:rFonts w:ascii="Times New Roman" w:hAnsi="Times New Roman" w:cs="Times New Roman"/>
                <w:iCs/>
                <w:sz w:val="24"/>
                <w:szCs w:val="24"/>
              </w:rPr>
            </w:pPr>
            <w:r w:rsidRPr="00AC6377">
              <w:rPr>
                <w:rFonts w:ascii="Times New Roman" w:hAnsi="Times New Roman" w:cs="Times New Roman"/>
                <w:iCs/>
                <w:sz w:val="24"/>
                <w:szCs w:val="24"/>
              </w:rPr>
              <w:t xml:space="preserve">Pirms darījumu attiecību uzsākšanas ar noguldītāju (klientu) ar to tiek noslēgts </w:t>
            </w:r>
            <w:r w:rsidRPr="00AC6377">
              <w:rPr>
                <w:rFonts w:ascii="Times New Roman" w:hAnsi="Times New Roman" w:cs="Times New Roman"/>
                <w:iCs/>
                <w:sz w:val="24"/>
                <w:szCs w:val="24"/>
              </w:rPr>
              <w:lastRenderedPageBreak/>
              <w:t>konta (</w:t>
            </w:r>
            <w:r w:rsidR="003A7F39">
              <w:rPr>
                <w:rFonts w:ascii="Times New Roman" w:hAnsi="Times New Roman" w:cs="Times New Roman"/>
                <w:iCs/>
                <w:sz w:val="24"/>
                <w:szCs w:val="24"/>
              </w:rPr>
              <w:t>kont</w:t>
            </w:r>
            <w:r w:rsidRPr="00AC6377">
              <w:rPr>
                <w:rFonts w:ascii="Times New Roman" w:hAnsi="Times New Roman" w:cs="Times New Roman"/>
                <w:iCs/>
                <w:sz w:val="24"/>
                <w:szCs w:val="24"/>
              </w:rPr>
              <w:t>u) apkalpošanas līgums. Savukārt noguldītājam ir pienākums iepazīties ar konta apkalpošanas līguma noteikumiem un iesniegt kredītiestādei tās pieprasīto informāciju un dokumentus, kas nepieciešami konta apkalpošanas līguma noslēgšanai, t.</w:t>
            </w:r>
            <w:r w:rsidR="003A7F39">
              <w:rPr>
                <w:rFonts w:ascii="Times New Roman" w:hAnsi="Times New Roman" w:cs="Times New Roman"/>
                <w:iCs/>
                <w:sz w:val="24"/>
                <w:szCs w:val="24"/>
              </w:rPr>
              <w:t> </w:t>
            </w:r>
            <w:r w:rsidRPr="00AC6377">
              <w:rPr>
                <w:rFonts w:ascii="Times New Roman" w:hAnsi="Times New Roman" w:cs="Times New Roman"/>
                <w:iCs/>
                <w:sz w:val="24"/>
                <w:szCs w:val="24"/>
              </w:rPr>
              <w:t>sk. sniegt informāciju par tā darbības veidu (nodarbošanos), naudas darījumiem, to apmēru un citu finanšu informāciju.</w:t>
            </w:r>
          </w:p>
        </w:tc>
      </w:tr>
      <w:tr w:rsidR="000D353C" w:rsidRPr="000D353C" w14:paraId="71E9EF2A" w14:textId="77777777" w:rsidTr="000D353C">
        <w:tc>
          <w:tcPr>
            <w:tcW w:w="0" w:type="auto"/>
            <w:tcBorders>
              <w:top w:val="single" w:sz="4" w:space="0" w:color="auto"/>
              <w:left w:val="single" w:sz="4" w:space="0" w:color="auto"/>
              <w:bottom w:val="single" w:sz="4" w:space="0" w:color="auto"/>
              <w:right w:val="single" w:sz="4" w:space="0" w:color="auto"/>
            </w:tcBorders>
          </w:tcPr>
          <w:p w14:paraId="22C8FC58" w14:textId="77777777" w:rsidR="000D353C" w:rsidRPr="00AC6377" w:rsidRDefault="000D353C" w:rsidP="00AC6377">
            <w:pPr>
              <w:spacing w:after="0" w:line="240" w:lineRule="auto"/>
              <w:jc w:val="center"/>
              <w:rPr>
                <w:rFonts w:ascii="Times New Roman" w:hAnsi="Times New Roman" w:cs="Times New Roman"/>
                <w:sz w:val="24"/>
                <w:szCs w:val="24"/>
              </w:rPr>
            </w:pPr>
            <w:r w:rsidRPr="00AC6377">
              <w:rPr>
                <w:rFonts w:ascii="Times New Roman" w:hAnsi="Times New Roman" w:cs="Times New Roman"/>
                <w:sz w:val="24"/>
                <w:szCs w:val="24"/>
              </w:rPr>
              <w:lastRenderedPageBreak/>
              <w:t>2.</w:t>
            </w:r>
          </w:p>
        </w:tc>
        <w:tc>
          <w:tcPr>
            <w:tcW w:w="4495" w:type="dxa"/>
            <w:tcBorders>
              <w:top w:val="single" w:sz="4" w:space="0" w:color="auto"/>
              <w:left w:val="single" w:sz="4" w:space="0" w:color="auto"/>
              <w:bottom w:val="single" w:sz="4" w:space="0" w:color="auto"/>
              <w:right w:val="single" w:sz="4" w:space="0" w:color="auto"/>
            </w:tcBorders>
          </w:tcPr>
          <w:p w14:paraId="1385719F" w14:textId="77777777" w:rsidR="000D353C" w:rsidRPr="00AC6377" w:rsidRDefault="000D353C" w:rsidP="00AC6377">
            <w:pPr>
              <w:spacing w:after="0" w:line="240" w:lineRule="auto"/>
              <w:jc w:val="both"/>
              <w:rPr>
                <w:rFonts w:ascii="Times New Roman" w:hAnsi="Times New Roman" w:cs="Times New Roman"/>
                <w:sz w:val="24"/>
                <w:szCs w:val="24"/>
              </w:rPr>
            </w:pPr>
            <w:r w:rsidRPr="00AC6377">
              <w:rPr>
                <w:rFonts w:ascii="Times New Roman" w:hAnsi="Times New Roman" w:cs="Times New Roman"/>
                <w:sz w:val="24"/>
                <w:szCs w:val="24"/>
              </w:rPr>
              <w:t>Noteikumu projekta pielikuma sadaļa "Maksimālais garantētās atlīdzības apmērs un noguldījumi, par kuriem neizmaksā garantēto atlīdzību"</w:t>
            </w:r>
          </w:p>
          <w:p w14:paraId="01649657" w14:textId="77777777" w:rsidR="000D353C" w:rsidRPr="00AC6377" w:rsidRDefault="000D353C" w:rsidP="00AC6377">
            <w:pPr>
              <w:spacing w:after="0" w:line="240" w:lineRule="auto"/>
              <w:jc w:val="both"/>
              <w:rPr>
                <w:rFonts w:ascii="Times New Roman" w:hAnsi="Times New Roman" w:cs="Times New Roman"/>
                <w:sz w:val="24"/>
                <w:szCs w:val="24"/>
              </w:rPr>
            </w:pPr>
            <w:r w:rsidRPr="00AC6377">
              <w:rPr>
                <w:rFonts w:ascii="Times New Roman" w:hAnsi="Times New Roman" w:cs="Times New Roman"/>
                <w:sz w:val="24"/>
                <w:szCs w:val="24"/>
              </w:rPr>
              <w:t>Maksimālais garantētās atlīdzības apmērs ir 100 000 </w:t>
            </w:r>
            <w:r w:rsidRPr="00AC6377">
              <w:rPr>
                <w:rFonts w:ascii="Times New Roman" w:hAnsi="Times New Roman" w:cs="Times New Roman"/>
                <w:i/>
                <w:iCs/>
                <w:sz w:val="24"/>
                <w:szCs w:val="24"/>
              </w:rPr>
              <w:t>euro</w:t>
            </w:r>
            <w:r w:rsidRPr="00AC6377">
              <w:rPr>
                <w:rFonts w:ascii="Times New Roman" w:hAnsi="Times New Roman" w:cs="Times New Roman"/>
                <w:sz w:val="24"/>
                <w:szCs w:val="24"/>
              </w:rPr>
              <w:t xml:space="preserve"> katram kredītiestādes vai krājaizdevu sabiedrības (noguldījumu piesaistītāja) noguldītājam. Garantētās atlīdzības izmaksa tiek veikta </w:t>
            </w:r>
            <w:r w:rsidRPr="00AC6377">
              <w:rPr>
                <w:rFonts w:ascii="Times New Roman" w:hAnsi="Times New Roman" w:cs="Times New Roman"/>
                <w:i/>
                <w:iCs/>
                <w:sz w:val="24"/>
                <w:szCs w:val="24"/>
              </w:rPr>
              <w:t>euro</w:t>
            </w:r>
            <w:r w:rsidRPr="00AC6377">
              <w:rPr>
                <w:rFonts w:ascii="Times New Roman" w:hAnsi="Times New Roman" w:cs="Times New Roman"/>
                <w:sz w:val="24"/>
                <w:szCs w:val="24"/>
              </w:rPr>
              <w:t>. Garantētā atlīdzība saskaņā ar Noguldījumu garantiju likuma 23. pantu netiek izmaksāta par šādiem noguldījumiem:</w:t>
            </w:r>
          </w:p>
          <w:p w14:paraId="0AE83637" w14:textId="77777777" w:rsidR="000D353C" w:rsidRPr="00AC6377" w:rsidRDefault="000D353C" w:rsidP="00AC6377">
            <w:pPr>
              <w:spacing w:after="0" w:line="240" w:lineRule="auto"/>
              <w:jc w:val="both"/>
              <w:rPr>
                <w:rFonts w:ascii="Times New Roman" w:hAnsi="Times New Roman" w:cs="Times New Roman"/>
                <w:sz w:val="24"/>
                <w:szCs w:val="24"/>
              </w:rPr>
            </w:pPr>
            <w:r w:rsidRPr="00AC6377">
              <w:rPr>
                <w:rFonts w:ascii="Times New Roman" w:hAnsi="Times New Roman" w:cs="Times New Roman"/>
                <w:sz w:val="24"/>
                <w:szCs w:val="24"/>
              </w:rPr>
              <w:t>[..]</w:t>
            </w:r>
          </w:p>
          <w:p w14:paraId="09748EB6" w14:textId="77777777" w:rsidR="000D353C" w:rsidRPr="00AC6377" w:rsidRDefault="000D353C" w:rsidP="00AC6377">
            <w:pPr>
              <w:spacing w:after="0" w:line="240" w:lineRule="auto"/>
              <w:jc w:val="both"/>
              <w:rPr>
                <w:rFonts w:ascii="Times New Roman" w:hAnsi="Times New Roman" w:cs="Times New Roman"/>
                <w:sz w:val="24"/>
                <w:szCs w:val="24"/>
              </w:rPr>
            </w:pPr>
            <w:r w:rsidRPr="00AC6377">
              <w:rPr>
                <w:rFonts w:ascii="Times New Roman" w:hAnsi="Times New Roman" w:cs="Times New Roman"/>
                <w:sz w:val="24"/>
                <w:szCs w:val="24"/>
              </w:rPr>
              <w:t>4) noguldījumiem, kas saistīti ar noziedzīgi iegūtu līdzekļu legalizāciju vai atzīstami par noziedzīgi iegūtiem līdzekļiem, ja stājies spēkā notiesājošs tiesas spriedums;</w:t>
            </w:r>
          </w:p>
          <w:p w14:paraId="579399F8" w14:textId="77777777" w:rsidR="000D353C" w:rsidRPr="00AC6377" w:rsidRDefault="000D353C" w:rsidP="00AC6377">
            <w:pPr>
              <w:spacing w:after="0" w:line="240" w:lineRule="auto"/>
              <w:jc w:val="both"/>
              <w:rPr>
                <w:rFonts w:ascii="Times New Roman" w:hAnsi="Times New Roman" w:cs="Times New Roman"/>
                <w:sz w:val="24"/>
                <w:szCs w:val="24"/>
              </w:rPr>
            </w:pPr>
            <w:r w:rsidRPr="00AC6377">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tcPr>
          <w:p w14:paraId="5486A9FA" w14:textId="77777777" w:rsidR="000D353C" w:rsidRPr="00AC6377" w:rsidRDefault="000D353C" w:rsidP="00AC6377">
            <w:pPr>
              <w:spacing w:after="0" w:line="240" w:lineRule="auto"/>
              <w:jc w:val="both"/>
              <w:rPr>
                <w:rFonts w:ascii="Times New Roman" w:hAnsi="Times New Roman" w:cs="Times New Roman"/>
                <w:sz w:val="24"/>
                <w:szCs w:val="24"/>
              </w:rPr>
            </w:pPr>
            <w:r w:rsidRPr="00AC6377">
              <w:rPr>
                <w:rFonts w:ascii="Times New Roman" w:hAnsi="Times New Roman" w:cs="Times New Roman"/>
                <w:b/>
                <w:bCs/>
                <w:sz w:val="24"/>
                <w:szCs w:val="24"/>
              </w:rPr>
              <w:t>Latvijas Finanšu nozares asociācija</w:t>
            </w:r>
            <w:r w:rsidRPr="00AC6377">
              <w:rPr>
                <w:rFonts w:ascii="Times New Roman" w:hAnsi="Times New Roman" w:cs="Times New Roman"/>
                <w:sz w:val="24"/>
                <w:szCs w:val="24"/>
              </w:rPr>
              <w:t>:</w:t>
            </w:r>
          </w:p>
          <w:p w14:paraId="4D33CD1D" w14:textId="77777777" w:rsidR="000D353C" w:rsidRPr="00AC6377" w:rsidRDefault="000D353C" w:rsidP="00AC6377">
            <w:pPr>
              <w:spacing w:after="0" w:line="240" w:lineRule="auto"/>
              <w:jc w:val="both"/>
              <w:rPr>
                <w:rFonts w:ascii="Times New Roman" w:hAnsi="Times New Roman" w:cs="Times New Roman"/>
                <w:sz w:val="24"/>
                <w:szCs w:val="24"/>
              </w:rPr>
            </w:pPr>
            <w:r w:rsidRPr="00AC6377">
              <w:rPr>
                <w:rFonts w:ascii="Times New Roman" w:hAnsi="Times New Roman" w:cs="Times New Roman"/>
                <w:sz w:val="24"/>
                <w:szCs w:val="24"/>
              </w:rPr>
              <w:t>Lūdzam skaidrot Noteikumu projektā ietvertās veidlapas parauga sadaļā "Maksimālais garantētās atlīdzības apmērs un noguldījumi, par kuriem neizmaksā garantēto atlīdzību" ietverto 4. punkta (noguldījumiem, kas saistīti ar noziedzīgi iegūtu līdzekļu legalizāciju) piemērošanas risinājumu vai rīcības priekšrakstu - ir skaidrs kā rīkoties, ja līdzekļi ir atzīti par noziedzīgi iegūtiem un ir stājies spēkā notiesājošs tiesas spriedums. Bet kā arī iepriekš vairākkārt norādīts - nav skaidrs, kas kvalificējams zem formulējuma  "noguldījumiem, kas saistīti ar noziedzīgi iegūtu līdzekļu legalizāciju". Lūdzam skaidrot jēdziena tvērumu pēc kā vadīties, lai korekti izpildītu prasības.</w:t>
            </w:r>
          </w:p>
        </w:tc>
        <w:tc>
          <w:tcPr>
            <w:tcW w:w="4962" w:type="dxa"/>
            <w:tcBorders>
              <w:top w:val="single" w:sz="4" w:space="0" w:color="auto"/>
              <w:left w:val="single" w:sz="4" w:space="0" w:color="auto"/>
              <w:bottom w:val="single" w:sz="4" w:space="0" w:color="auto"/>
              <w:right w:val="single" w:sz="4" w:space="0" w:color="auto"/>
            </w:tcBorders>
          </w:tcPr>
          <w:p w14:paraId="57509D96" w14:textId="77777777" w:rsidR="000D353C" w:rsidRPr="00AC6377" w:rsidRDefault="000D353C" w:rsidP="00AC6377">
            <w:pPr>
              <w:spacing w:after="0" w:line="240" w:lineRule="auto"/>
              <w:rPr>
                <w:rFonts w:ascii="Times New Roman" w:hAnsi="Times New Roman" w:cs="Times New Roman"/>
                <w:iCs/>
                <w:sz w:val="24"/>
                <w:szCs w:val="24"/>
              </w:rPr>
            </w:pPr>
            <w:r w:rsidRPr="00AC6377">
              <w:rPr>
                <w:rFonts w:ascii="Times New Roman" w:hAnsi="Times New Roman" w:cs="Times New Roman"/>
                <w:b/>
                <w:bCs/>
                <w:iCs/>
                <w:sz w:val="24"/>
                <w:szCs w:val="24"/>
              </w:rPr>
              <w:t>Ņemts vērā</w:t>
            </w:r>
            <w:r w:rsidRPr="00AC6377">
              <w:rPr>
                <w:rFonts w:ascii="Times New Roman" w:hAnsi="Times New Roman" w:cs="Times New Roman"/>
                <w:iCs/>
                <w:sz w:val="24"/>
                <w:szCs w:val="24"/>
              </w:rPr>
              <w:t xml:space="preserve">. </w:t>
            </w:r>
          </w:p>
          <w:p w14:paraId="4ABA6B58" w14:textId="1FDAEECE" w:rsidR="000D353C" w:rsidRPr="00AC6377" w:rsidRDefault="000D353C" w:rsidP="00AC6377">
            <w:pPr>
              <w:spacing w:after="0" w:line="240" w:lineRule="auto"/>
              <w:jc w:val="both"/>
              <w:rPr>
                <w:rFonts w:ascii="Times New Roman" w:hAnsi="Times New Roman" w:cs="Times New Roman"/>
                <w:iCs/>
                <w:sz w:val="24"/>
                <w:szCs w:val="24"/>
              </w:rPr>
            </w:pPr>
            <w:r w:rsidRPr="00AC6377">
              <w:rPr>
                <w:rFonts w:ascii="Times New Roman" w:hAnsi="Times New Roman" w:cs="Times New Roman"/>
                <w:iCs/>
                <w:sz w:val="24"/>
                <w:szCs w:val="24"/>
              </w:rPr>
              <w:t>Ar noteikumu projektu apstiprinātajā veidlapas paraugā ietvertās pamatinformācijas apjoms par noguldījumu aizsardzību, t.</w:t>
            </w:r>
            <w:r w:rsidR="003A7F39">
              <w:rPr>
                <w:rFonts w:ascii="Times New Roman" w:hAnsi="Times New Roman" w:cs="Times New Roman"/>
                <w:iCs/>
                <w:sz w:val="24"/>
                <w:szCs w:val="24"/>
              </w:rPr>
              <w:t> </w:t>
            </w:r>
            <w:r w:rsidRPr="00AC6377">
              <w:rPr>
                <w:rFonts w:ascii="Times New Roman" w:hAnsi="Times New Roman" w:cs="Times New Roman"/>
                <w:iCs/>
                <w:sz w:val="24"/>
                <w:szCs w:val="24"/>
              </w:rPr>
              <w:t>sk. par noguldījumiem, par kuriem saskaņā ar Noguldījumu garantiju likuma 23. pantu garantēto atlīdzību neizmaksā, atbilst Noguldījumu garantiju likuma</w:t>
            </w:r>
            <w:r w:rsidR="003A7F39">
              <w:rPr>
                <w:rFonts w:ascii="Times New Roman" w:hAnsi="Times New Roman" w:cs="Times New Roman"/>
                <w:iCs/>
                <w:sz w:val="24"/>
                <w:szCs w:val="24"/>
              </w:rPr>
              <w:t>m</w:t>
            </w:r>
            <w:r w:rsidRPr="00AC6377">
              <w:rPr>
                <w:rFonts w:ascii="Times New Roman" w:hAnsi="Times New Roman" w:cs="Times New Roman"/>
                <w:iCs/>
                <w:sz w:val="24"/>
                <w:szCs w:val="24"/>
              </w:rPr>
              <w:t>, kurā iekļautās tiesību normas izriet no direktīvas 2014/49/ES.</w:t>
            </w:r>
          </w:p>
          <w:p w14:paraId="6CB4DF5D" w14:textId="18387A1A" w:rsidR="000D353C" w:rsidRPr="00AC6377" w:rsidRDefault="000D353C" w:rsidP="00AC6377">
            <w:pPr>
              <w:spacing w:after="0" w:line="240" w:lineRule="auto"/>
              <w:jc w:val="both"/>
              <w:rPr>
                <w:rFonts w:ascii="Times New Roman" w:hAnsi="Times New Roman" w:cs="Times New Roman"/>
                <w:iCs/>
                <w:sz w:val="24"/>
                <w:szCs w:val="24"/>
              </w:rPr>
            </w:pPr>
            <w:r w:rsidRPr="00AC6377">
              <w:rPr>
                <w:rFonts w:ascii="Times New Roman" w:hAnsi="Times New Roman" w:cs="Times New Roman"/>
                <w:iCs/>
                <w:sz w:val="24"/>
                <w:szCs w:val="24"/>
              </w:rPr>
              <w:t xml:space="preserve">Jānorāda, ka noteicošais šajā gadījumā būs spēkā stājies notiesājošs tiesas spriedums, kurā tiesa būs vērtējusi noguldījumus (naudas līdzekļus), kas saistīti ar noziedzīgi iegūtu līdzekļu legalizāciju, un </w:t>
            </w:r>
            <w:r w:rsidR="0064795E">
              <w:rPr>
                <w:rFonts w:ascii="Times New Roman" w:hAnsi="Times New Roman" w:cs="Times New Roman"/>
                <w:iCs/>
                <w:sz w:val="24"/>
                <w:szCs w:val="24"/>
              </w:rPr>
              <w:t xml:space="preserve">to, </w:t>
            </w:r>
            <w:r w:rsidRPr="00AC6377">
              <w:rPr>
                <w:rFonts w:ascii="Times New Roman" w:hAnsi="Times New Roman" w:cs="Times New Roman"/>
                <w:iCs/>
                <w:sz w:val="24"/>
                <w:szCs w:val="24"/>
              </w:rPr>
              <w:t xml:space="preserve">vai </w:t>
            </w:r>
            <w:r w:rsidR="0064795E">
              <w:rPr>
                <w:rFonts w:ascii="Times New Roman" w:hAnsi="Times New Roman" w:cs="Times New Roman"/>
                <w:iCs/>
                <w:sz w:val="24"/>
                <w:szCs w:val="24"/>
              </w:rPr>
              <w:t>š</w:t>
            </w:r>
            <w:r w:rsidRPr="00AC6377">
              <w:rPr>
                <w:rFonts w:ascii="Times New Roman" w:hAnsi="Times New Roman" w:cs="Times New Roman"/>
                <w:iCs/>
                <w:sz w:val="24"/>
                <w:szCs w:val="24"/>
              </w:rPr>
              <w:t>ie</w:t>
            </w:r>
            <w:r w:rsidR="0064795E">
              <w:rPr>
                <w:rFonts w:ascii="Times New Roman" w:hAnsi="Times New Roman" w:cs="Times New Roman"/>
                <w:iCs/>
                <w:sz w:val="24"/>
                <w:szCs w:val="24"/>
              </w:rPr>
              <w:t xml:space="preserve"> līdzekļi</w:t>
            </w:r>
            <w:r w:rsidRPr="00AC6377">
              <w:rPr>
                <w:rFonts w:ascii="Times New Roman" w:hAnsi="Times New Roman" w:cs="Times New Roman"/>
                <w:iCs/>
                <w:sz w:val="24"/>
                <w:szCs w:val="24"/>
              </w:rPr>
              <w:t xml:space="preserve"> atzīstami par noziedzīgi iegūtiem līdzekļiem. Noziedzīgi iegūtu līdzekļu legalizācijas un terorisma un proliferācijas finansēšanas novēršanas likuma (turpmāk</w:t>
            </w:r>
            <w:r>
              <w:rPr>
                <w:rFonts w:ascii="Times New Roman" w:hAnsi="Times New Roman" w:cs="Times New Roman"/>
                <w:iCs/>
                <w:sz w:val="24"/>
                <w:szCs w:val="24"/>
              </w:rPr>
              <w:t> </w:t>
            </w:r>
            <w:r w:rsidRPr="00AC6377">
              <w:rPr>
                <w:rFonts w:ascii="Times New Roman" w:hAnsi="Times New Roman" w:cs="Times New Roman"/>
                <w:iCs/>
                <w:sz w:val="24"/>
                <w:szCs w:val="24"/>
              </w:rPr>
              <w:t>– NILLTPFNL) 5.</w:t>
            </w:r>
            <w:r>
              <w:rPr>
                <w:rFonts w:ascii="Times New Roman" w:hAnsi="Times New Roman" w:cs="Times New Roman"/>
                <w:iCs/>
                <w:sz w:val="24"/>
                <w:szCs w:val="24"/>
              </w:rPr>
              <w:t> </w:t>
            </w:r>
            <w:r w:rsidRPr="00AC6377">
              <w:rPr>
                <w:rFonts w:ascii="Times New Roman" w:hAnsi="Times New Roman" w:cs="Times New Roman"/>
                <w:iCs/>
                <w:sz w:val="24"/>
                <w:szCs w:val="24"/>
              </w:rPr>
              <w:t>pants sniedz noziedzīgi iegūtu līdzekļu legalizācijas un terorisma un proliferācijas finansēšanas darbību skaidrojumu. Savukārt NILLTPFNL iekļautās normas, kas izriet no Eiropas Parlamenta un Padomes 2015.</w:t>
            </w:r>
            <w:r>
              <w:rPr>
                <w:rFonts w:ascii="Times New Roman" w:hAnsi="Times New Roman" w:cs="Times New Roman"/>
                <w:iCs/>
                <w:sz w:val="24"/>
                <w:szCs w:val="24"/>
              </w:rPr>
              <w:t> </w:t>
            </w:r>
            <w:r w:rsidRPr="00AC6377">
              <w:rPr>
                <w:rFonts w:ascii="Times New Roman" w:hAnsi="Times New Roman" w:cs="Times New Roman"/>
                <w:iCs/>
                <w:sz w:val="24"/>
                <w:szCs w:val="24"/>
              </w:rPr>
              <w:t>gada 20.</w:t>
            </w:r>
            <w:r>
              <w:rPr>
                <w:rFonts w:ascii="Times New Roman" w:hAnsi="Times New Roman" w:cs="Times New Roman"/>
                <w:iCs/>
                <w:sz w:val="24"/>
                <w:szCs w:val="24"/>
              </w:rPr>
              <w:t> </w:t>
            </w:r>
            <w:r w:rsidRPr="00AC6377">
              <w:rPr>
                <w:rFonts w:ascii="Times New Roman" w:hAnsi="Times New Roman" w:cs="Times New Roman"/>
                <w:iCs/>
                <w:sz w:val="24"/>
                <w:szCs w:val="24"/>
              </w:rPr>
              <w:t>maija direktīvas (ES)</w:t>
            </w:r>
            <w:r w:rsidR="0064795E">
              <w:rPr>
                <w:rFonts w:ascii="Times New Roman" w:hAnsi="Times New Roman" w:cs="Times New Roman"/>
                <w:iCs/>
                <w:sz w:val="24"/>
                <w:szCs w:val="24"/>
              </w:rPr>
              <w:t> </w:t>
            </w:r>
            <w:r w:rsidRPr="00AC6377">
              <w:rPr>
                <w:rFonts w:ascii="Times New Roman" w:hAnsi="Times New Roman" w:cs="Times New Roman"/>
                <w:iCs/>
                <w:sz w:val="24"/>
                <w:szCs w:val="24"/>
              </w:rPr>
              <w:t xml:space="preserve">2015/849 </w:t>
            </w:r>
            <w:r w:rsidRPr="00AC6377">
              <w:rPr>
                <w:rFonts w:ascii="Times New Roman" w:hAnsi="Times New Roman" w:cs="Times New Roman"/>
                <w:iCs/>
                <w:sz w:val="24"/>
                <w:szCs w:val="24"/>
              </w:rPr>
              <w:lastRenderedPageBreak/>
              <w:t xml:space="preserve">par to, lai nepieļautu finanšu sistēmas izmantošanu nelikumīgi iegūtu līdzekļu legalizēšanai vai teroristu finansēšanai, un ar ko groza Eiropas Parlamenta un Padomes </w:t>
            </w:r>
            <w:r w:rsidR="003E2994">
              <w:rPr>
                <w:rFonts w:ascii="Times New Roman" w:hAnsi="Times New Roman" w:cs="Times New Roman"/>
                <w:iCs/>
                <w:sz w:val="24"/>
                <w:szCs w:val="24"/>
              </w:rPr>
              <w:t>r</w:t>
            </w:r>
            <w:r w:rsidRPr="00AC6377">
              <w:rPr>
                <w:rFonts w:ascii="Times New Roman" w:hAnsi="Times New Roman" w:cs="Times New Roman"/>
                <w:iCs/>
                <w:sz w:val="24"/>
                <w:szCs w:val="24"/>
              </w:rPr>
              <w:t>egulu (ES) Nr.</w:t>
            </w:r>
            <w:r>
              <w:rPr>
                <w:rFonts w:ascii="Times New Roman" w:hAnsi="Times New Roman" w:cs="Times New Roman"/>
                <w:iCs/>
                <w:sz w:val="24"/>
                <w:szCs w:val="24"/>
              </w:rPr>
              <w:t> </w:t>
            </w:r>
            <w:r w:rsidRPr="00AC6377">
              <w:rPr>
                <w:rFonts w:ascii="Times New Roman" w:hAnsi="Times New Roman" w:cs="Times New Roman"/>
                <w:iCs/>
                <w:sz w:val="24"/>
                <w:szCs w:val="24"/>
              </w:rPr>
              <w:t xml:space="preserve">648/2012 un atceļ Eiropas Parlamenta un Padomes </w:t>
            </w:r>
            <w:r w:rsidR="003E2994">
              <w:rPr>
                <w:rFonts w:ascii="Times New Roman" w:hAnsi="Times New Roman" w:cs="Times New Roman"/>
                <w:iCs/>
                <w:sz w:val="24"/>
                <w:szCs w:val="24"/>
              </w:rPr>
              <w:t>d</w:t>
            </w:r>
            <w:r w:rsidRPr="00AC6377">
              <w:rPr>
                <w:rFonts w:ascii="Times New Roman" w:hAnsi="Times New Roman" w:cs="Times New Roman"/>
                <w:iCs/>
                <w:sz w:val="24"/>
                <w:szCs w:val="24"/>
              </w:rPr>
              <w:t>irektīvu</w:t>
            </w:r>
            <w:r w:rsidR="0064795E">
              <w:rPr>
                <w:rFonts w:ascii="Times New Roman" w:hAnsi="Times New Roman" w:cs="Times New Roman"/>
                <w:iCs/>
                <w:sz w:val="24"/>
                <w:szCs w:val="24"/>
              </w:rPr>
              <w:t> </w:t>
            </w:r>
            <w:r w:rsidRPr="00AC6377">
              <w:rPr>
                <w:rFonts w:ascii="Times New Roman" w:hAnsi="Times New Roman" w:cs="Times New Roman"/>
                <w:iCs/>
                <w:sz w:val="24"/>
                <w:szCs w:val="24"/>
              </w:rPr>
              <w:t xml:space="preserve">2005/60/EK un Komisijas </w:t>
            </w:r>
            <w:r w:rsidR="003E2994">
              <w:rPr>
                <w:rFonts w:ascii="Times New Roman" w:hAnsi="Times New Roman" w:cs="Times New Roman"/>
                <w:iCs/>
                <w:sz w:val="24"/>
                <w:szCs w:val="24"/>
              </w:rPr>
              <w:t>d</w:t>
            </w:r>
            <w:r w:rsidRPr="00AC6377">
              <w:rPr>
                <w:rFonts w:ascii="Times New Roman" w:hAnsi="Times New Roman" w:cs="Times New Roman"/>
                <w:iCs/>
                <w:sz w:val="24"/>
                <w:szCs w:val="24"/>
              </w:rPr>
              <w:t>irektīvu</w:t>
            </w:r>
            <w:r w:rsidR="0064795E">
              <w:rPr>
                <w:rFonts w:ascii="Times New Roman" w:hAnsi="Times New Roman" w:cs="Times New Roman"/>
                <w:iCs/>
                <w:sz w:val="24"/>
                <w:szCs w:val="24"/>
              </w:rPr>
              <w:t> </w:t>
            </w:r>
            <w:r w:rsidRPr="00AC6377">
              <w:rPr>
                <w:rFonts w:ascii="Times New Roman" w:hAnsi="Times New Roman" w:cs="Times New Roman"/>
                <w:iCs/>
                <w:sz w:val="24"/>
                <w:szCs w:val="24"/>
              </w:rPr>
              <w:t>2006/70/EK 1.</w:t>
            </w:r>
            <w:r>
              <w:rPr>
                <w:rFonts w:ascii="Times New Roman" w:hAnsi="Times New Roman" w:cs="Times New Roman"/>
                <w:iCs/>
                <w:sz w:val="24"/>
                <w:szCs w:val="24"/>
              </w:rPr>
              <w:t> </w:t>
            </w:r>
            <w:r w:rsidRPr="00AC6377">
              <w:rPr>
                <w:rFonts w:ascii="Times New Roman" w:hAnsi="Times New Roman" w:cs="Times New Roman"/>
                <w:iCs/>
                <w:sz w:val="24"/>
                <w:szCs w:val="24"/>
              </w:rPr>
              <w:t>panta 3.</w:t>
            </w:r>
            <w:r>
              <w:rPr>
                <w:rFonts w:ascii="Times New Roman" w:hAnsi="Times New Roman" w:cs="Times New Roman"/>
                <w:iCs/>
                <w:sz w:val="24"/>
                <w:szCs w:val="24"/>
              </w:rPr>
              <w:t> </w:t>
            </w:r>
            <w:r w:rsidRPr="00AC6377">
              <w:rPr>
                <w:rFonts w:ascii="Times New Roman" w:hAnsi="Times New Roman" w:cs="Times New Roman"/>
                <w:iCs/>
                <w:sz w:val="24"/>
                <w:szCs w:val="24"/>
              </w:rPr>
              <w:t>punkts skaidro rīcīb</w:t>
            </w:r>
            <w:r w:rsidR="0065548D">
              <w:rPr>
                <w:rFonts w:ascii="Times New Roman" w:hAnsi="Times New Roman" w:cs="Times New Roman"/>
                <w:iCs/>
                <w:sz w:val="24"/>
                <w:szCs w:val="24"/>
              </w:rPr>
              <w:t>u</w:t>
            </w:r>
            <w:r w:rsidRPr="00AC6377">
              <w:rPr>
                <w:rFonts w:ascii="Times New Roman" w:hAnsi="Times New Roman" w:cs="Times New Roman"/>
                <w:iCs/>
                <w:sz w:val="24"/>
                <w:szCs w:val="24"/>
              </w:rPr>
              <w:t xml:space="preserve">, </w:t>
            </w:r>
            <w:r w:rsidR="0065548D">
              <w:rPr>
                <w:rFonts w:ascii="Times New Roman" w:hAnsi="Times New Roman" w:cs="Times New Roman"/>
                <w:iCs/>
                <w:sz w:val="24"/>
                <w:szCs w:val="24"/>
              </w:rPr>
              <w:t>kāda</w:t>
            </w:r>
            <w:r w:rsidRPr="00AC6377">
              <w:rPr>
                <w:rFonts w:ascii="Times New Roman" w:hAnsi="Times New Roman" w:cs="Times New Roman"/>
                <w:iCs/>
                <w:sz w:val="24"/>
                <w:szCs w:val="24"/>
              </w:rPr>
              <w:t xml:space="preserve"> uzskat</w:t>
            </w:r>
            <w:r w:rsidR="00DB264E">
              <w:rPr>
                <w:rFonts w:ascii="Times New Roman" w:hAnsi="Times New Roman" w:cs="Times New Roman"/>
                <w:iCs/>
                <w:sz w:val="24"/>
                <w:szCs w:val="24"/>
              </w:rPr>
              <w:t>āma</w:t>
            </w:r>
            <w:r w:rsidRPr="00AC6377">
              <w:rPr>
                <w:rFonts w:ascii="Times New Roman" w:hAnsi="Times New Roman" w:cs="Times New Roman"/>
                <w:iCs/>
                <w:sz w:val="24"/>
                <w:szCs w:val="24"/>
              </w:rPr>
              <w:t xml:space="preserve"> par nelikumīgi iegūtu līdzekļu legalizēšanu.</w:t>
            </w:r>
          </w:p>
        </w:tc>
      </w:tr>
      <w:tr w:rsidR="000D353C" w:rsidRPr="000D353C" w14:paraId="11984618" w14:textId="77777777" w:rsidTr="000D353C">
        <w:tc>
          <w:tcPr>
            <w:tcW w:w="0" w:type="auto"/>
            <w:tcBorders>
              <w:top w:val="single" w:sz="4" w:space="0" w:color="auto"/>
              <w:left w:val="single" w:sz="4" w:space="0" w:color="auto"/>
              <w:bottom w:val="single" w:sz="4" w:space="0" w:color="auto"/>
              <w:right w:val="single" w:sz="4" w:space="0" w:color="auto"/>
            </w:tcBorders>
          </w:tcPr>
          <w:p w14:paraId="36890C2E" w14:textId="77777777" w:rsidR="000D353C" w:rsidRPr="00AC6377" w:rsidRDefault="000D353C" w:rsidP="00AC6377">
            <w:pPr>
              <w:spacing w:after="0" w:line="240" w:lineRule="auto"/>
              <w:jc w:val="center"/>
              <w:rPr>
                <w:rFonts w:ascii="Times New Roman" w:hAnsi="Times New Roman" w:cs="Times New Roman"/>
                <w:sz w:val="24"/>
                <w:szCs w:val="24"/>
              </w:rPr>
            </w:pPr>
            <w:r w:rsidRPr="00AC6377">
              <w:rPr>
                <w:rFonts w:ascii="Times New Roman" w:hAnsi="Times New Roman" w:cs="Times New Roman"/>
                <w:sz w:val="24"/>
                <w:szCs w:val="24"/>
              </w:rPr>
              <w:lastRenderedPageBreak/>
              <w:t>3.</w:t>
            </w:r>
          </w:p>
        </w:tc>
        <w:tc>
          <w:tcPr>
            <w:tcW w:w="4495" w:type="dxa"/>
            <w:tcBorders>
              <w:top w:val="single" w:sz="4" w:space="0" w:color="auto"/>
              <w:left w:val="single" w:sz="4" w:space="0" w:color="auto"/>
              <w:bottom w:val="single" w:sz="4" w:space="0" w:color="auto"/>
              <w:right w:val="single" w:sz="4" w:space="0" w:color="auto"/>
            </w:tcBorders>
          </w:tcPr>
          <w:p w14:paraId="42A5062B" w14:textId="77777777" w:rsidR="000D353C" w:rsidRPr="00AC6377" w:rsidRDefault="000D353C" w:rsidP="00AC6377">
            <w:pPr>
              <w:spacing w:after="0" w:line="240" w:lineRule="auto"/>
              <w:rPr>
                <w:rFonts w:ascii="Times New Roman" w:hAnsi="Times New Roman" w:cs="Times New Roman"/>
                <w:sz w:val="24"/>
                <w:szCs w:val="24"/>
              </w:rPr>
            </w:pPr>
            <w:r w:rsidRPr="00AC6377">
              <w:rPr>
                <w:rFonts w:ascii="Times New Roman" w:hAnsi="Times New Roman" w:cs="Times New Roman"/>
                <w:sz w:val="24"/>
                <w:szCs w:val="24"/>
              </w:rPr>
              <w:t>Noteikumu projekta pielikuma sadaļa "Noguldītāja pienākumi saistībā ar citai personai pienākošos līdzekļu pārvaldīšanu"</w:t>
            </w:r>
          </w:p>
          <w:p w14:paraId="4FEA8812" w14:textId="77777777" w:rsidR="000D353C" w:rsidRPr="00AC6377" w:rsidRDefault="000D353C" w:rsidP="00AC6377">
            <w:pPr>
              <w:spacing w:after="0" w:line="240" w:lineRule="auto"/>
              <w:jc w:val="both"/>
              <w:rPr>
                <w:rFonts w:ascii="Times New Roman" w:hAnsi="Times New Roman" w:cs="Times New Roman"/>
                <w:sz w:val="24"/>
                <w:szCs w:val="24"/>
              </w:rPr>
            </w:pPr>
            <w:r w:rsidRPr="00AC6377">
              <w:rPr>
                <w:rFonts w:ascii="Times New Roman" w:hAnsi="Times New Roman" w:cs="Times New Roman"/>
                <w:sz w:val="24"/>
                <w:szCs w:val="24"/>
              </w:rPr>
              <w:t>Ja noguldītājs pārvalda citai personai pienākošos līdzekļus noguldījumu piesaistītājā, garantēto atlīdzību ir tiesības saņemt personai, kura var pierādīt savas prasījuma tiesības uz noguldītāja pārvaldītajiem līdzekļiem, ar nosacījumu, ka noguldījumu piesaistītājs vai noguldītājs, kurš pārvalda citai personai pienākošos līdzekļus, šo personu ir identificējis vai var identificēt pirms noguldījumu nepieejamības iestāšanās dienas.</w:t>
            </w:r>
          </w:p>
        </w:tc>
        <w:tc>
          <w:tcPr>
            <w:tcW w:w="4536" w:type="dxa"/>
            <w:tcBorders>
              <w:top w:val="single" w:sz="4" w:space="0" w:color="auto"/>
              <w:left w:val="single" w:sz="4" w:space="0" w:color="auto"/>
              <w:bottom w:val="single" w:sz="4" w:space="0" w:color="auto"/>
              <w:right w:val="single" w:sz="4" w:space="0" w:color="auto"/>
            </w:tcBorders>
          </w:tcPr>
          <w:p w14:paraId="7372FC51" w14:textId="77777777" w:rsidR="000D353C" w:rsidRPr="00AC6377" w:rsidRDefault="000D353C" w:rsidP="00AC6377">
            <w:pPr>
              <w:spacing w:after="0" w:line="240" w:lineRule="auto"/>
              <w:jc w:val="both"/>
              <w:rPr>
                <w:rFonts w:ascii="Times New Roman" w:hAnsi="Times New Roman" w:cs="Times New Roman"/>
                <w:sz w:val="24"/>
                <w:szCs w:val="24"/>
              </w:rPr>
            </w:pPr>
            <w:r w:rsidRPr="00AC6377">
              <w:rPr>
                <w:rFonts w:ascii="Times New Roman" w:hAnsi="Times New Roman" w:cs="Times New Roman"/>
                <w:b/>
                <w:bCs/>
                <w:sz w:val="24"/>
                <w:szCs w:val="24"/>
              </w:rPr>
              <w:t>Latvijas Finanšu nozares asociācija</w:t>
            </w:r>
            <w:r w:rsidRPr="00AC6377">
              <w:rPr>
                <w:rFonts w:ascii="Times New Roman" w:hAnsi="Times New Roman" w:cs="Times New Roman"/>
                <w:sz w:val="24"/>
                <w:szCs w:val="24"/>
              </w:rPr>
              <w:t>:</w:t>
            </w:r>
          </w:p>
          <w:p w14:paraId="1D46B134" w14:textId="77777777" w:rsidR="000D353C" w:rsidRPr="00AC6377" w:rsidRDefault="000D353C" w:rsidP="00AC6377">
            <w:pPr>
              <w:spacing w:after="0" w:line="240" w:lineRule="auto"/>
              <w:jc w:val="both"/>
              <w:rPr>
                <w:rFonts w:ascii="Times New Roman" w:hAnsi="Times New Roman" w:cs="Times New Roman"/>
                <w:sz w:val="24"/>
                <w:szCs w:val="24"/>
              </w:rPr>
            </w:pPr>
            <w:r w:rsidRPr="00AC6377">
              <w:rPr>
                <w:rFonts w:ascii="Times New Roman" w:hAnsi="Times New Roman" w:cs="Times New Roman"/>
                <w:sz w:val="24"/>
                <w:szCs w:val="24"/>
              </w:rPr>
              <w:t xml:space="preserve">Priekšlikums par Noteikumu projektā ietvertās veidlapas parauga sadaļā "Noguldītāja pienākumi saistībā ar citai personai pienākošos līdzekļu pārvaldīšanu". Nepieciešams precizēt sadaļas 1. teikumā ietverto formulējumu vismaz atbilstoši likumprojektā (likumprojekts "Grozījumi Noguldījumu garantiju likumā" (Nr. 559/Lp14)) ietvertajam aktuālajam formulējumam (kas zināms pašlaik pēc 2.lasījuma). Tai skaitā, ietverot nosacījumus kas tiks ietverti eventuālā likuma (grozījumu) tekstā un noteiks rīcību par sadaļā skarto gadījumu, kad noguldījumu piesaistītājs veic darbības, lai no noguldītāja, kas nodrošina citai personai pienākošos līdzekļu pārvaldību noguldījumu piesaistītājā "iegūtu apliecinājumu, ka tas nodrošina šo citu personu identifikāciju un tām pienākošos līdzekļu uzskaiti" (minētā likumprojektā ietvertā 5.1 panta otrās daļas formulējums pēc 2. lasījuma). Likumprojekta formulējums </w:t>
            </w:r>
            <w:r w:rsidRPr="00AC6377">
              <w:rPr>
                <w:rFonts w:ascii="Times New Roman" w:hAnsi="Times New Roman" w:cs="Times New Roman"/>
                <w:sz w:val="24"/>
                <w:szCs w:val="24"/>
              </w:rPr>
              <w:lastRenderedPageBreak/>
              <w:t>ir precizēts izstrādes gaitā un līdz ar to nepieciešams arī šeit veikt precizējumus.</w:t>
            </w:r>
          </w:p>
        </w:tc>
        <w:tc>
          <w:tcPr>
            <w:tcW w:w="4962" w:type="dxa"/>
            <w:tcBorders>
              <w:top w:val="single" w:sz="4" w:space="0" w:color="auto"/>
              <w:left w:val="single" w:sz="4" w:space="0" w:color="auto"/>
              <w:bottom w:val="single" w:sz="4" w:space="0" w:color="auto"/>
              <w:right w:val="single" w:sz="4" w:space="0" w:color="auto"/>
            </w:tcBorders>
          </w:tcPr>
          <w:p w14:paraId="3C08E272" w14:textId="77777777" w:rsidR="000D353C" w:rsidRPr="00AC6377" w:rsidRDefault="000D353C" w:rsidP="00AC6377">
            <w:pPr>
              <w:spacing w:after="0" w:line="240" w:lineRule="auto"/>
              <w:jc w:val="both"/>
              <w:rPr>
                <w:rFonts w:ascii="Times New Roman" w:hAnsi="Times New Roman" w:cs="Times New Roman"/>
                <w:iCs/>
                <w:sz w:val="24"/>
                <w:szCs w:val="24"/>
              </w:rPr>
            </w:pPr>
            <w:r w:rsidRPr="00AC6377">
              <w:rPr>
                <w:rFonts w:ascii="Times New Roman" w:hAnsi="Times New Roman" w:cs="Times New Roman"/>
                <w:b/>
                <w:bCs/>
                <w:iCs/>
                <w:sz w:val="24"/>
                <w:szCs w:val="24"/>
              </w:rPr>
              <w:lastRenderedPageBreak/>
              <w:t>Ņemts vērā</w:t>
            </w:r>
            <w:r w:rsidRPr="00AC6377">
              <w:rPr>
                <w:rFonts w:ascii="Times New Roman" w:hAnsi="Times New Roman" w:cs="Times New Roman"/>
                <w:iCs/>
                <w:sz w:val="24"/>
                <w:szCs w:val="24"/>
              </w:rPr>
              <w:t xml:space="preserve">. </w:t>
            </w:r>
          </w:p>
          <w:p w14:paraId="3BE3FEFD" w14:textId="1F9C3031" w:rsidR="000D353C" w:rsidRPr="00AC6377" w:rsidRDefault="000D353C" w:rsidP="00AC6377">
            <w:pPr>
              <w:spacing w:after="0" w:line="240" w:lineRule="auto"/>
              <w:jc w:val="both"/>
              <w:rPr>
                <w:rFonts w:ascii="Times New Roman" w:hAnsi="Times New Roman" w:cs="Times New Roman"/>
                <w:iCs/>
                <w:sz w:val="24"/>
                <w:szCs w:val="24"/>
              </w:rPr>
            </w:pPr>
            <w:r w:rsidRPr="00AC6377">
              <w:rPr>
                <w:rFonts w:ascii="Times New Roman" w:hAnsi="Times New Roman" w:cs="Times New Roman"/>
                <w:iCs/>
                <w:sz w:val="24"/>
                <w:szCs w:val="24"/>
              </w:rPr>
              <w:t xml:space="preserve">Noteikumu projekta sadaļas teikums precizēts atbilstoši likumprojekta "Grozījumi Noguldījumu garantiju likumā" (Nr. 559/Lp14) Saeimā </w:t>
            </w:r>
            <w:r w:rsidR="00227D57">
              <w:rPr>
                <w:rFonts w:ascii="Times New Roman" w:hAnsi="Times New Roman" w:cs="Times New Roman"/>
                <w:iCs/>
                <w:sz w:val="24"/>
                <w:szCs w:val="24"/>
              </w:rPr>
              <w:t>3</w:t>
            </w:r>
            <w:r w:rsidRPr="00AC6377">
              <w:rPr>
                <w:rFonts w:ascii="Times New Roman" w:hAnsi="Times New Roman" w:cs="Times New Roman"/>
                <w:iCs/>
                <w:sz w:val="24"/>
                <w:szCs w:val="24"/>
              </w:rPr>
              <w:t xml:space="preserve">. lasījumā pieņemtajai redakcijai: </w:t>
            </w:r>
          </w:p>
          <w:p w14:paraId="5F8522E3" w14:textId="40785CAF" w:rsidR="000D353C" w:rsidRPr="00AC6377" w:rsidRDefault="000D353C" w:rsidP="00AC6377">
            <w:pPr>
              <w:spacing w:after="0" w:line="240" w:lineRule="auto"/>
              <w:jc w:val="both"/>
              <w:rPr>
                <w:rFonts w:ascii="Times New Roman" w:hAnsi="Times New Roman" w:cs="Times New Roman"/>
                <w:iCs/>
                <w:sz w:val="24"/>
                <w:szCs w:val="24"/>
              </w:rPr>
            </w:pPr>
            <w:r w:rsidRPr="00AC6377">
              <w:rPr>
                <w:rFonts w:ascii="Times New Roman" w:hAnsi="Times New Roman" w:cs="Times New Roman"/>
                <w:iCs/>
                <w:sz w:val="24"/>
                <w:szCs w:val="24"/>
              </w:rPr>
              <w:t>"Ja noguldītājs pārvalda citai personai pienākošos līdzekļus noguldījumu piesaistītājā, garantēto atlīdzību ir tiesības saņemt personai, kura var pierādīt savas prasījuma tiesības uz noguldītāja pārvaldītajiem līdzekļiem, ar nosacījumu, ka noguldījumu piesaistītājs vai</w:t>
            </w:r>
            <w:r w:rsidR="0064795E">
              <w:rPr>
                <w:rFonts w:ascii="Times New Roman" w:hAnsi="Times New Roman" w:cs="Times New Roman"/>
                <w:iCs/>
                <w:sz w:val="24"/>
                <w:szCs w:val="24"/>
              </w:rPr>
              <w:t> </w:t>
            </w:r>
            <w:r w:rsidRPr="00AC6377">
              <w:rPr>
                <w:rFonts w:ascii="Times New Roman" w:hAnsi="Times New Roman" w:cs="Times New Roman"/>
                <w:iCs/>
                <w:sz w:val="24"/>
                <w:szCs w:val="24"/>
              </w:rPr>
              <w:t>–</w:t>
            </w:r>
            <w:r w:rsidR="0064795E">
              <w:rPr>
                <w:rFonts w:ascii="Times New Roman" w:hAnsi="Times New Roman" w:cs="Times New Roman"/>
                <w:iCs/>
                <w:sz w:val="24"/>
                <w:szCs w:val="24"/>
              </w:rPr>
              <w:t xml:space="preserve"> </w:t>
            </w:r>
            <w:r w:rsidRPr="00AC6377">
              <w:rPr>
                <w:rFonts w:ascii="Times New Roman" w:hAnsi="Times New Roman" w:cs="Times New Roman"/>
                <w:iCs/>
                <w:sz w:val="24"/>
                <w:szCs w:val="24"/>
              </w:rPr>
              <w:t>Noguldījumu garantiju likuma 5.</w:t>
            </w:r>
            <w:r w:rsidRPr="00AC6377">
              <w:rPr>
                <w:rFonts w:ascii="Times New Roman" w:hAnsi="Times New Roman" w:cs="Times New Roman"/>
                <w:iCs/>
                <w:sz w:val="24"/>
                <w:szCs w:val="24"/>
                <w:vertAlign w:val="superscript"/>
              </w:rPr>
              <w:t>1</w:t>
            </w:r>
            <w:r w:rsidRPr="00AC6377">
              <w:rPr>
                <w:rFonts w:ascii="Times New Roman" w:hAnsi="Times New Roman" w:cs="Times New Roman"/>
                <w:iCs/>
                <w:sz w:val="24"/>
                <w:szCs w:val="24"/>
              </w:rPr>
              <w:t> panta otrajā daļā minētajā gadījumā</w:t>
            </w:r>
            <w:r w:rsidR="0064795E">
              <w:rPr>
                <w:rFonts w:ascii="Times New Roman" w:hAnsi="Times New Roman" w:cs="Times New Roman"/>
                <w:iCs/>
                <w:sz w:val="24"/>
                <w:szCs w:val="24"/>
              </w:rPr>
              <w:t> </w:t>
            </w:r>
            <w:r w:rsidRPr="00AC6377">
              <w:rPr>
                <w:rFonts w:ascii="Times New Roman" w:hAnsi="Times New Roman" w:cs="Times New Roman"/>
                <w:iCs/>
                <w:sz w:val="24"/>
                <w:szCs w:val="24"/>
              </w:rPr>
              <w:t>– noguldītājs šo personu ir identificējis vai var identificēt pirms noguldījumu nepieejamības iestāšanās dienas."</w:t>
            </w:r>
          </w:p>
        </w:tc>
      </w:tr>
      <w:tr w:rsidR="000D353C" w:rsidRPr="000D353C" w14:paraId="07BD5DFD" w14:textId="77777777" w:rsidTr="00D92367">
        <w:trPr>
          <w:trHeight w:val="47"/>
        </w:trPr>
        <w:tc>
          <w:tcPr>
            <w:tcW w:w="0" w:type="auto"/>
            <w:tcBorders>
              <w:top w:val="single" w:sz="4" w:space="0" w:color="auto"/>
              <w:left w:val="single" w:sz="4" w:space="0" w:color="auto"/>
              <w:bottom w:val="single" w:sz="4" w:space="0" w:color="auto"/>
              <w:right w:val="single" w:sz="4" w:space="0" w:color="auto"/>
            </w:tcBorders>
          </w:tcPr>
          <w:p w14:paraId="19C5C237" w14:textId="77777777" w:rsidR="000D353C" w:rsidRPr="00AC6377" w:rsidRDefault="000D353C" w:rsidP="00AC6377">
            <w:pPr>
              <w:spacing w:after="0" w:line="240" w:lineRule="auto"/>
              <w:jc w:val="center"/>
              <w:rPr>
                <w:rFonts w:ascii="Times New Roman" w:hAnsi="Times New Roman" w:cs="Times New Roman"/>
                <w:sz w:val="24"/>
                <w:szCs w:val="24"/>
              </w:rPr>
            </w:pPr>
            <w:r w:rsidRPr="00AC6377">
              <w:rPr>
                <w:rFonts w:ascii="Times New Roman" w:hAnsi="Times New Roman" w:cs="Times New Roman"/>
                <w:sz w:val="24"/>
                <w:szCs w:val="24"/>
              </w:rPr>
              <w:t>4.</w:t>
            </w:r>
          </w:p>
        </w:tc>
        <w:tc>
          <w:tcPr>
            <w:tcW w:w="4495" w:type="dxa"/>
            <w:tcBorders>
              <w:top w:val="single" w:sz="4" w:space="0" w:color="auto"/>
              <w:left w:val="single" w:sz="4" w:space="0" w:color="auto"/>
              <w:bottom w:val="single" w:sz="4" w:space="0" w:color="auto"/>
              <w:right w:val="single" w:sz="4" w:space="0" w:color="auto"/>
            </w:tcBorders>
          </w:tcPr>
          <w:p w14:paraId="52B873FF" w14:textId="77777777" w:rsidR="000D353C" w:rsidRPr="00AC6377" w:rsidRDefault="000D353C" w:rsidP="00AC6377">
            <w:pPr>
              <w:spacing w:after="0" w:line="240" w:lineRule="auto"/>
              <w:rPr>
                <w:rFonts w:ascii="Times New Roman" w:hAnsi="Times New Roman" w:cs="Times New Roman"/>
                <w:sz w:val="24"/>
                <w:szCs w:val="24"/>
              </w:rPr>
            </w:pPr>
            <w:r w:rsidRPr="00AC6377">
              <w:rPr>
                <w:rFonts w:ascii="Times New Roman" w:hAnsi="Times New Roman" w:cs="Times New Roman"/>
                <w:sz w:val="24"/>
                <w:szCs w:val="24"/>
              </w:rPr>
              <w:t xml:space="preserve">Noteikumu projekta anotācijas sadaļa "Samērīgums" </w:t>
            </w:r>
          </w:p>
          <w:p w14:paraId="0946EA70" w14:textId="77777777" w:rsidR="000D353C" w:rsidRPr="00AC6377" w:rsidRDefault="000D353C" w:rsidP="00AC6377">
            <w:pPr>
              <w:spacing w:after="0" w:line="240" w:lineRule="auto"/>
              <w:rPr>
                <w:rFonts w:ascii="Times New Roman" w:hAnsi="Times New Roman" w:cs="Times New Roman"/>
                <w:sz w:val="24"/>
                <w:szCs w:val="24"/>
              </w:rPr>
            </w:pPr>
            <w:r w:rsidRPr="00AC6377">
              <w:rPr>
                <w:rFonts w:ascii="Times New Roman" w:hAnsi="Times New Roman" w:cs="Times New Roman"/>
                <w:sz w:val="24"/>
                <w:szCs w:val="24"/>
              </w:rPr>
              <w:t>[..]</w:t>
            </w:r>
          </w:p>
          <w:p w14:paraId="009C7447" w14:textId="77777777" w:rsidR="000D353C" w:rsidRPr="00AC6377" w:rsidRDefault="000D353C" w:rsidP="00AC6377">
            <w:pPr>
              <w:spacing w:after="0" w:line="240" w:lineRule="auto"/>
              <w:jc w:val="both"/>
              <w:rPr>
                <w:rFonts w:ascii="Times New Roman" w:hAnsi="Times New Roman" w:cs="Times New Roman"/>
                <w:sz w:val="24"/>
                <w:szCs w:val="24"/>
              </w:rPr>
            </w:pPr>
            <w:r w:rsidRPr="00AC6377">
              <w:rPr>
                <w:rFonts w:ascii="Times New Roman" w:hAnsi="Times New Roman" w:cs="Times New Roman"/>
                <w:sz w:val="24"/>
                <w:szCs w:val="24"/>
              </w:rPr>
              <w:t>Ar noteikumu projektu apstiprinātajā veidlapas paraugā ietvertās pamatinformācijas apjoms par noguldījuma aizsardzību ir atbilstošs, lai izpildītu Noguldījumu garantiju likuma prasības. Noguldījumu piesaistītājiem netiek uzlikti būtiski papildu pienākumi, jo noguldījumu piesaistītāja pienākums pirms darījumu attiecību uzsākšanas ar noguldītāju sniegt tam informāciju par garantētās atlīdzības apmēru, garantētās atlīdzības izmaksas kārtību un termiņu, par prasījumu saistību savstarpējo ieskaitu iespējamību, noguldījumu garantiju fonda kontaktinformāciju un informāciju par noguldījumiem, par kuriem atbilstoši Noguldījumu garantiju likuma 23. pantam garantēto atlīdzību neizmaksā, jau ir ietverts Noguldījumu garantiju likumā.</w:t>
            </w:r>
          </w:p>
        </w:tc>
        <w:tc>
          <w:tcPr>
            <w:tcW w:w="4536" w:type="dxa"/>
            <w:tcBorders>
              <w:top w:val="single" w:sz="4" w:space="0" w:color="auto"/>
              <w:left w:val="single" w:sz="4" w:space="0" w:color="auto"/>
              <w:bottom w:val="single" w:sz="4" w:space="0" w:color="auto"/>
              <w:right w:val="single" w:sz="4" w:space="0" w:color="auto"/>
            </w:tcBorders>
          </w:tcPr>
          <w:p w14:paraId="0D257401" w14:textId="77777777" w:rsidR="000D353C" w:rsidRPr="00AC6377" w:rsidRDefault="000D353C" w:rsidP="00AC6377">
            <w:pPr>
              <w:spacing w:after="0" w:line="240" w:lineRule="auto"/>
              <w:jc w:val="both"/>
              <w:rPr>
                <w:rFonts w:ascii="Times New Roman" w:hAnsi="Times New Roman" w:cs="Times New Roman"/>
                <w:sz w:val="24"/>
                <w:szCs w:val="24"/>
              </w:rPr>
            </w:pPr>
            <w:r w:rsidRPr="00AC6377">
              <w:rPr>
                <w:rFonts w:ascii="Times New Roman" w:hAnsi="Times New Roman" w:cs="Times New Roman"/>
                <w:b/>
                <w:bCs/>
                <w:sz w:val="24"/>
                <w:szCs w:val="24"/>
              </w:rPr>
              <w:t>Latvijas Finanšu nozares asociācija</w:t>
            </w:r>
            <w:r w:rsidRPr="00AC6377">
              <w:rPr>
                <w:rFonts w:ascii="Times New Roman" w:hAnsi="Times New Roman" w:cs="Times New Roman"/>
                <w:sz w:val="24"/>
                <w:szCs w:val="24"/>
              </w:rPr>
              <w:t>:</w:t>
            </w:r>
          </w:p>
          <w:p w14:paraId="70E00448" w14:textId="77777777" w:rsidR="000D353C" w:rsidRPr="00AC6377" w:rsidRDefault="000D353C" w:rsidP="00AC6377">
            <w:pPr>
              <w:spacing w:after="0" w:line="240" w:lineRule="auto"/>
              <w:jc w:val="both"/>
              <w:rPr>
                <w:rFonts w:ascii="Times New Roman" w:hAnsi="Times New Roman" w:cs="Times New Roman"/>
                <w:sz w:val="24"/>
                <w:szCs w:val="24"/>
              </w:rPr>
            </w:pPr>
            <w:r w:rsidRPr="00AC6377">
              <w:rPr>
                <w:rFonts w:ascii="Times New Roman" w:hAnsi="Times New Roman" w:cs="Times New Roman"/>
                <w:sz w:val="24"/>
                <w:szCs w:val="24"/>
              </w:rPr>
              <w:t xml:space="preserve">Lūdzam precizēt Noteikumu projekta anotācijas sadaļu "Samērīgums" – minētās sadaļas trešajā rindkopā, </w:t>
            </w:r>
            <w:proofErr w:type="spellStart"/>
            <w:r w:rsidRPr="00AC6377">
              <w:rPr>
                <w:rFonts w:ascii="Times New Roman" w:hAnsi="Times New Roman" w:cs="Times New Roman"/>
                <w:sz w:val="24"/>
                <w:szCs w:val="24"/>
              </w:rPr>
              <w:t>citastarp</w:t>
            </w:r>
            <w:proofErr w:type="spellEnd"/>
            <w:r w:rsidRPr="00AC6377">
              <w:rPr>
                <w:rFonts w:ascii="Times New Roman" w:hAnsi="Times New Roman" w:cs="Times New Roman"/>
                <w:sz w:val="24"/>
                <w:szCs w:val="24"/>
              </w:rPr>
              <w:t xml:space="preserve">, pausts apsvērums, ka ar regulējumu noguldījumu piesaistītājiem netiek uzlikti būtiski papildus pienākumi. Pievēršam uzmanību, ka šādam apsvērumam nevar īsti piekrist, jo Noguldījumu garantiju likuma tiesiskais regulējums pēc gaidāmajām eventuālajām izmaiņām uzliek pietiekami apjomīgas IT izstrādes ieviešanu, kā rezultātā minētā likuma gaidāmie grozījumi attiecībā uz noguldītāju informēšanu paredzēti ieviest ar attiecīgu laika nobīdi (2025.gada vidus). Līdz ar būtu nepieciešams saskaņot arī noteikumu ieviešanu ar likuma eventuālo pieņemšanu un ieviešanas gaitu (likumprojekts pašlaik ir pieņemts 2.lasījumā, priekšā vēl 3.lasījums). Pievēršam uzmanību, ka arī redakcionālu izmaiņu ieviešana jau esošo veidlapu tekstā prasa gan tulkošanu, gan IT resursus un </w:t>
            </w:r>
            <w:proofErr w:type="spellStart"/>
            <w:r w:rsidRPr="00AC6377">
              <w:rPr>
                <w:rFonts w:ascii="Times New Roman" w:hAnsi="Times New Roman" w:cs="Times New Roman"/>
                <w:sz w:val="24"/>
                <w:szCs w:val="24"/>
              </w:rPr>
              <w:t>relīzes</w:t>
            </w:r>
            <w:proofErr w:type="spellEnd"/>
            <w:r w:rsidRPr="00AC6377">
              <w:rPr>
                <w:rFonts w:ascii="Times New Roman" w:hAnsi="Times New Roman" w:cs="Times New Roman"/>
                <w:sz w:val="24"/>
                <w:szCs w:val="24"/>
              </w:rPr>
              <w:t>, lai nomainītu redakciju uz precizēto, turklāt, visos kanālos.</w:t>
            </w:r>
          </w:p>
        </w:tc>
        <w:tc>
          <w:tcPr>
            <w:tcW w:w="4962" w:type="dxa"/>
            <w:tcBorders>
              <w:top w:val="single" w:sz="4" w:space="0" w:color="auto"/>
              <w:left w:val="single" w:sz="4" w:space="0" w:color="auto"/>
              <w:bottom w:val="single" w:sz="4" w:space="0" w:color="auto"/>
              <w:right w:val="single" w:sz="4" w:space="0" w:color="auto"/>
            </w:tcBorders>
          </w:tcPr>
          <w:p w14:paraId="5D113328" w14:textId="77777777" w:rsidR="000D353C" w:rsidRPr="00AC6377" w:rsidRDefault="000D353C" w:rsidP="00AC6377">
            <w:pPr>
              <w:spacing w:after="0" w:line="240" w:lineRule="auto"/>
              <w:jc w:val="both"/>
              <w:rPr>
                <w:rFonts w:ascii="Times New Roman" w:hAnsi="Times New Roman" w:cs="Times New Roman"/>
                <w:iCs/>
                <w:sz w:val="24"/>
                <w:szCs w:val="24"/>
              </w:rPr>
            </w:pPr>
            <w:r w:rsidRPr="00AC6377">
              <w:rPr>
                <w:rFonts w:ascii="Times New Roman" w:hAnsi="Times New Roman" w:cs="Times New Roman"/>
                <w:b/>
                <w:bCs/>
                <w:iCs/>
                <w:sz w:val="24"/>
                <w:szCs w:val="24"/>
              </w:rPr>
              <w:t>Ņemts vērā</w:t>
            </w:r>
            <w:r w:rsidRPr="00AC6377">
              <w:rPr>
                <w:rFonts w:ascii="Times New Roman" w:hAnsi="Times New Roman" w:cs="Times New Roman"/>
                <w:iCs/>
                <w:sz w:val="24"/>
                <w:szCs w:val="24"/>
              </w:rPr>
              <w:t>.</w:t>
            </w:r>
          </w:p>
          <w:p w14:paraId="77E46476" w14:textId="3514289F" w:rsidR="000D353C" w:rsidRPr="00AC6377" w:rsidRDefault="000D353C" w:rsidP="00AC6377">
            <w:pPr>
              <w:spacing w:after="0" w:line="240" w:lineRule="auto"/>
              <w:jc w:val="both"/>
              <w:rPr>
                <w:rFonts w:ascii="Times New Roman" w:hAnsi="Times New Roman" w:cs="Times New Roman"/>
                <w:iCs/>
                <w:sz w:val="24"/>
                <w:szCs w:val="24"/>
              </w:rPr>
            </w:pPr>
            <w:r w:rsidRPr="00AC6377">
              <w:rPr>
                <w:rFonts w:ascii="Times New Roman" w:hAnsi="Times New Roman" w:cs="Times New Roman"/>
                <w:iCs/>
                <w:sz w:val="24"/>
                <w:szCs w:val="24"/>
              </w:rPr>
              <w:t>Jānorāda, ka likumprojektā "Grozījumi Noguldījumu garantiju likumā" (Nr. 559/Lp14) paredzētie grozījumi 28. panta 2.</w:t>
            </w:r>
            <w:r w:rsidRPr="00AC6377">
              <w:rPr>
                <w:rFonts w:ascii="Times New Roman" w:hAnsi="Times New Roman" w:cs="Times New Roman"/>
                <w:iCs/>
                <w:sz w:val="24"/>
                <w:szCs w:val="24"/>
                <w:vertAlign w:val="superscript"/>
              </w:rPr>
              <w:t>1</w:t>
            </w:r>
            <w:r w:rsidRPr="00AC6377">
              <w:rPr>
                <w:rFonts w:ascii="Times New Roman" w:hAnsi="Times New Roman" w:cs="Times New Roman"/>
                <w:iCs/>
                <w:sz w:val="24"/>
                <w:szCs w:val="24"/>
              </w:rPr>
              <w:t> daļā attiecībā uz noguldījumu piesaistītāja pienākumu, atsaucoties uz veidlapā iekļauto informāciju, sniegt noguldītājam apstiprinājumu, lai informētu, vai noguldījums ir vai nav atbilstīgs noguldījums (paredzētais spēkā stāšanās termiņš</w:t>
            </w:r>
            <w:r w:rsidR="0064795E">
              <w:rPr>
                <w:rFonts w:ascii="Times New Roman" w:hAnsi="Times New Roman" w:cs="Times New Roman"/>
                <w:iCs/>
                <w:sz w:val="24"/>
                <w:szCs w:val="24"/>
              </w:rPr>
              <w:t> </w:t>
            </w:r>
            <w:r w:rsidRPr="00AC6377">
              <w:rPr>
                <w:rFonts w:ascii="Times New Roman" w:hAnsi="Times New Roman" w:cs="Times New Roman"/>
                <w:iCs/>
                <w:sz w:val="24"/>
                <w:szCs w:val="24"/>
              </w:rPr>
              <w:t>– 2025.</w:t>
            </w:r>
            <w:r>
              <w:rPr>
                <w:rFonts w:ascii="Times New Roman" w:hAnsi="Times New Roman" w:cs="Times New Roman"/>
                <w:iCs/>
                <w:sz w:val="24"/>
                <w:szCs w:val="24"/>
              </w:rPr>
              <w:t> </w:t>
            </w:r>
            <w:r w:rsidRPr="00AC6377">
              <w:rPr>
                <w:rFonts w:ascii="Times New Roman" w:hAnsi="Times New Roman" w:cs="Times New Roman"/>
                <w:iCs/>
                <w:sz w:val="24"/>
                <w:szCs w:val="24"/>
              </w:rPr>
              <w:t>gada 1.</w:t>
            </w:r>
            <w:r>
              <w:rPr>
                <w:rFonts w:ascii="Times New Roman" w:hAnsi="Times New Roman" w:cs="Times New Roman"/>
                <w:iCs/>
                <w:sz w:val="24"/>
                <w:szCs w:val="24"/>
              </w:rPr>
              <w:t> </w:t>
            </w:r>
            <w:r w:rsidRPr="00AC6377">
              <w:rPr>
                <w:rFonts w:ascii="Times New Roman" w:hAnsi="Times New Roman" w:cs="Times New Roman"/>
                <w:iCs/>
                <w:sz w:val="24"/>
                <w:szCs w:val="24"/>
              </w:rPr>
              <w:t>jūlijā)</w:t>
            </w:r>
            <w:r w:rsidR="0064795E">
              <w:rPr>
                <w:rFonts w:ascii="Times New Roman" w:hAnsi="Times New Roman" w:cs="Times New Roman"/>
                <w:iCs/>
                <w:sz w:val="24"/>
                <w:szCs w:val="24"/>
              </w:rPr>
              <w:t>,</w:t>
            </w:r>
            <w:r w:rsidRPr="00AC6377">
              <w:rPr>
                <w:rFonts w:ascii="Times New Roman" w:hAnsi="Times New Roman" w:cs="Times New Roman"/>
                <w:iCs/>
                <w:sz w:val="24"/>
                <w:szCs w:val="24"/>
              </w:rPr>
              <w:t xml:space="preserve"> nav tieši </w:t>
            </w:r>
            <w:r w:rsidRPr="00003A84">
              <w:rPr>
                <w:rFonts w:ascii="Times New Roman" w:hAnsi="Times New Roman" w:cs="Times New Roman"/>
                <w:iCs/>
                <w:sz w:val="24"/>
                <w:szCs w:val="24"/>
              </w:rPr>
              <w:t xml:space="preserve">sasaistāmi ar </w:t>
            </w:r>
            <w:r w:rsidR="00003A84" w:rsidRPr="00D92367">
              <w:rPr>
                <w:rFonts w:ascii="Times New Roman" w:hAnsi="Times New Roman" w:cs="Times New Roman"/>
                <w:iCs/>
                <w:sz w:val="24"/>
                <w:szCs w:val="24"/>
              </w:rPr>
              <w:t>veidlapas</w:t>
            </w:r>
            <w:r w:rsidR="00003A84" w:rsidRPr="00003A84">
              <w:rPr>
                <w:rFonts w:ascii="Times New Roman" w:hAnsi="Times New Roman" w:cs="Times New Roman"/>
                <w:iCs/>
                <w:sz w:val="24"/>
                <w:szCs w:val="24"/>
              </w:rPr>
              <w:t xml:space="preserve"> paraugā, kas tiek apstiprināts ar </w:t>
            </w:r>
            <w:r w:rsidRPr="00003A84">
              <w:rPr>
                <w:rFonts w:ascii="Times New Roman" w:hAnsi="Times New Roman" w:cs="Times New Roman"/>
                <w:iCs/>
                <w:sz w:val="24"/>
                <w:szCs w:val="24"/>
              </w:rPr>
              <w:t>noteikumu projektu</w:t>
            </w:r>
            <w:r w:rsidR="00003A84" w:rsidRPr="00D92367">
              <w:rPr>
                <w:rFonts w:ascii="Times New Roman" w:hAnsi="Times New Roman" w:cs="Times New Roman"/>
                <w:iCs/>
                <w:sz w:val="24"/>
                <w:szCs w:val="24"/>
              </w:rPr>
              <w:t>,</w:t>
            </w:r>
            <w:r w:rsidRPr="00003A84">
              <w:rPr>
                <w:rFonts w:ascii="Times New Roman" w:hAnsi="Times New Roman" w:cs="Times New Roman"/>
                <w:iCs/>
                <w:sz w:val="24"/>
                <w:szCs w:val="24"/>
              </w:rPr>
              <w:t xml:space="preserve"> ietverto pamatinformāciju par noguldījumu aizsardzību</w:t>
            </w:r>
            <w:r w:rsidRPr="00AC6377">
              <w:rPr>
                <w:rFonts w:ascii="Times New Roman" w:hAnsi="Times New Roman" w:cs="Times New Roman"/>
                <w:iCs/>
                <w:sz w:val="24"/>
                <w:szCs w:val="24"/>
              </w:rPr>
              <w:t>, t.</w:t>
            </w:r>
            <w:r w:rsidR="0064795E">
              <w:rPr>
                <w:rFonts w:ascii="Times New Roman" w:hAnsi="Times New Roman" w:cs="Times New Roman"/>
                <w:iCs/>
                <w:sz w:val="24"/>
                <w:szCs w:val="24"/>
              </w:rPr>
              <w:t> </w:t>
            </w:r>
            <w:r w:rsidRPr="00AC6377">
              <w:rPr>
                <w:rFonts w:ascii="Times New Roman" w:hAnsi="Times New Roman" w:cs="Times New Roman"/>
                <w:iCs/>
                <w:sz w:val="24"/>
                <w:szCs w:val="24"/>
              </w:rPr>
              <w:t>sk. informāciju par noguldījumiem, par kuriem atbilstoši Noguldījumu garantiju likuma 23.</w:t>
            </w:r>
            <w:r>
              <w:rPr>
                <w:rFonts w:ascii="Times New Roman" w:hAnsi="Times New Roman" w:cs="Times New Roman"/>
                <w:iCs/>
                <w:sz w:val="24"/>
                <w:szCs w:val="24"/>
              </w:rPr>
              <w:t> </w:t>
            </w:r>
            <w:r w:rsidRPr="00AC6377">
              <w:rPr>
                <w:rFonts w:ascii="Times New Roman" w:hAnsi="Times New Roman" w:cs="Times New Roman"/>
                <w:iCs/>
                <w:sz w:val="24"/>
                <w:szCs w:val="24"/>
              </w:rPr>
              <w:t>pantam garantēto atlīdzību neizmaksā, kas jau šobrīd ir ietverta Noguldījumu garantiju likumā.</w:t>
            </w:r>
          </w:p>
          <w:p w14:paraId="0FEF0865" w14:textId="7B26583E" w:rsidR="000D353C" w:rsidRPr="00AC6377" w:rsidRDefault="000D353C" w:rsidP="00AC6377">
            <w:pPr>
              <w:spacing w:after="0" w:line="240" w:lineRule="auto"/>
              <w:jc w:val="both"/>
              <w:rPr>
                <w:rFonts w:ascii="Times New Roman" w:hAnsi="Times New Roman" w:cs="Times New Roman"/>
                <w:iCs/>
                <w:sz w:val="24"/>
                <w:szCs w:val="24"/>
              </w:rPr>
            </w:pPr>
            <w:r w:rsidRPr="00AC6377">
              <w:rPr>
                <w:rFonts w:ascii="Times New Roman" w:hAnsi="Times New Roman" w:cs="Times New Roman"/>
                <w:iCs/>
                <w:sz w:val="24"/>
                <w:szCs w:val="24"/>
              </w:rPr>
              <w:t>Papildināt</w:t>
            </w:r>
            <w:r w:rsidR="00B77BF1">
              <w:rPr>
                <w:rFonts w:ascii="Times New Roman" w:hAnsi="Times New Roman" w:cs="Times New Roman"/>
                <w:iCs/>
                <w:sz w:val="24"/>
                <w:szCs w:val="24"/>
              </w:rPr>
              <w:t>a</w:t>
            </w:r>
            <w:r w:rsidRPr="00AC6377">
              <w:rPr>
                <w:rFonts w:ascii="Times New Roman" w:hAnsi="Times New Roman" w:cs="Times New Roman"/>
                <w:iCs/>
                <w:sz w:val="24"/>
                <w:szCs w:val="24"/>
              </w:rPr>
              <w:t xml:space="preserve"> anotācij</w:t>
            </w:r>
            <w:r w:rsidR="00B77BF1">
              <w:rPr>
                <w:rFonts w:ascii="Times New Roman" w:hAnsi="Times New Roman" w:cs="Times New Roman"/>
                <w:iCs/>
                <w:sz w:val="24"/>
                <w:szCs w:val="24"/>
              </w:rPr>
              <w:t>a</w:t>
            </w:r>
            <w:r w:rsidRPr="00AC6377">
              <w:rPr>
                <w:rFonts w:ascii="Times New Roman" w:hAnsi="Times New Roman" w:cs="Times New Roman"/>
                <w:iCs/>
                <w:sz w:val="24"/>
                <w:szCs w:val="24"/>
              </w:rPr>
              <w:t>:</w:t>
            </w:r>
          </w:p>
          <w:p w14:paraId="6021B22D" w14:textId="4F15CB67" w:rsidR="000D353C" w:rsidRPr="00AC6377" w:rsidRDefault="0064795E" w:rsidP="00AC6377">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w:t>
            </w:r>
            <w:r w:rsidR="003E2994" w:rsidRPr="003E2994">
              <w:rPr>
                <w:rFonts w:ascii="Times New Roman" w:hAnsi="Times New Roman" w:cs="Times New Roman"/>
                <w:iCs/>
                <w:sz w:val="24"/>
                <w:szCs w:val="24"/>
              </w:rPr>
              <w:t xml:space="preserve">Lai arī noteikumu projektā iekļautie likumprojektā "Grozījumi Noguldījumu garantiju likumā" (Nr. 559/Lp14) paredzētie grozījumi, kas saistīti ar tehnisku (redakcionālu) izmaiņu veikšanu ar Noteikumiem Nr. 180 apstiprinātās veidlapas tekstā, prasīs gan to tulkošanu, gan informācijas tehnoloģiju resursu iesaisti, tomēr jānorāda, ka noguldījumu piesaistītāja papildus veicamie darbi veidlapas pamatinformācijas par noguldījumu aizsardzību pilnveidošanai ir samērīgi ar ieguvumu, kādu noguldītāji turpmāk </w:t>
            </w:r>
            <w:r w:rsidR="003E2994" w:rsidRPr="003E2994">
              <w:rPr>
                <w:rFonts w:ascii="Times New Roman" w:hAnsi="Times New Roman" w:cs="Times New Roman"/>
                <w:iCs/>
                <w:sz w:val="24"/>
                <w:szCs w:val="24"/>
              </w:rPr>
              <w:lastRenderedPageBreak/>
              <w:t>saņems</w:t>
            </w:r>
            <w:r>
              <w:rPr>
                <w:rFonts w:ascii="Times New Roman" w:hAnsi="Times New Roman" w:cs="Times New Roman"/>
                <w:iCs/>
                <w:sz w:val="24"/>
                <w:szCs w:val="24"/>
              </w:rPr>
              <w:t>, </w:t>
            </w:r>
            <w:r w:rsidR="003E2994" w:rsidRPr="003E2994">
              <w:rPr>
                <w:rFonts w:ascii="Times New Roman" w:hAnsi="Times New Roman" w:cs="Times New Roman"/>
                <w:iCs/>
                <w:sz w:val="24"/>
                <w:szCs w:val="24"/>
              </w:rPr>
              <w:t>– pilnīgu un precīzu informāciju par noguldījumu aizsardzību</w:t>
            </w:r>
            <w:r w:rsidR="000D353C" w:rsidRPr="00AC6377">
              <w:rPr>
                <w:rFonts w:ascii="Times New Roman" w:hAnsi="Times New Roman" w:cs="Times New Roman"/>
                <w:iCs/>
                <w:sz w:val="24"/>
                <w:szCs w:val="24"/>
              </w:rPr>
              <w:t>.</w:t>
            </w:r>
            <w:r>
              <w:rPr>
                <w:rFonts w:ascii="Times New Roman" w:hAnsi="Times New Roman" w:cs="Times New Roman"/>
                <w:iCs/>
                <w:sz w:val="24"/>
                <w:szCs w:val="24"/>
              </w:rPr>
              <w:t>"</w:t>
            </w:r>
            <w:r w:rsidR="000D353C" w:rsidRPr="00AC6377">
              <w:rPr>
                <w:rFonts w:ascii="Times New Roman" w:hAnsi="Times New Roman" w:cs="Times New Roman"/>
                <w:iCs/>
                <w:sz w:val="24"/>
                <w:szCs w:val="24"/>
              </w:rPr>
              <w:t xml:space="preserve"> </w:t>
            </w:r>
          </w:p>
        </w:tc>
      </w:tr>
      <w:bookmarkEnd w:id="0"/>
    </w:tbl>
    <w:p w14:paraId="511E8D06" w14:textId="77777777" w:rsidR="00A236BF" w:rsidRPr="00CB43C1" w:rsidRDefault="00A236BF" w:rsidP="000D353C">
      <w:pPr>
        <w:spacing w:after="0" w:line="240" w:lineRule="auto"/>
        <w:rPr>
          <w:rFonts w:ascii="Times New Roman" w:hAnsi="Times New Roman" w:cs="Times New Roman"/>
          <w:sz w:val="24"/>
          <w:szCs w:val="24"/>
        </w:rPr>
      </w:pPr>
    </w:p>
    <w:sectPr w:rsidR="00A236BF" w:rsidRPr="00CB43C1" w:rsidSect="00AC6377">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7D86DC" w14:textId="77777777" w:rsidR="001066CE" w:rsidRDefault="001066CE" w:rsidP="009B27BE">
      <w:pPr>
        <w:spacing w:after="0" w:line="240" w:lineRule="auto"/>
      </w:pPr>
      <w:r>
        <w:separator/>
      </w:r>
    </w:p>
  </w:endnote>
  <w:endnote w:type="continuationSeparator" w:id="0">
    <w:p w14:paraId="0DAC7B69" w14:textId="77777777" w:rsidR="001066CE" w:rsidRDefault="001066CE" w:rsidP="009B27BE">
      <w:pPr>
        <w:spacing w:after="0" w:line="240" w:lineRule="auto"/>
      </w:pPr>
      <w:r>
        <w:continuationSeparator/>
      </w:r>
    </w:p>
  </w:endnote>
  <w:endnote w:type="continuationNotice" w:id="1">
    <w:p w14:paraId="0802EAD9" w14:textId="77777777" w:rsidR="001066CE" w:rsidRDefault="001066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3E768" w14:textId="77777777" w:rsidR="00A12F71" w:rsidRDefault="00A12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A4C6CC" w14:textId="77777777" w:rsidR="001066CE" w:rsidRDefault="001066CE" w:rsidP="009B27BE">
      <w:pPr>
        <w:spacing w:after="0" w:line="240" w:lineRule="auto"/>
      </w:pPr>
      <w:r>
        <w:separator/>
      </w:r>
    </w:p>
  </w:footnote>
  <w:footnote w:type="continuationSeparator" w:id="0">
    <w:p w14:paraId="40C5EF36" w14:textId="77777777" w:rsidR="001066CE" w:rsidRDefault="001066CE" w:rsidP="009B27BE">
      <w:pPr>
        <w:spacing w:after="0" w:line="240" w:lineRule="auto"/>
      </w:pPr>
      <w:r>
        <w:continuationSeparator/>
      </w:r>
    </w:p>
  </w:footnote>
  <w:footnote w:type="continuationNotice" w:id="1">
    <w:p w14:paraId="5C1385E6" w14:textId="77777777" w:rsidR="001066CE" w:rsidRDefault="001066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690C0DE2" w14:textId="03395BFA"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13BE6551"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574D6"/>
    <w:multiLevelType w:val="hybridMultilevel"/>
    <w:tmpl w:val="0D00152A"/>
    <w:lvl w:ilvl="0" w:tplc="2244E08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9EC0808"/>
    <w:multiLevelType w:val="hybridMultilevel"/>
    <w:tmpl w:val="B55C1C4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F0B6537"/>
    <w:multiLevelType w:val="hybridMultilevel"/>
    <w:tmpl w:val="78722166"/>
    <w:lvl w:ilvl="0" w:tplc="7A3E11AC">
      <w:start w:val="1"/>
      <w:numFmt w:val="decimal"/>
      <w:lvlText w:val="%1)"/>
      <w:lvlJc w:val="left"/>
      <w:pPr>
        <w:ind w:left="910" w:hanging="55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FA515B1"/>
    <w:multiLevelType w:val="hybridMultilevel"/>
    <w:tmpl w:val="C18E09E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3C84A18"/>
    <w:multiLevelType w:val="hybridMultilevel"/>
    <w:tmpl w:val="740676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41E485F"/>
    <w:multiLevelType w:val="hybridMultilevel"/>
    <w:tmpl w:val="0824B8D0"/>
    <w:lvl w:ilvl="0" w:tplc="E7F0A42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02379D2"/>
    <w:multiLevelType w:val="hybridMultilevel"/>
    <w:tmpl w:val="69E27452"/>
    <w:lvl w:ilvl="0" w:tplc="8168E61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21071796">
    <w:abstractNumId w:val="1"/>
  </w:num>
  <w:num w:numId="2" w16cid:durableId="1416904649">
    <w:abstractNumId w:val="2"/>
  </w:num>
  <w:num w:numId="3" w16cid:durableId="441849437">
    <w:abstractNumId w:val="3"/>
  </w:num>
  <w:num w:numId="4" w16cid:durableId="600600419">
    <w:abstractNumId w:val="4"/>
  </w:num>
  <w:num w:numId="5" w16cid:durableId="2102944766">
    <w:abstractNumId w:val="6"/>
  </w:num>
  <w:num w:numId="6" w16cid:durableId="105270733">
    <w:abstractNumId w:val="5"/>
  </w:num>
  <w:num w:numId="7" w16cid:durableId="1418749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BE"/>
    <w:rsid w:val="00003A84"/>
    <w:rsid w:val="000055BD"/>
    <w:rsid w:val="00016575"/>
    <w:rsid w:val="00016914"/>
    <w:rsid w:val="000227AF"/>
    <w:rsid w:val="000263F5"/>
    <w:rsid w:val="000300A8"/>
    <w:rsid w:val="00031BEA"/>
    <w:rsid w:val="00041D77"/>
    <w:rsid w:val="00044E0F"/>
    <w:rsid w:val="00054BFA"/>
    <w:rsid w:val="00057A08"/>
    <w:rsid w:val="00066F70"/>
    <w:rsid w:val="0006713D"/>
    <w:rsid w:val="000736D3"/>
    <w:rsid w:val="000747AB"/>
    <w:rsid w:val="0007524E"/>
    <w:rsid w:val="0008510E"/>
    <w:rsid w:val="0009616F"/>
    <w:rsid w:val="000A1F44"/>
    <w:rsid w:val="000B4E0A"/>
    <w:rsid w:val="000C24BE"/>
    <w:rsid w:val="000D186F"/>
    <w:rsid w:val="000D353C"/>
    <w:rsid w:val="000D6FF8"/>
    <w:rsid w:val="000D7719"/>
    <w:rsid w:val="000F0779"/>
    <w:rsid w:val="000F3E17"/>
    <w:rsid w:val="001066CE"/>
    <w:rsid w:val="001122A1"/>
    <w:rsid w:val="00121E2E"/>
    <w:rsid w:val="001314BB"/>
    <w:rsid w:val="00132070"/>
    <w:rsid w:val="00133F6A"/>
    <w:rsid w:val="00143A48"/>
    <w:rsid w:val="00146ED5"/>
    <w:rsid w:val="00147390"/>
    <w:rsid w:val="0015111A"/>
    <w:rsid w:val="00152045"/>
    <w:rsid w:val="001559BD"/>
    <w:rsid w:val="001576EA"/>
    <w:rsid w:val="001666A4"/>
    <w:rsid w:val="00167843"/>
    <w:rsid w:val="001713D8"/>
    <w:rsid w:val="0017144B"/>
    <w:rsid w:val="00173E1D"/>
    <w:rsid w:val="00180DB0"/>
    <w:rsid w:val="001943C3"/>
    <w:rsid w:val="001967AB"/>
    <w:rsid w:val="001A09C2"/>
    <w:rsid w:val="001A5171"/>
    <w:rsid w:val="001A740C"/>
    <w:rsid w:val="001B0B58"/>
    <w:rsid w:val="001B12CE"/>
    <w:rsid w:val="001B1420"/>
    <w:rsid w:val="001B1874"/>
    <w:rsid w:val="001B745F"/>
    <w:rsid w:val="001C4F08"/>
    <w:rsid w:val="001D5906"/>
    <w:rsid w:val="001D7007"/>
    <w:rsid w:val="001E7AB4"/>
    <w:rsid w:val="001F32D6"/>
    <w:rsid w:val="001F6220"/>
    <w:rsid w:val="001F7213"/>
    <w:rsid w:val="0021004C"/>
    <w:rsid w:val="00210101"/>
    <w:rsid w:val="00212C42"/>
    <w:rsid w:val="00216B12"/>
    <w:rsid w:val="00216C2F"/>
    <w:rsid w:val="002268EF"/>
    <w:rsid w:val="00227D57"/>
    <w:rsid w:val="0023637C"/>
    <w:rsid w:val="00236BF1"/>
    <w:rsid w:val="002426BE"/>
    <w:rsid w:val="00247EC5"/>
    <w:rsid w:val="00250ECC"/>
    <w:rsid w:val="00252283"/>
    <w:rsid w:val="0025788E"/>
    <w:rsid w:val="00267FE9"/>
    <w:rsid w:val="002746B0"/>
    <w:rsid w:val="00290350"/>
    <w:rsid w:val="002912C6"/>
    <w:rsid w:val="00291335"/>
    <w:rsid w:val="00296753"/>
    <w:rsid w:val="002C576C"/>
    <w:rsid w:val="002D2FD4"/>
    <w:rsid w:val="002D32AC"/>
    <w:rsid w:val="002E1684"/>
    <w:rsid w:val="002E2191"/>
    <w:rsid w:val="002E3544"/>
    <w:rsid w:val="002F028F"/>
    <w:rsid w:val="002F4E26"/>
    <w:rsid w:val="0032115F"/>
    <w:rsid w:val="0032270E"/>
    <w:rsid w:val="00331C24"/>
    <w:rsid w:val="003344C2"/>
    <w:rsid w:val="00335D52"/>
    <w:rsid w:val="003502F4"/>
    <w:rsid w:val="003633CC"/>
    <w:rsid w:val="00364B35"/>
    <w:rsid w:val="0037400C"/>
    <w:rsid w:val="00376326"/>
    <w:rsid w:val="003770F5"/>
    <w:rsid w:val="003831CC"/>
    <w:rsid w:val="0038436C"/>
    <w:rsid w:val="0038589E"/>
    <w:rsid w:val="00386619"/>
    <w:rsid w:val="00392C95"/>
    <w:rsid w:val="003A2909"/>
    <w:rsid w:val="003A44C6"/>
    <w:rsid w:val="003A7F39"/>
    <w:rsid w:val="003B1662"/>
    <w:rsid w:val="003B481B"/>
    <w:rsid w:val="003E2994"/>
    <w:rsid w:val="003E4141"/>
    <w:rsid w:val="003F0688"/>
    <w:rsid w:val="004102AE"/>
    <w:rsid w:val="00416961"/>
    <w:rsid w:val="00427E8E"/>
    <w:rsid w:val="00432B4F"/>
    <w:rsid w:val="004332A4"/>
    <w:rsid w:val="0043553A"/>
    <w:rsid w:val="00435F1D"/>
    <w:rsid w:val="00435F74"/>
    <w:rsid w:val="00446B6A"/>
    <w:rsid w:val="004550AB"/>
    <w:rsid w:val="0047409B"/>
    <w:rsid w:val="0047649C"/>
    <w:rsid w:val="0047713D"/>
    <w:rsid w:val="004908BA"/>
    <w:rsid w:val="0049248A"/>
    <w:rsid w:val="00492B04"/>
    <w:rsid w:val="0049313E"/>
    <w:rsid w:val="004938E5"/>
    <w:rsid w:val="00494B22"/>
    <w:rsid w:val="00496149"/>
    <w:rsid w:val="00496946"/>
    <w:rsid w:val="004A01DF"/>
    <w:rsid w:val="004B488D"/>
    <w:rsid w:val="004B5D75"/>
    <w:rsid w:val="004C4784"/>
    <w:rsid w:val="004D281B"/>
    <w:rsid w:val="004D4AB6"/>
    <w:rsid w:val="004D55EF"/>
    <w:rsid w:val="004D7060"/>
    <w:rsid w:val="00517943"/>
    <w:rsid w:val="00523792"/>
    <w:rsid w:val="00530A5A"/>
    <w:rsid w:val="00531424"/>
    <w:rsid w:val="00544268"/>
    <w:rsid w:val="00545C5C"/>
    <w:rsid w:val="00547AA6"/>
    <w:rsid w:val="00554BD4"/>
    <w:rsid w:val="00556358"/>
    <w:rsid w:val="005651DD"/>
    <w:rsid w:val="0056773E"/>
    <w:rsid w:val="005719D9"/>
    <w:rsid w:val="00584A52"/>
    <w:rsid w:val="0059286C"/>
    <w:rsid w:val="005A0912"/>
    <w:rsid w:val="005A16D7"/>
    <w:rsid w:val="005A35D1"/>
    <w:rsid w:val="005A4590"/>
    <w:rsid w:val="005A4A9A"/>
    <w:rsid w:val="005A5D32"/>
    <w:rsid w:val="005A6B0A"/>
    <w:rsid w:val="005B3E28"/>
    <w:rsid w:val="005C2723"/>
    <w:rsid w:val="005C2EBB"/>
    <w:rsid w:val="005D011D"/>
    <w:rsid w:val="005D3C23"/>
    <w:rsid w:val="005D577B"/>
    <w:rsid w:val="005E54C7"/>
    <w:rsid w:val="005F1909"/>
    <w:rsid w:val="005F1B74"/>
    <w:rsid w:val="005F385C"/>
    <w:rsid w:val="0060016E"/>
    <w:rsid w:val="00605597"/>
    <w:rsid w:val="00611802"/>
    <w:rsid w:val="00614522"/>
    <w:rsid w:val="00620173"/>
    <w:rsid w:val="00621972"/>
    <w:rsid w:val="006310BF"/>
    <w:rsid w:val="006338F7"/>
    <w:rsid w:val="00634AE1"/>
    <w:rsid w:val="00642172"/>
    <w:rsid w:val="00642F8E"/>
    <w:rsid w:val="00643B53"/>
    <w:rsid w:val="00643D1A"/>
    <w:rsid w:val="00646F76"/>
    <w:rsid w:val="0064795E"/>
    <w:rsid w:val="00650585"/>
    <w:rsid w:val="006540FA"/>
    <w:rsid w:val="0065548D"/>
    <w:rsid w:val="00660469"/>
    <w:rsid w:val="006608FF"/>
    <w:rsid w:val="00662B3A"/>
    <w:rsid w:val="0067314C"/>
    <w:rsid w:val="0067525D"/>
    <w:rsid w:val="00675978"/>
    <w:rsid w:val="00676C38"/>
    <w:rsid w:val="00690A23"/>
    <w:rsid w:val="0069516A"/>
    <w:rsid w:val="00695F52"/>
    <w:rsid w:val="00696F03"/>
    <w:rsid w:val="00697306"/>
    <w:rsid w:val="006A1907"/>
    <w:rsid w:val="006B16AE"/>
    <w:rsid w:val="006E0753"/>
    <w:rsid w:val="006E0BAE"/>
    <w:rsid w:val="006F4E21"/>
    <w:rsid w:val="007018C5"/>
    <w:rsid w:val="00705976"/>
    <w:rsid w:val="00706333"/>
    <w:rsid w:val="00706A5E"/>
    <w:rsid w:val="00714680"/>
    <w:rsid w:val="00721DAE"/>
    <w:rsid w:val="00725217"/>
    <w:rsid w:val="00733D5C"/>
    <w:rsid w:val="00743A0B"/>
    <w:rsid w:val="00743B50"/>
    <w:rsid w:val="00743CCB"/>
    <w:rsid w:val="0074488E"/>
    <w:rsid w:val="0075558A"/>
    <w:rsid w:val="00756820"/>
    <w:rsid w:val="00762371"/>
    <w:rsid w:val="0077277E"/>
    <w:rsid w:val="0078208F"/>
    <w:rsid w:val="00786623"/>
    <w:rsid w:val="007868FA"/>
    <w:rsid w:val="00790CDB"/>
    <w:rsid w:val="0079701E"/>
    <w:rsid w:val="00797293"/>
    <w:rsid w:val="007A23E3"/>
    <w:rsid w:val="007A5AE8"/>
    <w:rsid w:val="007A79FE"/>
    <w:rsid w:val="007B2604"/>
    <w:rsid w:val="007C3623"/>
    <w:rsid w:val="007D0CA3"/>
    <w:rsid w:val="007E0007"/>
    <w:rsid w:val="007E313B"/>
    <w:rsid w:val="007F09D6"/>
    <w:rsid w:val="008068C4"/>
    <w:rsid w:val="008076A9"/>
    <w:rsid w:val="00814A87"/>
    <w:rsid w:val="0081712C"/>
    <w:rsid w:val="00821C6E"/>
    <w:rsid w:val="00827FA8"/>
    <w:rsid w:val="00832DDB"/>
    <w:rsid w:val="00842BEE"/>
    <w:rsid w:val="00850883"/>
    <w:rsid w:val="00851F8F"/>
    <w:rsid w:val="00853AB8"/>
    <w:rsid w:val="00857DBB"/>
    <w:rsid w:val="00861DC0"/>
    <w:rsid w:val="00865B14"/>
    <w:rsid w:val="0087244A"/>
    <w:rsid w:val="00876932"/>
    <w:rsid w:val="00886822"/>
    <w:rsid w:val="00887CA3"/>
    <w:rsid w:val="008900A1"/>
    <w:rsid w:val="008A4612"/>
    <w:rsid w:val="008A52F4"/>
    <w:rsid w:val="008B0E29"/>
    <w:rsid w:val="008B1758"/>
    <w:rsid w:val="008B79D1"/>
    <w:rsid w:val="008C0E89"/>
    <w:rsid w:val="008C7DD3"/>
    <w:rsid w:val="008C7E33"/>
    <w:rsid w:val="008D1B93"/>
    <w:rsid w:val="008E34D4"/>
    <w:rsid w:val="008E5272"/>
    <w:rsid w:val="008F02E5"/>
    <w:rsid w:val="008F41DA"/>
    <w:rsid w:val="008F7714"/>
    <w:rsid w:val="00900C7D"/>
    <w:rsid w:val="00902D6A"/>
    <w:rsid w:val="00905142"/>
    <w:rsid w:val="00915127"/>
    <w:rsid w:val="00920831"/>
    <w:rsid w:val="009210E5"/>
    <w:rsid w:val="00924A7F"/>
    <w:rsid w:val="00932E5B"/>
    <w:rsid w:val="00935FAB"/>
    <w:rsid w:val="009473FA"/>
    <w:rsid w:val="0096049E"/>
    <w:rsid w:val="00965388"/>
    <w:rsid w:val="0096711C"/>
    <w:rsid w:val="00974404"/>
    <w:rsid w:val="0098107D"/>
    <w:rsid w:val="00985EBB"/>
    <w:rsid w:val="009929B5"/>
    <w:rsid w:val="00995752"/>
    <w:rsid w:val="00997143"/>
    <w:rsid w:val="009A0416"/>
    <w:rsid w:val="009A0F78"/>
    <w:rsid w:val="009A1D3C"/>
    <w:rsid w:val="009A3D69"/>
    <w:rsid w:val="009B0B5C"/>
    <w:rsid w:val="009B27BE"/>
    <w:rsid w:val="009B58CA"/>
    <w:rsid w:val="009D04E6"/>
    <w:rsid w:val="009D69BC"/>
    <w:rsid w:val="009F35B9"/>
    <w:rsid w:val="00A0086D"/>
    <w:rsid w:val="00A0418B"/>
    <w:rsid w:val="00A11BE6"/>
    <w:rsid w:val="00A12F71"/>
    <w:rsid w:val="00A13FCA"/>
    <w:rsid w:val="00A236BF"/>
    <w:rsid w:val="00A23A29"/>
    <w:rsid w:val="00A333B8"/>
    <w:rsid w:val="00A34ECE"/>
    <w:rsid w:val="00A42788"/>
    <w:rsid w:val="00A47E5C"/>
    <w:rsid w:val="00A52337"/>
    <w:rsid w:val="00A546E0"/>
    <w:rsid w:val="00A627A9"/>
    <w:rsid w:val="00A70073"/>
    <w:rsid w:val="00A71350"/>
    <w:rsid w:val="00A77434"/>
    <w:rsid w:val="00A819A9"/>
    <w:rsid w:val="00A852F2"/>
    <w:rsid w:val="00A939D5"/>
    <w:rsid w:val="00AA06AE"/>
    <w:rsid w:val="00AA4D8F"/>
    <w:rsid w:val="00AA6D92"/>
    <w:rsid w:val="00AB06A6"/>
    <w:rsid w:val="00AB2323"/>
    <w:rsid w:val="00AB4E14"/>
    <w:rsid w:val="00AB6130"/>
    <w:rsid w:val="00AC6377"/>
    <w:rsid w:val="00AD13A2"/>
    <w:rsid w:val="00AD42A6"/>
    <w:rsid w:val="00AD5AF9"/>
    <w:rsid w:val="00AD69B0"/>
    <w:rsid w:val="00AF0F51"/>
    <w:rsid w:val="00AF1D11"/>
    <w:rsid w:val="00AF36D2"/>
    <w:rsid w:val="00B037E3"/>
    <w:rsid w:val="00B074FF"/>
    <w:rsid w:val="00B155BF"/>
    <w:rsid w:val="00B15E15"/>
    <w:rsid w:val="00B239A5"/>
    <w:rsid w:val="00B241FA"/>
    <w:rsid w:val="00B62244"/>
    <w:rsid w:val="00B661AE"/>
    <w:rsid w:val="00B66623"/>
    <w:rsid w:val="00B7036D"/>
    <w:rsid w:val="00B7308F"/>
    <w:rsid w:val="00B77BF1"/>
    <w:rsid w:val="00B83FE2"/>
    <w:rsid w:val="00B85053"/>
    <w:rsid w:val="00B8606D"/>
    <w:rsid w:val="00B9298C"/>
    <w:rsid w:val="00B9580C"/>
    <w:rsid w:val="00B95A97"/>
    <w:rsid w:val="00B95DAB"/>
    <w:rsid w:val="00BA15C1"/>
    <w:rsid w:val="00BA47D7"/>
    <w:rsid w:val="00BA55A8"/>
    <w:rsid w:val="00BB5CF1"/>
    <w:rsid w:val="00BC63F6"/>
    <w:rsid w:val="00BC784F"/>
    <w:rsid w:val="00BE01DA"/>
    <w:rsid w:val="00BE1918"/>
    <w:rsid w:val="00BE378B"/>
    <w:rsid w:val="00BF38BE"/>
    <w:rsid w:val="00BF3A88"/>
    <w:rsid w:val="00BF43D9"/>
    <w:rsid w:val="00C04BC1"/>
    <w:rsid w:val="00C05BD9"/>
    <w:rsid w:val="00C1178F"/>
    <w:rsid w:val="00C142BF"/>
    <w:rsid w:val="00C24554"/>
    <w:rsid w:val="00C356DE"/>
    <w:rsid w:val="00C40663"/>
    <w:rsid w:val="00C46DB6"/>
    <w:rsid w:val="00C548EC"/>
    <w:rsid w:val="00C64D76"/>
    <w:rsid w:val="00C76A40"/>
    <w:rsid w:val="00C85C34"/>
    <w:rsid w:val="00C90DF0"/>
    <w:rsid w:val="00CA1B1F"/>
    <w:rsid w:val="00CA28AB"/>
    <w:rsid w:val="00CA2D68"/>
    <w:rsid w:val="00CB425F"/>
    <w:rsid w:val="00CB43C1"/>
    <w:rsid w:val="00CC5674"/>
    <w:rsid w:val="00CC5DF9"/>
    <w:rsid w:val="00CC64DF"/>
    <w:rsid w:val="00CD05CB"/>
    <w:rsid w:val="00CD79E1"/>
    <w:rsid w:val="00CF1CBF"/>
    <w:rsid w:val="00CF41FE"/>
    <w:rsid w:val="00D17D5D"/>
    <w:rsid w:val="00D23397"/>
    <w:rsid w:val="00D23A3B"/>
    <w:rsid w:val="00D51524"/>
    <w:rsid w:val="00D5175C"/>
    <w:rsid w:val="00D524A9"/>
    <w:rsid w:val="00D5655A"/>
    <w:rsid w:val="00D6080C"/>
    <w:rsid w:val="00D712D3"/>
    <w:rsid w:val="00D727B3"/>
    <w:rsid w:val="00D73E88"/>
    <w:rsid w:val="00D7695F"/>
    <w:rsid w:val="00D851CA"/>
    <w:rsid w:val="00D9200C"/>
    <w:rsid w:val="00D92367"/>
    <w:rsid w:val="00D93BA4"/>
    <w:rsid w:val="00DA3E47"/>
    <w:rsid w:val="00DA57A9"/>
    <w:rsid w:val="00DB195D"/>
    <w:rsid w:val="00DB264E"/>
    <w:rsid w:val="00DC58BD"/>
    <w:rsid w:val="00DD2D0C"/>
    <w:rsid w:val="00DD3A99"/>
    <w:rsid w:val="00DE0B6F"/>
    <w:rsid w:val="00DE10A1"/>
    <w:rsid w:val="00DE42F1"/>
    <w:rsid w:val="00DF04E5"/>
    <w:rsid w:val="00DF1781"/>
    <w:rsid w:val="00DF46AE"/>
    <w:rsid w:val="00E04474"/>
    <w:rsid w:val="00E06517"/>
    <w:rsid w:val="00E076B1"/>
    <w:rsid w:val="00E138DB"/>
    <w:rsid w:val="00E16F31"/>
    <w:rsid w:val="00E173E6"/>
    <w:rsid w:val="00E208A6"/>
    <w:rsid w:val="00E2144D"/>
    <w:rsid w:val="00E229D5"/>
    <w:rsid w:val="00E253DA"/>
    <w:rsid w:val="00E311A2"/>
    <w:rsid w:val="00E342BF"/>
    <w:rsid w:val="00E47FFD"/>
    <w:rsid w:val="00E53DE9"/>
    <w:rsid w:val="00E556DE"/>
    <w:rsid w:val="00E60064"/>
    <w:rsid w:val="00E76FCC"/>
    <w:rsid w:val="00E7718F"/>
    <w:rsid w:val="00E8309B"/>
    <w:rsid w:val="00E84015"/>
    <w:rsid w:val="00E86735"/>
    <w:rsid w:val="00E9001C"/>
    <w:rsid w:val="00E9063F"/>
    <w:rsid w:val="00E97230"/>
    <w:rsid w:val="00EA632E"/>
    <w:rsid w:val="00EB261C"/>
    <w:rsid w:val="00EB70CC"/>
    <w:rsid w:val="00EC29FB"/>
    <w:rsid w:val="00EC3643"/>
    <w:rsid w:val="00EC3F53"/>
    <w:rsid w:val="00ED3C2C"/>
    <w:rsid w:val="00ED4F8D"/>
    <w:rsid w:val="00EE3E74"/>
    <w:rsid w:val="00EF330D"/>
    <w:rsid w:val="00EF40BD"/>
    <w:rsid w:val="00EF706F"/>
    <w:rsid w:val="00F0700C"/>
    <w:rsid w:val="00F071DB"/>
    <w:rsid w:val="00F220EB"/>
    <w:rsid w:val="00F23FE1"/>
    <w:rsid w:val="00F2527D"/>
    <w:rsid w:val="00F31BE4"/>
    <w:rsid w:val="00F36AE8"/>
    <w:rsid w:val="00F36BF4"/>
    <w:rsid w:val="00F40786"/>
    <w:rsid w:val="00F42D4B"/>
    <w:rsid w:val="00F46C1E"/>
    <w:rsid w:val="00F54224"/>
    <w:rsid w:val="00F548E6"/>
    <w:rsid w:val="00F66486"/>
    <w:rsid w:val="00F67026"/>
    <w:rsid w:val="00F70939"/>
    <w:rsid w:val="00F75EC6"/>
    <w:rsid w:val="00F82CBF"/>
    <w:rsid w:val="00F82DA1"/>
    <w:rsid w:val="00F92EDA"/>
    <w:rsid w:val="00F965E4"/>
    <w:rsid w:val="00FA3626"/>
    <w:rsid w:val="00FA4B91"/>
    <w:rsid w:val="00FB4DCA"/>
    <w:rsid w:val="00FB53F4"/>
    <w:rsid w:val="00FC3077"/>
    <w:rsid w:val="00FC649C"/>
    <w:rsid w:val="00FC6AC2"/>
    <w:rsid w:val="00FD1506"/>
    <w:rsid w:val="00FD4D7F"/>
    <w:rsid w:val="00FE4343"/>
    <w:rsid w:val="00FF2C62"/>
    <w:rsid w:val="00FF52E2"/>
    <w:rsid w:val="00FF6C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B3A48"/>
  <w15:chartTrackingRefBased/>
  <w15:docId w15:val="{DC318F0F-5FD4-416D-B1E8-94CDD398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2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ListParagraph">
    <w:name w:val="List Paragraph"/>
    <w:basedOn w:val="Normal"/>
    <w:uiPriority w:val="34"/>
    <w:qFormat/>
    <w:rsid w:val="00B8606D"/>
    <w:pPr>
      <w:ind w:left="720"/>
      <w:contextualSpacing/>
    </w:pPr>
  </w:style>
  <w:style w:type="paragraph" w:styleId="Revision">
    <w:name w:val="Revision"/>
    <w:hidden/>
    <w:uiPriority w:val="99"/>
    <w:semiHidden/>
    <w:rsid w:val="00517943"/>
    <w:pPr>
      <w:spacing w:after="0" w:line="240" w:lineRule="auto"/>
    </w:pPr>
  </w:style>
  <w:style w:type="character" w:styleId="CommentReference">
    <w:name w:val="annotation reference"/>
    <w:basedOn w:val="DefaultParagraphFont"/>
    <w:uiPriority w:val="99"/>
    <w:semiHidden/>
    <w:unhideWhenUsed/>
    <w:rsid w:val="005A35D1"/>
    <w:rPr>
      <w:sz w:val="16"/>
      <w:szCs w:val="16"/>
    </w:rPr>
  </w:style>
  <w:style w:type="paragraph" w:styleId="CommentText">
    <w:name w:val="annotation text"/>
    <w:basedOn w:val="Normal"/>
    <w:link w:val="CommentTextChar"/>
    <w:uiPriority w:val="99"/>
    <w:unhideWhenUsed/>
    <w:rsid w:val="005A35D1"/>
    <w:pPr>
      <w:spacing w:line="240" w:lineRule="auto"/>
    </w:pPr>
    <w:rPr>
      <w:sz w:val="20"/>
      <w:szCs w:val="20"/>
    </w:rPr>
  </w:style>
  <w:style w:type="character" w:customStyle="1" w:styleId="CommentTextChar">
    <w:name w:val="Comment Text Char"/>
    <w:basedOn w:val="DefaultParagraphFont"/>
    <w:link w:val="CommentText"/>
    <w:uiPriority w:val="99"/>
    <w:rsid w:val="005A35D1"/>
    <w:rPr>
      <w:sz w:val="20"/>
      <w:szCs w:val="20"/>
    </w:rPr>
  </w:style>
  <w:style w:type="paragraph" w:styleId="CommentSubject">
    <w:name w:val="annotation subject"/>
    <w:basedOn w:val="CommentText"/>
    <w:next w:val="CommentText"/>
    <w:link w:val="CommentSubjectChar"/>
    <w:uiPriority w:val="99"/>
    <w:semiHidden/>
    <w:unhideWhenUsed/>
    <w:rsid w:val="005A35D1"/>
    <w:rPr>
      <w:b/>
      <w:bCs/>
    </w:rPr>
  </w:style>
  <w:style w:type="character" w:customStyle="1" w:styleId="CommentSubjectChar">
    <w:name w:val="Comment Subject Char"/>
    <w:basedOn w:val="CommentTextChar"/>
    <w:link w:val="CommentSubject"/>
    <w:uiPriority w:val="99"/>
    <w:semiHidden/>
    <w:rsid w:val="005A35D1"/>
    <w:rPr>
      <w:b/>
      <w:bCs/>
      <w:sz w:val="20"/>
      <w:szCs w:val="20"/>
    </w:rPr>
  </w:style>
  <w:style w:type="character" w:styleId="Hyperlink">
    <w:name w:val="Hyperlink"/>
    <w:basedOn w:val="DefaultParagraphFont"/>
    <w:uiPriority w:val="99"/>
    <w:unhideWhenUsed/>
    <w:rsid w:val="001A740C"/>
    <w:rPr>
      <w:color w:val="0563C1" w:themeColor="hyperlink"/>
      <w:u w:val="single"/>
    </w:rPr>
  </w:style>
  <w:style w:type="character" w:styleId="UnresolvedMention">
    <w:name w:val="Unresolved Mention"/>
    <w:basedOn w:val="DefaultParagraphFont"/>
    <w:uiPriority w:val="99"/>
    <w:semiHidden/>
    <w:unhideWhenUsed/>
    <w:rsid w:val="001A740C"/>
    <w:rPr>
      <w:color w:val="605E5C"/>
      <w:shd w:val="clear" w:color="auto" w:fill="E1DFDD"/>
    </w:rPr>
  </w:style>
  <w:style w:type="character" w:styleId="PlaceholderText">
    <w:name w:val="Placeholder Text"/>
    <w:basedOn w:val="DefaultParagraphFont"/>
    <w:uiPriority w:val="99"/>
    <w:semiHidden/>
    <w:rsid w:val="00E76FCC"/>
  </w:style>
  <w:style w:type="character" w:customStyle="1" w:styleId="ui-provider">
    <w:name w:val="ui-provider"/>
    <w:basedOn w:val="DefaultParagraphFont"/>
    <w:rsid w:val="00A47E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246233388">
      <w:bodyDiv w:val="1"/>
      <w:marLeft w:val="0"/>
      <w:marRight w:val="0"/>
      <w:marTop w:val="0"/>
      <w:marBottom w:val="0"/>
      <w:divBdr>
        <w:top w:val="none" w:sz="0" w:space="0" w:color="auto"/>
        <w:left w:val="none" w:sz="0" w:space="0" w:color="auto"/>
        <w:bottom w:val="none" w:sz="0" w:space="0" w:color="auto"/>
        <w:right w:val="none" w:sz="0" w:space="0" w:color="auto"/>
      </w:divBdr>
    </w:div>
    <w:div w:id="100238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F2A10541D5B4783A11F0109B9AC55D1"/>
        <w:category>
          <w:name w:val="General"/>
          <w:gallery w:val="placeholder"/>
        </w:category>
        <w:types>
          <w:type w:val="bbPlcHdr"/>
        </w:types>
        <w:behaviors>
          <w:behavior w:val="content"/>
        </w:behaviors>
        <w:guid w:val="{62C2830D-408D-48BE-8893-61FE5BFA465E}"/>
      </w:docPartPr>
      <w:docPartBody>
        <w:p w:rsidR="00FB3F86" w:rsidRDefault="002B04C6" w:rsidP="002B04C6">
          <w:pPr>
            <w:pStyle w:val="4F2A10541D5B4783A11F0109B9AC55D1"/>
          </w:pPr>
          <w:r w:rsidRPr="006C06FD">
            <w:rPr>
              <w:rStyle w:val="PlaceholderText"/>
              <w:b/>
              <w:szCs w:val="24"/>
            </w:rPr>
            <w:t>[Nosaukums]</w:t>
          </w:r>
        </w:p>
      </w:docPartBody>
    </w:docPart>
    <w:docPart>
      <w:docPartPr>
        <w:name w:val="0865EB39F6FE4D71AF3E65A60811D6AD"/>
        <w:category>
          <w:name w:val="General"/>
          <w:gallery w:val="placeholder"/>
        </w:category>
        <w:types>
          <w:type w:val="bbPlcHdr"/>
        </w:types>
        <w:behaviors>
          <w:behavior w:val="content"/>
        </w:behaviors>
        <w:guid w:val="{ED6FF576-3F47-4557-BAD2-91B40B81DF74}"/>
      </w:docPartPr>
      <w:docPartBody>
        <w:p w:rsidR="00FB3F86" w:rsidRDefault="002B04C6" w:rsidP="002B04C6">
          <w:pPr>
            <w:pStyle w:val="0865EB39F6FE4D71AF3E65A60811D6AD"/>
          </w:pPr>
          <w:r w:rsidRPr="006C06FD">
            <w:rPr>
              <w:rStyle w:val="PlaceholderText"/>
              <w:b/>
              <w:szCs w:val="24"/>
            </w:rPr>
            <w:t>[Nosaukums]</w:t>
          </w:r>
        </w:p>
      </w:docPartBody>
    </w:docPart>
    <w:docPart>
      <w:docPartPr>
        <w:name w:val="9416C82B005B468FB2AA695C8D5A2DC3"/>
        <w:category>
          <w:name w:val="Vispārīgi"/>
          <w:gallery w:val="placeholder"/>
        </w:category>
        <w:types>
          <w:type w:val="bbPlcHdr"/>
        </w:types>
        <w:behaviors>
          <w:behavior w:val="content"/>
        </w:behaviors>
        <w:guid w:val="{E2573EBE-7567-4098-A0AC-735A473577D2}"/>
      </w:docPartPr>
      <w:docPartBody>
        <w:p w:rsidR="007C5C6D" w:rsidRDefault="009039D6" w:rsidP="009039D6">
          <w:pPr>
            <w:pStyle w:val="9416C82B005B468FB2AA695C8D5A2DC3"/>
          </w:pPr>
          <w:r>
            <w:rPr>
              <w:rStyle w:val="PlaceholderText"/>
              <w:b/>
              <w:color w:val="808080" w:themeColor="background1" w:themeShade="80"/>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4C6"/>
    <w:rsid w:val="00016575"/>
    <w:rsid w:val="000B40CB"/>
    <w:rsid w:val="000C04C7"/>
    <w:rsid w:val="0012619E"/>
    <w:rsid w:val="001446BE"/>
    <w:rsid w:val="001A5AA2"/>
    <w:rsid w:val="001D29DB"/>
    <w:rsid w:val="00235DF0"/>
    <w:rsid w:val="00290D52"/>
    <w:rsid w:val="002B04C6"/>
    <w:rsid w:val="002C6A36"/>
    <w:rsid w:val="00311C72"/>
    <w:rsid w:val="0032270E"/>
    <w:rsid w:val="003A44C6"/>
    <w:rsid w:val="003D1423"/>
    <w:rsid w:val="003F5B1A"/>
    <w:rsid w:val="0047409B"/>
    <w:rsid w:val="004D1A75"/>
    <w:rsid w:val="00530A5A"/>
    <w:rsid w:val="0054660F"/>
    <w:rsid w:val="005810C4"/>
    <w:rsid w:val="005A1970"/>
    <w:rsid w:val="005D6385"/>
    <w:rsid w:val="006123B1"/>
    <w:rsid w:val="00643B53"/>
    <w:rsid w:val="00650585"/>
    <w:rsid w:val="00685229"/>
    <w:rsid w:val="006A0760"/>
    <w:rsid w:val="006B5A98"/>
    <w:rsid w:val="00710058"/>
    <w:rsid w:val="00732EF5"/>
    <w:rsid w:val="007355B0"/>
    <w:rsid w:val="00747F6A"/>
    <w:rsid w:val="00782342"/>
    <w:rsid w:val="007A42C1"/>
    <w:rsid w:val="007C5C6D"/>
    <w:rsid w:val="007D2EBF"/>
    <w:rsid w:val="00800EB1"/>
    <w:rsid w:val="00886822"/>
    <w:rsid w:val="008D17D8"/>
    <w:rsid w:val="009039D6"/>
    <w:rsid w:val="00945C65"/>
    <w:rsid w:val="009D0835"/>
    <w:rsid w:val="00A12415"/>
    <w:rsid w:val="00A23A29"/>
    <w:rsid w:val="00A333B8"/>
    <w:rsid w:val="00A54A76"/>
    <w:rsid w:val="00A8630C"/>
    <w:rsid w:val="00AB08E0"/>
    <w:rsid w:val="00AB14DB"/>
    <w:rsid w:val="00AC3016"/>
    <w:rsid w:val="00AD345A"/>
    <w:rsid w:val="00AE7524"/>
    <w:rsid w:val="00B0562C"/>
    <w:rsid w:val="00B35798"/>
    <w:rsid w:val="00BA6A12"/>
    <w:rsid w:val="00C01A65"/>
    <w:rsid w:val="00C53904"/>
    <w:rsid w:val="00CA0235"/>
    <w:rsid w:val="00CA7F73"/>
    <w:rsid w:val="00D2046E"/>
    <w:rsid w:val="00D23A3B"/>
    <w:rsid w:val="00D7695F"/>
    <w:rsid w:val="00D83161"/>
    <w:rsid w:val="00D91DE9"/>
    <w:rsid w:val="00E04ECA"/>
    <w:rsid w:val="00E12372"/>
    <w:rsid w:val="00E20C6F"/>
    <w:rsid w:val="00E55342"/>
    <w:rsid w:val="00E556DE"/>
    <w:rsid w:val="00ED3C2C"/>
    <w:rsid w:val="00EF40BD"/>
    <w:rsid w:val="00F265C3"/>
    <w:rsid w:val="00F56513"/>
    <w:rsid w:val="00F97377"/>
    <w:rsid w:val="00FB217F"/>
    <w:rsid w:val="00FB2698"/>
    <w:rsid w:val="00FB3F86"/>
    <w:rsid w:val="00FC6AC2"/>
    <w:rsid w:val="00FE0272"/>
    <w:rsid w:val="00FF58C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39D6"/>
    <w:rPr>
      <w:color w:val="808080"/>
    </w:rPr>
  </w:style>
  <w:style w:type="paragraph" w:customStyle="1" w:styleId="4F2A10541D5B4783A11F0109B9AC55D1">
    <w:name w:val="4F2A10541D5B4783A11F0109B9AC55D1"/>
    <w:rsid w:val="002B04C6"/>
  </w:style>
  <w:style w:type="paragraph" w:customStyle="1" w:styleId="0865EB39F6FE4D71AF3E65A60811D6AD">
    <w:name w:val="0865EB39F6FE4D71AF3E65A60811D6AD"/>
    <w:rsid w:val="002B04C6"/>
  </w:style>
  <w:style w:type="paragraph" w:customStyle="1" w:styleId="9416C82B005B468FB2AA695C8D5A2DC3">
    <w:name w:val="9416C82B005B468FB2AA695C8D5A2DC3"/>
    <w:rsid w:val="009039D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2.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4.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12144</Words>
  <Characters>6923</Characters>
  <Application>Microsoft Office Word</Application>
  <DocSecurity>0</DocSecurity>
  <Lines>57</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Ilze Grava</cp:lastModifiedBy>
  <cp:revision>3</cp:revision>
  <dcterms:created xsi:type="dcterms:W3CDTF">2024-09-25T14:33:00Z</dcterms:created>
  <dcterms:modified xsi:type="dcterms:W3CDTF">2024-09-26T05:56:00Z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