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9D7F" w14:textId="1C04C349" w:rsidR="004D7D20" w:rsidRPr="007933F7" w:rsidRDefault="004D7D20" w:rsidP="00542010">
      <w:pPr>
        <w:jc w:val="center"/>
        <w:rPr>
          <w:rFonts w:ascii="Times New Roman" w:hAnsi="Times New Roman" w:cs="Times New Roman"/>
          <w:b/>
          <w:bCs/>
          <w:sz w:val="24"/>
          <w:szCs w:val="24"/>
        </w:rPr>
      </w:pPr>
      <w:r w:rsidRPr="007933F7">
        <w:rPr>
          <w:rFonts w:ascii="Times New Roman" w:hAnsi="Times New Roman" w:cs="Times New Roman"/>
          <w:b/>
          <w:bCs/>
          <w:sz w:val="24"/>
          <w:szCs w:val="24"/>
        </w:rPr>
        <w:t xml:space="preserve">Latvijas </w:t>
      </w:r>
      <w:r w:rsidRPr="0024470D">
        <w:rPr>
          <w:rFonts w:ascii="Times New Roman" w:hAnsi="Times New Roman" w:cs="Times New Roman"/>
          <w:b/>
          <w:bCs/>
          <w:sz w:val="24"/>
          <w:szCs w:val="24"/>
        </w:rPr>
        <w:t>Bankas noteikumu projekt</w:t>
      </w:r>
      <w:r w:rsidR="00595003" w:rsidRPr="0024470D">
        <w:rPr>
          <w:rFonts w:ascii="Times New Roman" w:hAnsi="Times New Roman" w:cs="Times New Roman"/>
          <w:b/>
          <w:bCs/>
          <w:sz w:val="24"/>
          <w:szCs w:val="24"/>
        </w:rPr>
        <w:t>a</w:t>
      </w:r>
      <w:r w:rsidRPr="0024470D">
        <w:rPr>
          <w:rFonts w:ascii="Times New Roman" w:hAnsi="Times New Roman" w:cs="Times New Roman"/>
          <w:b/>
          <w:bCs/>
          <w:sz w:val="24"/>
          <w:szCs w:val="24"/>
        </w:rPr>
        <w:t xml:space="preserve"> "</w:t>
      </w:r>
      <w:r w:rsidR="00C011BC" w:rsidRPr="00C011BC">
        <w:rPr>
          <w:rFonts w:ascii="Times New Roman" w:hAnsi="Times New Roman" w:cs="Times New Roman"/>
          <w:b/>
          <w:bCs/>
          <w:sz w:val="24"/>
          <w:szCs w:val="24"/>
        </w:rPr>
        <w:t>Ar paralēlās banku sistēmas vienībām veikto riska darījumu koncentrācijas riska pārvaldības noteikumi</w:t>
      </w:r>
      <w:r w:rsidRPr="007933F7">
        <w:rPr>
          <w:rFonts w:ascii="Times New Roman" w:hAnsi="Times New Roman" w:cs="Times New Roman"/>
          <w:b/>
          <w:bCs/>
          <w:sz w:val="24"/>
          <w:szCs w:val="24"/>
        </w:rPr>
        <w:t>"</w:t>
      </w:r>
      <w:r w:rsidR="00595003" w:rsidRPr="007933F7">
        <w:rPr>
          <w:rFonts w:ascii="Times New Roman" w:hAnsi="Times New Roman" w:cs="Times New Roman"/>
          <w:b/>
          <w:bCs/>
          <w:sz w:val="24"/>
          <w:szCs w:val="24"/>
        </w:rPr>
        <w:t xml:space="preserve"> anotācija</w:t>
      </w:r>
    </w:p>
    <w:tbl>
      <w:tblPr>
        <w:tblStyle w:val="TableGrid"/>
        <w:tblW w:w="8359" w:type="dxa"/>
        <w:tblLook w:val="04A0" w:firstRow="1" w:lastRow="0" w:firstColumn="1" w:lastColumn="0" w:noHBand="0" w:noVBand="1"/>
      </w:tblPr>
      <w:tblGrid>
        <w:gridCol w:w="1980"/>
        <w:gridCol w:w="6379"/>
      </w:tblGrid>
      <w:tr w:rsidR="00E02C21" w:rsidRPr="00E02C21" w14:paraId="2AC98F6A" w14:textId="77777777" w:rsidTr="009B620B">
        <w:tc>
          <w:tcPr>
            <w:tcW w:w="1980" w:type="dxa"/>
          </w:tcPr>
          <w:p w14:paraId="68548ECA" w14:textId="5D13C2FE" w:rsidR="004D7D20" w:rsidRPr="00A202C9" w:rsidRDefault="004D7D20"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Nosaukums</w:t>
            </w:r>
          </w:p>
        </w:tc>
        <w:tc>
          <w:tcPr>
            <w:tcW w:w="6379" w:type="dxa"/>
          </w:tcPr>
          <w:p w14:paraId="0EF6BD51" w14:textId="6BEB2146" w:rsidR="004D7D20" w:rsidRPr="00626732" w:rsidRDefault="00C011BC" w:rsidP="00CB2ED4">
            <w:pPr>
              <w:jc w:val="both"/>
              <w:rPr>
                <w:rFonts w:ascii="Times New Roman" w:hAnsi="Times New Roman" w:cs="Times New Roman"/>
                <w:sz w:val="24"/>
                <w:szCs w:val="24"/>
              </w:rPr>
            </w:pPr>
            <w:r w:rsidRPr="00C011BC">
              <w:rPr>
                <w:rFonts w:ascii="Times New Roman" w:hAnsi="Times New Roman" w:cs="Times New Roman"/>
                <w:sz w:val="24"/>
                <w:szCs w:val="24"/>
              </w:rPr>
              <w:t>Ar paralēlās banku sistēmas vienībām veikto riska darījumu koncentrācijas riska pārvaldības noteikumi</w:t>
            </w:r>
          </w:p>
        </w:tc>
      </w:tr>
      <w:tr w:rsidR="00A61684" w:rsidRPr="00A61684" w14:paraId="02230D17" w14:textId="77777777" w:rsidTr="009B620B">
        <w:tc>
          <w:tcPr>
            <w:tcW w:w="1980" w:type="dxa"/>
          </w:tcPr>
          <w:p w14:paraId="118F97D3" w14:textId="47F841DE" w:rsidR="004D7D20" w:rsidRPr="00A202C9" w:rsidRDefault="004D7D20"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Dokumenta veids</w:t>
            </w:r>
          </w:p>
        </w:tc>
        <w:tc>
          <w:tcPr>
            <w:tcW w:w="6379" w:type="dxa"/>
          </w:tcPr>
          <w:p w14:paraId="4CC0239D" w14:textId="710EA1F9" w:rsidR="004D7D20" w:rsidRPr="00E02C21" w:rsidRDefault="00952874" w:rsidP="00CB2ED4">
            <w:pPr>
              <w:jc w:val="both"/>
              <w:rPr>
                <w:rFonts w:ascii="Times New Roman" w:hAnsi="Times New Roman" w:cs="Times New Roman"/>
                <w:sz w:val="24"/>
                <w:szCs w:val="24"/>
              </w:rPr>
            </w:pPr>
            <w:r w:rsidRPr="00952874">
              <w:rPr>
                <w:rFonts w:ascii="Times New Roman" w:hAnsi="Times New Roman" w:cs="Times New Roman"/>
                <w:sz w:val="24"/>
                <w:szCs w:val="24"/>
              </w:rPr>
              <w:t>Latvijas Bankas noteikumi</w:t>
            </w:r>
          </w:p>
        </w:tc>
      </w:tr>
      <w:tr w:rsidR="00A61684" w:rsidRPr="00A61684" w14:paraId="1E36ACC8" w14:textId="77777777" w:rsidTr="009B620B">
        <w:tc>
          <w:tcPr>
            <w:tcW w:w="1980" w:type="dxa"/>
          </w:tcPr>
          <w:p w14:paraId="15B9D0AC" w14:textId="168434E5" w:rsidR="004D7D20" w:rsidRPr="00A202C9" w:rsidRDefault="004D7D20"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Izdošanas pamatojums</w:t>
            </w:r>
          </w:p>
        </w:tc>
        <w:tc>
          <w:tcPr>
            <w:tcW w:w="6379" w:type="dxa"/>
          </w:tcPr>
          <w:p w14:paraId="14871B80" w14:textId="7F4BCDA0" w:rsidR="00AF3B0F" w:rsidRPr="00626732" w:rsidRDefault="0036658F" w:rsidP="00626732">
            <w:pPr>
              <w:jc w:val="both"/>
              <w:rPr>
                <w:rFonts w:ascii="Times New Roman" w:hAnsi="Times New Roman" w:cs="Times New Roman"/>
                <w:sz w:val="24"/>
                <w:szCs w:val="24"/>
              </w:rPr>
            </w:pPr>
            <w:r w:rsidRPr="00626732">
              <w:rPr>
                <w:rFonts w:ascii="Times New Roman" w:hAnsi="Times New Roman" w:cs="Times New Roman"/>
                <w:sz w:val="24"/>
                <w:szCs w:val="24"/>
              </w:rPr>
              <w:t>Kredītiestāžu</w:t>
            </w:r>
            <w:r w:rsidR="003B5C31" w:rsidRPr="00626732">
              <w:rPr>
                <w:rFonts w:ascii="Times New Roman" w:hAnsi="Times New Roman" w:cs="Times New Roman"/>
                <w:sz w:val="24"/>
                <w:szCs w:val="24"/>
              </w:rPr>
              <w:t xml:space="preserve"> likuma</w:t>
            </w:r>
            <w:r w:rsidR="008B7C5A" w:rsidRPr="00626732">
              <w:rPr>
                <w:rFonts w:ascii="Times New Roman" w:hAnsi="Times New Roman" w:cs="Times New Roman"/>
                <w:sz w:val="24"/>
                <w:szCs w:val="24"/>
              </w:rPr>
              <w:t xml:space="preserve"> </w:t>
            </w:r>
            <w:r w:rsidR="00251781">
              <w:rPr>
                <w:rFonts w:ascii="Times New Roman" w:hAnsi="Times New Roman" w:cs="Times New Roman"/>
                <w:sz w:val="24"/>
                <w:szCs w:val="24"/>
              </w:rPr>
              <w:t>50</w:t>
            </w:r>
            <w:r w:rsidR="00626732" w:rsidRPr="00542010">
              <w:rPr>
                <w:rFonts w:ascii="Times New Roman" w:hAnsi="Times New Roman" w:cs="Times New Roman"/>
                <w:sz w:val="24"/>
                <w:szCs w:val="24"/>
              </w:rPr>
              <w:t>.</w:t>
            </w:r>
            <w:r w:rsidR="00626732" w:rsidRPr="00542010">
              <w:rPr>
                <w:rFonts w:ascii="Times New Roman" w:hAnsi="Times New Roman" w:cs="Times New Roman"/>
                <w:sz w:val="24"/>
                <w:szCs w:val="24"/>
                <w:vertAlign w:val="superscript"/>
              </w:rPr>
              <w:t> </w:t>
            </w:r>
            <w:r w:rsidR="00626732" w:rsidRPr="00542010">
              <w:rPr>
                <w:rFonts w:ascii="Times New Roman" w:hAnsi="Times New Roman" w:cs="Times New Roman"/>
                <w:sz w:val="24"/>
                <w:szCs w:val="24"/>
              </w:rPr>
              <w:t xml:space="preserve">panta </w:t>
            </w:r>
            <w:r w:rsidR="00251781">
              <w:rPr>
                <w:rFonts w:ascii="Times New Roman" w:hAnsi="Times New Roman" w:cs="Times New Roman"/>
                <w:sz w:val="24"/>
                <w:szCs w:val="24"/>
              </w:rPr>
              <w:t>otrā</w:t>
            </w:r>
            <w:r w:rsidR="00251781" w:rsidRPr="00542010">
              <w:rPr>
                <w:rFonts w:ascii="Times New Roman" w:hAnsi="Times New Roman" w:cs="Times New Roman"/>
                <w:sz w:val="24"/>
                <w:szCs w:val="24"/>
              </w:rPr>
              <w:t xml:space="preserve"> </w:t>
            </w:r>
            <w:r w:rsidR="00626732" w:rsidRPr="00542010">
              <w:rPr>
                <w:rFonts w:ascii="Times New Roman" w:hAnsi="Times New Roman" w:cs="Times New Roman"/>
                <w:sz w:val="24"/>
                <w:szCs w:val="24"/>
              </w:rPr>
              <w:t>daļa</w:t>
            </w:r>
          </w:p>
        </w:tc>
      </w:tr>
      <w:tr w:rsidR="00A61684" w:rsidRPr="00A61684" w14:paraId="46DB522F" w14:textId="77777777" w:rsidTr="009B620B">
        <w:tc>
          <w:tcPr>
            <w:tcW w:w="1980" w:type="dxa"/>
          </w:tcPr>
          <w:p w14:paraId="2B8F0582" w14:textId="51CB8878" w:rsidR="008D0C81" w:rsidRPr="00A202C9" w:rsidRDefault="009E6A95" w:rsidP="00D53B05">
            <w:pPr>
              <w:rPr>
                <w:rFonts w:ascii="Times New Roman" w:hAnsi="Times New Roman" w:cs="Times New Roman"/>
                <w:b/>
                <w:bCs/>
                <w:sz w:val="24"/>
                <w:szCs w:val="24"/>
              </w:rPr>
            </w:pPr>
            <w:r w:rsidRPr="00A202C9">
              <w:rPr>
                <w:rFonts w:ascii="Times New Roman" w:hAnsi="Times New Roman" w:cs="Times New Roman"/>
                <w:b/>
                <w:bCs/>
                <w:sz w:val="24"/>
                <w:szCs w:val="24"/>
              </w:rPr>
              <w:t>Mērķis un būtība</w:t>
            </w:r>
          </w:p>
        </w:tc>
        <w:tc>
          <w:tcPr>
            <w:tcW w:w="6379" w:type="dxa"/>
          </w:tcPr>
          <w:p w14:paraId="62E6F0CD" w14:textId="6CA3E69C" w:rsidR="00741AE8" w:rsidRPr="008B4C29" w:rsidRDefault="00741AE8" w:rsidP="0068380B">
            <w:pPr>
              <w:jc w:val="both"/>
              <w:rPr>
                <w:rFonts w:ascii="Times New Roman" w:hAnsi="Times New Roman" w:cs="Times New Roman"/>
                <w:sz w:val="24"/>
                <w:szCs w:val="24"/>
              </w:rPr>
            </w:pPr>
            <w:bookmarkStart w:id="0" w:name="_Hlk131432007"/>
            <w:r w:rsidRPr="008B4C29">
              <w:rPr>
                <w:rFonts w:ascii="Times New Roman" w:hAnsi="Times New Roman" w:cs="Times New Roman"/>
                <w:sz w:val="24"/>
                <w:szCs w:val="24"/>
              </w:rPr>
              <w:t>Saskaņā ar Latvijas Bankas likuma pārejas noteikumu 3. punktu Latvijas Bankas un Finanšu un kapitāla tirgus komisijas līdz Latvijas Bankas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50B0E155" w14:textId="77777777" w:rsidR="00741AE8" w:rsidRPr="008B4C29" w:rsidRDefault="00741AE8" w:rsidP="0068380B">
            <w:pPr>
              <w:jc w:val="both"/>
              <w:rPr>
                <w:rFonts w:ascii="Times New Roman" w:hAnsi="Times New Roman" w:cs="Times New Roman"/>
                <w:sz w:val="24"/>
                <w:szCs w:val="24"/>
              </w:rPr>
            </w:pPr>
          </w:p>
          <w:p w14:paraId="6B997811" w14:textId="68FC1188" w:rsidR="00741AE8" w:rsidRPr="008B4C29" w:rsidRDefault="00741AE8" w:rsidP="0068380B">
            <w:pPr>
              <w:jc w:val="both"/>
              <w:rPr>
                <w:rFonts w:ascii="Times New Roman" w:hAnsi="Times New Roman" w:cs="Times New Roman"/>
                <w:sz w:val="24"/>
                <w:szCs w:val="24"/>
              </w:rPr>
            </w:pPr>
            <w:r w:rsidRPr="008B4C29">
              <w:rPr>
                <w:rFonts w:ascii="Times New Roman" w:hAnsi="Times New Roman" w:cs="Times New Roman"/>
                <w:sz w:val="24"/>
                <w:szCs w:val="24"/>
              </w:rPr>
              <w:t xml:space="preserve">Ņemot vērā minēto, Latvijas Banka ir izstrādājusi noteikumu </w:t>
            </w:r>
            <w:r w:rsidRPr="00110603">
              <w:rPr>
                <w:rFonts w:ascii="Times New Roman" w:hAnsi="Times New Roman" w:cs="Times New Roman"/>
                <w:sz w:val="24"/>
                <w:szCs w:val="24"/>
              </w:rPr>
              <w:t>projektu "</w:t>
            </w:r>
            <w:r w:rsidR="00C011BC" w:rsidRPr="00C011BC">
              <w:rPr>
                <w:rFonts w:ascii="Times New Roman" w:hAnsi="Times New Roman" w:cs="Times New Roman"/>
                <w:sz w:val="24"/>
                <w:szCs w:val="24"/>
              </w:rPr>
              <w:t>Ar paralēlās banku sistēmas vienībām veikto riska darījumu koncentrācijas riska pārvaldības noteikumi</w:t>
            </w:r>
            <w:r w:rsidRPr="008B4C29">
              <w:rPr>
                <w:rFonts w:ascii="Times New Roman" w:hAnsi="Times New Roman" w:cs="Times New Roman"/>
                <w:sz w:val="24"/>
                <w:szCs w:val="24"/>
              </w:rPr>
              <w:t>" (turpmāk</w:t>
            </w:r>
            <w:r w:rsidR="005A2587" w:rsidRPr="008B4C29">
              <w:rPr>
                <w:rFonts w:ascii="Times New Roman" w:hAnsi="Times New Roman" w:cs="Times New Roman"/>
                <w:sz w:val="24"/>
                <w:szCs w:val="24"/>
              </w:rPr>
              <w:t> </w:t>
            </w:r>
            <w:r w:rsidRPr="008B4C29">
              <w:rPr>
                <w:rFonts w:ascii="Times New Roman" w:hAnsi="Times New Roman" w:cs="Times New Roman"/>
                <w:sz w:val="24"/>
                <w:szCs w:val="24"/>
              </w:rPr>
              <w:t xml:space="preserve">– </w:t>
            </w:r>
            <w:r w:rsidR="00FB56D4">
              <w:rPr>
                <w:rFonts w:ascii="Times New Roman" w:hAnsi="Times New Roman" w:cs="Times New Roman"/>
                <w:sz w:val="24"/>
                <w:szCs w:val="24"/>
              </w:rPr>
              <w:t>n</w:t>
            </w:r>
            <w:r w:rsidR="009A0657" w:rsidRPr="008B4C29">
              <w:rPr>
                <w:rFonts w:ascii="Times New Roman" w:hAnsi="Times New Roman" w:cs="Times New Roman"/>
                <w:sz w:val="24"/>
                <w:szCs w:val="24"/>
              </w:rPr>
              <w:t xml:space="preserve">oteikumu </w:t>
            </w:r>
            <w:r w:rsidRPr="008B4C29">
              <w:rPr>
                <w:rFonts w:ascii="Times New Roman" w:hAnsi="Times New Roman" w:cs="Times New Roman"/>
                <w:sz w:val="24"/>
                <w:szCs w:val="24"/>
              </w:rPr>
              <w:t xml:space="preserve">projekts), kas aizstās </w:t>
            </w:r>
            <w:r w:rsidR="005A2587" w:rsidRPr="008B4C29">
              <w:rPr>
                <w:rFonts w:ascii="Times New Roman" w:hAnsi="Times New Roman" w:cs="Times New Roman"/>
                <w:sz w:val="24"/>
                <w:szCs w:val="24"/>
              </w:rPr>
              <w:t xml:space="preserve">Finanšu un kapitāla tirgus komisijas </w:t>
            </w:r>
            <w:r w:rsidR="00542010" w:rsidRPr="00542010">
              <w:rPr>
                <w:rFonts w:ascii="Times New Roman" w:hAnsi="Times New Roman" w:cs="Times New Roman"/>
                <w:sz w:val="24"/>
                <w:szCs w:val="24"/>
              </w:rPr>
              <w:t>2020.</w:t>
            </w:r>
            <w:r w:rsidR="00937A4F">
              <w:rPr>
                <w:rFonts w:ascii="Times New Roman" w:hAnsi="Times New Roman" w:cs="Times New Roman"/>
                <w:sz w:val="24"/>
                <w:szCs w:val="24"/>
              </w:rPr>
              <w:t> </w:t>
            </w:r>
            <w:r w:rsidR="00542010" w:rsidRPr="00542010">
              <w:rPr>
                <w:rFonts w:ascii="Times New Roman" w:hAnsi="Times New Roman" w:cs="Times New Roman"/>
                <w:sz w:val="24"/>
                <w:szCs w:val="24"/>
              </w:rPr>
              <w:t>gada 27.</w:t>
            </w:r>
            <w:r w:rsidR="00937A4F">
              <w:rPr>
                <w:rFonts w:ascii="Times New Roman" w:hAnsi="Times New Roman" w:cs="Times New Roman"/>
                <w:sz w:val="24"/>
                <w:szCs w:val="24"/>
              </w:rPr>
              <w:t> </w:t>
            </w:r>
            <w:r w:rsidR="00542010" w:rsidRPr="00542010">
              <w:rPr>
                <w:rFonts w:ascii="Times New Roman" w:hAnsi="Times New Roman" w:cs="Times New Roman"/>
                <w:sz w:val="24"/>
                <w:szCs w:val="24"/>
              </w:rPr>
              <w:t>jūlija normatīvos noteikumus Nr.</w:t>
            </w:r>
            <w:r w:rsidR="00937A4F">
              <w:rPr>
                <w:rFonts w:ascii="Times New Roman" w:hAnsi="Times New Roman" w:cs="Times New Roman"/>
                <w:sz w:val="24"/>
                <w:szCs w:val="24"/>
              </w:rPr>
              <w:t> </w:t>
            </w:r>
            <w:r w:rsidR="00542010" w:rsidRPr="00542010">
              <w:rPr>
                <w:rFonts w:ascii="Times New Roman" w:hAnsi="Times New Roman" w:cs="Times New Roman"/>
                <w:sz w:val="24"/>
                <w:szCs w:val="24"/>
              </w:rPr>
              <w:t xml:space="preserve">109 "Ierobežojumu riska darījumiem ar paralēlās kredītiestāžu sistēmas iestādēm noteikšanas normatīvie noteikumi" </w:t>
            </w:r>
            <w:r w:rsidR="009A0657">
              <w:rPr>
                <w:rFonts w:ascii="Times New Roman" w:hAnsi="Times New Roman" w:cs="Times New Roman"/>
                <w:sz w:val="24"/>
                <w:szCs w:val="24"/>
              </w:rPr>
              <w:t>(turpmāk – Noteikumi Nr.</w:t>
            </w:r>
            <w:r w:rsidR="009E425D">
              <w:rPr>
                <w:rFonts w:ascii="Times New Roman" w:hAnsi="Times New Roman" w:cs="Times New Roman"/>
                <w:sz w:val="24"/>
                <w:szCs w:val="24"/>
              </w:rPr>
              <w:t> </w:t>
            </w:r>
            <w:r w:rsidR="00542010">
              <w:rPr>
                <w:rFonts w:ascii="Times New Roman" w:hAnsi="Times New Roman" w:cs="Times New Roman"/>
                <w:sz w:val="24"/>
                <w:szCs w:val="24"/>
              </w:rPr>
              <w:t>109</w:t>
            </w:r>
            <w:r w:rsidR="009A0657">
              <w:rPr>
                <w:rFonts w:ascii="Times New Roman" w:hAnsi="Times New Roman" w:cs="Times New Roman"/>
                <w:sz w:val="24"/>
                <w:szCs w:val="24"/>
              </w:rPr>
              <w:t>)</w:t>
            </w:r>
            <w:r w:rsidRPr="008B4C29">
              <w:rPr>
                <w:rFonts w:ascii="Times New Roman" w:hAnsi="Times New Roman" w:cs="Times New Roman"/>
                <w:sz w:val="24"/>
                <w:szCs w:val="24"/>
              </w:rPr>
              <w:t>.</w:t>
            </w:r>
          </w:p>
          <w:p w14:paraId="6496EC68" w14:textId="77777777" w:rsidR="00741AE8" w:rsidRPr="008B4C29" w:rsidRDefault="00741AE8" w:rsidP="0068380B">
            <w:pPr>
              <w:jc w:val="both"/>
              <w:rPr>
                <w:rFonts w:ascii="Times New Roman" w:hAnsi="Times New Roman" w:cs="Times New Roman"/>
                <w:sz w:val="24"/>
                <w:szCs w:val="24"/>
              </w:rPr>
            </w:pPr>
          </w:p>
          <w:p w14:paraId="10187AC5" w14:textId="582DCDCE" w:rsidR="009A0657" w:rsidRPr="008B4C29" w:rsidRDefault="004D1EB8" w:rsidP="0068380B">
            <w:pPr>
              <w:jc w:val="both"/>
              <w:rPr>
                <w:rFonts w:ascii="Times New Roman" w:hAnsi="Times New Roman" w:cs="Times New Roman"/>
                <w:sz w:val="24"/>
                <w:szCs w:val="24"/>
              </w:rPr>
            </w:pPr>
            <w:r w:rsidRPr="00542010">
              <w:rPr>
                <w:rFonts w:ascii="Times New Roman" w:hAnsi="Times New Roman" w:cs="Times New Roman"/>
                <w:sz w:val="24"/>
                <w:szCs w:val="24"/>
              </w:rPr>
              <w:t>Kredītiestāžu</w:t>
            </w:r>
            <w:r w:rsidR="008D0C81" w:rsidRPr="00542010">
              <w:rPr>
                <w:rFonts w:ascii="Times New Roman" w:hAnsi="Times New Roman" w:cs="Times New Roman"/>
                <w:sz w:val="24"/>
                <w:szCs w:val="24"/>
              </w:rPr>
              <w:t xml:space="preserve"> likuma </w:t>
            </w:r>
            <w:r w:rsidR="00251781">
              <w:rPr>
                <w:rFonts w:ascii="Times New Roman" w:hAnsi="Times New Roman" w:cs="Times New Roman"/>
                <w:sz w:val="24"/>
                <w:szCs w:val="24"/>
              </w:rPr>
              <w:t>50</w:t>
            </w:r>
            <w:r w:rsidR="008D0C81" w:rsidRPr="00542010">
              <w:rPr>
                <w:rFonts w:ascii="Times New Roman" w:hAnsi="Times New Roman" w:cs="Times New Roman"/>
                <w:sz w:val="24"/>
                <w:szCs w:val="24"/>
              </w:rPr>
              <w:t>.</w:t>
            </w:r>
            <w:r w:rsidR="003442A2" w:rsidRPr="00542010">
              <w:rPr>
                <w:rFonts w:ascii="Times New Roman" w:hAnsi="Times New Roman" w:cs="Times New Roman"/>
                <w:sz w:val="24"/>
                <w:szCs w:val="24"/>
              </w:rPr>
              <w:t> </w:t>
            </w:r>
            <w:r w:rsidR="008D0C81" w:rsidRPr="00542010">
              <w:rPr>
                <w:rFonts w:ascii="Times New Roman" w:hAnsi="Times New Roman" w:cs="Times New Roman"/>
                <w:sz w:val="24"/>
                <w:szCs w:val="24"/>
              </w:rPr>
              <w:t xml:space="preserve">panta </w:t>
            </w:r>
            <w:r w:rsidR="00251781">
              <w:rPr>
                <w:rFonts w:ascii="Times New Roman" w:hAnsi="Times New Roman" w:cs="Times New Roman"/>
                <w:sz w:val="24"/>
                <w:szCs w:val="24"/>
              </w:rPr>
              <w:t>otrā</w:t>
            </w:r>
            <w:r w:rsidR="00251781" w:rsidRPr="00542010">
              <w:rPr>
                <w:rFonts w:ascii="Times New Roman" w:hAnsi="Times New Roman" w:cs="Times New Roman"/>
                <w:sz w:val="24"/>
                <w:szCs w:val="24"/>
              </w:rPr>
              <w:t xml:space="preserve"> </w:t>
            </w:r>
            <w:r w:rsidR="008D0C81" w:rsidRPr="00542010">
              <w:rPr>
                <w:rFonts w:ascii="Times New Roman" w:hAnsi="Times New Roman" w:cs="Times New Roman"/>
                <w:sz w:val="24"/>
                <w:szCs w:val="24"/>
              </w:rPr>
              <w:t xml:space="preserve">daļa paredz </w:t>
            </w:r>
            <w:r w:rsidR="00251781">
              <w:rPr>
                <w:rFonts w:ascii="Times New Roman" w:hAnsi="Times New Roman" w:cs="Times New Roman"/>
                <w:sz w:val="24"/>
                <w:szCs w:val="24"/>
              </w:rPr>
              <w:t>tiesības</w:t>
            </w:r>
            <w:r w:rsidR="00251781" w:rsidRPr="00542010">
              <w:rPr>
                <w:rFonts w:ascii="Times New Roman" w:hAnsi="Times New Roman" w:cs="Times New Roman"/>
                <w:sz w:val="24"/>
                <w:szCs w:val="24"/>
              </w:rPr>
              <w:t xml:space="preserve"> </w:t>
            </w:r>
            <w:r w:rsidR="008D0C81" w:rsidRPr="00542010">
              <w:rPr>
                <w:rFonts w:ascii="Times New Roman" w:hAnsi="Times New Roman" w:cs="Times New Roman"/>
                <w:sz w:val="24"/>
                <w:szCs w:val="24"/>
              </w:rPr>
              <w:t xml:space="preserve">Latvijas Bankai noteikt </w:t>
            </w:r>
            <w:r w:rsidR="00E4484D" w:rsidRPr="00542010">
              <w:rPr>
                <w:rFonts w:ascii="Times New Roman" w:hAnsi="Times New Roman" w:cs="Times New Roman"/>
                <w:sz w:val="24"/>
                <w:szCs w:val="24"/>
              </w:rPr>
              <w:t>prasības</w:t>
            </w:r>
            <w:r w:rsidR="00251781">
              <w:rPr>
                <w:rFonts w:ascii="Times New Roman" w:hAnsi="Times New Roman" w:cs="Times New Roman"/>
                <w:sz w:val="24"/>
                <w:szCs w:val="24"/>
              </w:rPr>
              <w:t>, kas izriet no Eiropas Banku iestādes pieņemtajām pamatnostādnēm</w:t>
            </w:r>
            <w:r w:rsidR="002F2A40" w:rsidRPr="00542010">
              <w:rPr>
                <w:rFonts w:ascii="Times New Roman" w:hAnsi="Times New Roman" w:cs="Times New Roman"/>
                <w:sz w:val="24"/>
                <w:szCs w:val="24"/>
              </w:rPr>
              <w:t>, t.</w:t>
            </w:r>
            <w:r w:rsidR="007933F7">
              <w:rPr>
                <w:rFonts w:ascii="Times New Roman" w:hAnsi="Times New Roman" w:cs="Times New Roman"/>
                <w:sz w:val="24"/>
                <w:szCs w:val="24"/>
              </w:rPr>
              <w:t> </w:t>
            </w:r>
            <w:r w:rsidR="002F2A40" w:rsidRPr="00542010">
              <w:rPr>
                <w:rFonts w:ascii="Times New Roman" w:hAnsi="Times New Roman" w:cs="Times New Roman"/>
                <w:sz w:val="24"/>
                <w:szCs w:val="24"/>
              </w:rPr>
              <w:t xml:space="preserve">i., </w:t>
            </w:r>
            <w:r w:rsidR="008061DF" w:rsidRPr="00542010">
              <w:rPr>
                <w:rFonts w:ascii="Times New Roman" w:hAnsi="Times New Roman" w:cs="Times New Roman"/>
                <w:sz w:val="24"/>
                <w:szCs w:val="24"/>
              </w:rPr>
              <w:t>Latvijas Banka</w:t>
            </w:r>
            <w:r w:rsidR="005E3527">
              <w:rPr>
                <w:rFonts w:ascii="Times New Roman" w:hAnsi="Times New Roman" w:cs="Times New Roman"/>
                <w:sz w:val="24"/>
                <w:szCs w:val="24"/>
              </w:rPr>
              <w:t xml:space="preserve">, pamatojoties uz </w:t>
            </w:r>
            <w:r w:rsidR="005E3527" w:rsidRPr="005E3527">
              <w:rPr>
                <w:rFonts w:ascii="Times New Roman" w:hAnsi="Times New Roman" w:cs="Times New Roman"/>
                <w:sz w:val="24"/>
                <w:szCs w:val="24"/>
              </w:rPr>
              <w:t>Eiropas Banku iestādes 2016.</w:t>
            </w:r>
            <w:r w:rsidR="005E3527">
              <w:rPr>
                <w:rFonts w:ascii="Times New Roman" w:hAnsi="Times New Roman" w:cs="Times New Roman"/>
                <w:sz w:val="24"/>
                <w:szCs w:val="24"/>
              </w:rPr>
              <w:t> </w:t>
            </w:r>
            <w:r w:rsidR="005E3527" w:rsidRPr="005E3527">
              <w:rPr>
                <w:rFonts w:ascii="Times New Roman" w:hAnsi="Times New Roman" w:cs="Times New Roman"/>
                <w:sz w:val="24"/>
                <w:szCs w:val="24"/>
              </w:rPr>
              <w:t>gada 3.</w:t>
            </w:r>
            <w:r w:rsidR="005E3527">
              <w:rPr>
                <w:rFonts w:ascii="Times New Roman" w:hAnsi="Times New Roman" w:cs="Times New Roman"/>
                <w:sz w:val="24"/>
                <w:szCs w:val="24"/>
              </w:rPr>
              <w:t> </w:t>
            </w:r>
            <w:r w:rsidR="005E3527" w:rsidRPr="005E3527">
              <w:rPr>
                <w:rFonts w:ascii="Times New Roman" w:hAnsi="Times New Roman" w:cs="Times New Roman"/>
                <w:sz w:val="24"/>
                <w:szCs w:val="24"/>
              </w:rPr>
              <w:t>jūnija pamatnostādnēm EBA/GL/2015/20 "Pamatnostādnes par limitiem riska darījumiem ar "paralēlās banku sistēmas" struktūrvienībām, kuras veic banku darbības, nepakļaujoties regulējošām prasībām, saskaņā ar Regulas (ES) Nr.</w:t>
            </w:r>
            <w:r w:rsidR="005E3527">
              <w:rPr>
                <w:rFonts w:ascii="Times New Roman" w:hAnsi="Times New Roman" w:cs="Times New Roman"/>
                <w:sz w:val="24"/>
                <w:szCs w:val="24"/>
              </w:rPr>
              <w:t> </w:t>
            </w:r>
            <w:r w:rsidR="005E3527" w:rsidRPr="005E3527">
              <w:rPr>
                <w:rFonts w:ascii="Times New Roman" w:hAnsi="Times New Roman" w:cs="Times New Roman"/>
                <w:sz w:val="24"/>
                <w:szCs w:val="24"/>
              </w:rPr>
              <w:t>575/2013 395.</w:t>
            </w:r>
            <w:r w:rsidR="005E3527">
              <w:rPr>
                <w:rFonts w:ascii="Times New Roman" w:hAnsi="Times New Roman" w:cs="Times New Roman"/>
                <w:sz w:val="24"/>
                <w:szCs w:val="24"/>
              </w:rPr>
              <w:t> </w:t>
            </w:r>
            <w:r w:rsidR="005E3527" w:rsidRPr="005E3527">
              <w:rPr>
                <w:rFonts w:ascii="Times New Roman" w:hAnsi="Times New Roman" w:cs="Times New Roman"/>
                <w:sz w:val="24"/>
                <w:szCs w:val="24"/>
              </w:rPr>
              <w:t>panta 2.</w:t>
            </w:r>
            <w:r w:rsidR="005E3527">
              <w:rPr>
                <w:rFonts w:ascii="Times New Roman" w:hAnsi="Times New Roman" w:cs="Times New Roman"/>
                <w:sz w:val="24"/>
                <w:szCs w:val="24"/>
              </w:rPr>
              <w:t> </w:t>
            </w:r>
            <w:r w:rsidR="005E3527" w:rsidRPr="005E3527">
              <w:rPr>
                <w:rFonts w:ascii="Times New Roman" w:hAnsi="Times New Roman" w:cs="Times New Roman"/>
                <w:sz w:val="24"/>
                <w:szCs w:val="24"/>
              </w:rPr>
              <w:t>punktu"</w:t>
            </w:r>
            <w:r w:rsidR="005E3527">
              <w:rPr>
                <w:rFonts w:ascii="Times New Roman" w:hAnsi="Times New Roman" w:cs="Times New Roman"/>
                <w:sz w:val="24"/>
                <w:szCs w:val="24"/>
              </w:rPr>
              <w:t xml:space="preserve"> (turpmāk </w:t>
            </w:r>
            <w:r w:rsidR="005E3527" w:rsidRPr="005E3527">
              <w:rPr>
                <w:rFonts w:ascii="Times New Roman" w:hAnsi="Times New Roman" w:cs="Times New Roman"/>
                <w:sz w:val="24"/>
                <w:szCs w:val="24"/>
              </w:rPr>
              <w:t>–</w:t>
            </w:r>
            <w:r w:rsidR="005E3527">
              <w:rPr>
                <w:rFonts w:ascii="Times New Roman" w:hAnsi="Times New Roman" w:cs="Times New Roman"/>
                <w:sz w:val="24"/>
                <w:szCs w:val="24"/>
              </w:rPr>
              <w:t xml:space="preserve"> EBI Pamatnostādnes)</w:t>
            </w:r>
            <w:r w:rsidR="004322E3">
              <w:rPr>
                <w:rFonts w:ascii="Times New Roman" w:hAnsi="Times New Roman" w:cs="Times New Roman"/>
                <w:sz w:val="24"/>
                <w:szCs w:val="24"/>
              </w:rPr>
              <w:t>,</w:t>
            </w:r>
            <w:r w:rsidR="008061DF" w:rsidRPr="00542010">
              <w:rPr>
                <w:rFonts w:ascii="Times New Roman" w:hAnsi="Times New Roman" w:cs="Times New Roman"/>
                <w:sz w:val="24"/>
                <w:szCs w:val="24"/>
              </w:rPr>
              <w:t xml:space="preserve"> ir tiesīga noteikt </w:t>
            </w:r>
            <w:r w:rsidR="00024967" w:rsidRPr="00542010">
              <w:rPr>
                <w:rFonts w:ascii="Times New Roman" w:hAnsi="Times New Roman" w:cs="Times New Roman"/>
                <w:sz w:val="24"/>
                <w:szCs w:val="24"/>
              </w:rPr>
              <w:t xml:space="preserve">prasības </w:t>
            </w:r>
            <w:r w:rsidR="00542010" w:rsidRPr="00542010">
              <w:rPr>
                <w:rFonts w:ascii="Times New Roman" w:hAnsi="Times New Roman" w:cs="Times New Roman"/>
                <w:sz w:val="24"/>
                <w:szCs w:val="24"/>
              </w:rPr>
              <w:t xml:space="preserve">koncentrācijas riska, kas rodas no riska darījumiem ar paralēlās </w:t>
            </w:r>
            <w:r w:rsidR="00C91B92">
              <w:rPr>
                <w:rFonts w:ascii="Times New Roman" w:hAnsi="Times New Roman" w:cs="Times New Roman"/>
                <w:sz w:val="24"/>
                <w:szCs w:val="24"/>
              </w:rPr>
              <w:t>banku</w:t>
            </w:r>
            <w:r w:rsidR="00C91B92" w:rsidRPr="00542010">
              <w:rPr>
                <w:rFonts w:ascii="Times New Roman" w:hAnsi="Times New Roman" w:cs="Times New Roman"/>
                <w:sz w:val="24"/>
                <w:szCs w:val="24"/>
              </w:rPr>
              <w:t xml:space="preserve"> </w:t>
            </w:r>
            <w:r w:rsidR="00542010" w:rsidRPr="00542010">
              <w:rPr>
                <w:rFonts w:ascii="Times New Roman" w:hAnsi="Times New Roman" w:cs="Times New Roman"/>
                <w:sz w:val="24"/>
                <w:szCs w:val="24"/>
              </w:rPr>
              <w:t xml:space="preserve">sistēmas </w:t>
            </w:r>
            <w:r w:rsidR="00C91B92" w:rsidRPr="00C91B92">
              <w:rPr>
                <w:rFonts w:ascii="Times New Roman" w:hAnsi="Times New Roman" w:cs="Times New Roman"/>
                <w:sz w:val="24"/>
                <w:szCs w:val="24"/>
              </w:rPr>
              <w:t>vienībām</w:t>
            </w:r>
            <w:r w:rsidR="00542010" w:rsidRPr="00C91B92">
              <w:rPr>
                <w:rFonts w:ascii="Times New Roman" w:hAnsi="Times New Roman" w:cs="Times New Roman"/>
                <w:sz w:val="24"/>
                <w:szCs w:val="24"/>
              </w:rPr>
              <w:t xml:space="preserve">, </w:t>
            </w:r>
            <w:r w:rsidR="00251781" w:rsidRPr="00C91B92">
              <w:rPr>
                <w:rFonts w:ascii="Times New Roman" w:hAnsi="Times New Roman" w:cs="Times New Roman"/>
                <w:sz w:val="24"/>
                <w:szCs w:val="24"/>
              </w:rPr>
              <w:t>pārvaldībai</w:t>
            </w:r>
            <w:r w:rsidR="00542010" w:rsidRPr="00C91B92">
              <w:rPr>
                <w:rFonts w:ascii="Times New Roman" w:hAnsi="Times New Roman" w:cs="Times New Roman"/>
                <w:sz w:val="24"/>
                <w:szCs w:val="24"/>
              </w:rPr>
              <w:t xml:space="preserve">, tostarp kopējā ierobežojuma un individuālo ierobežojumu noteikšanai riska darījumiem ar paralēlās </w:t>
            </w:r>
            <w:r w:rsidR="00C91B92" w:rsidRPr="00C91B92">
              <w:rPr>
                <w:rFonts w:ascii="Times New Roman" w:hAnsi="Times New Roman" w:cs="Times New Roman"/>
                <w:sz w:val="24"/>
                <w:szCs w:val="24"/>
              </w:rPr>
              <w:t xml:space="preserve">banku </w:t>
            </w:r>
            <w:r w:rsidR="00542010" w:rsidRPr="00C91B92">
              <w:rPr>
                <w:rFonts w:ascii="Times New Roman" w:hAnsi="Times New Roman" w:cs="Times New Roman"/>
                <w:sz w:val="24"/>
                <w:szCs w:val="24"/>
              </w:rPr>
              <w:t xml:space="preserve">sistēmas </w:t>
            </w:r>
            <w:r w:rsidR="00C91B92" w:rsidRPr="00C91B92">
              <w:rPr>
                <w:rFonts w:ascii="Times New Roman" w:hAnsi="Times New Roman" w:cs="Times New Roman"/>
                <w:sz w:val="24"/>
                <w:szCs w:val="24"/>
              </w:rPr>
              <w:t>vienībām</w:t>
            </w:r>
            <w:r w:rsidR="00686149" w:rsidRPr="008061DF">
              <w:rPr>
                <w:rFonts w:ascii="Times New Roman" w:hAnsi="Times New Roman" w:cs="Times New Roman"/>
                <w:sz w:val="24"/>
                <w:szCs w:val="24"/>
              </w:rPr>
              <w:t>.</w:t>
            </w:r>
            <w:r w:rsidR="00C17300">
              <w:rPr>
                <w:rFonts w:ascii="Times New Roman" w:hAnsi="Times New Roman" w:cs="Times New Roman"/>
                <w:sz w:val="24"/>
                <w:szCs w:val="24"/>
              </w:rPr>
              <w:t xml:space="preserve"> </w:t>
            </w:r>
            <w:r w:rsidR="009A0657" w:rsidRPr="009A0657">
              <w:rPr>
                <w:rFonts w:ascii="Times New Roman" w:hAnsi="Times New Roman" w:cs="Times New Roman"/>
                <w:sz w:val="24"/>
                <w:szCs w:val="24"/>
              </w:rPr>
              <w:t xml:space="preserve">Līdz šim </w:t>
            </w:r>
            <w:r w:rsidR="00C17300">
              <w:rPr>
                <w:rFonts w:ascii="Times New Roman" w:hAnsi="Times New Roman" w:cs="Times New Roman"/>
                <w:sz w:val="24"/>
                <w:szCs w:val="24"/>
              </w:rPr>
              <w:t xml:space="preserve">minētās </w:t>
            </w:r>
            <w:r w:rsidR="009A0657" w:rsidRPr="009A0657">
              <w:rPr>
                <w:rFonts w:ascii="Times New Roman" w:hAnsi="Times New Roman" w:cs="Times New Roman"/>
                <w:sz w:val="24"/>
                <w:szCs w:val="24"/>
              </w:rPr>
              <w:t>prasīb</w:t>
            </w:r>
            <w:r w:rsidR="009A0657">
              <w:rPr>
                <w:rFonts w:ascii="Times New Roman" w:hAnsi="Times New Roman" w:cs="Times New Roman"/>
                <w:sz w:val="24"/>
                <w:szCs w:val="24"/>
              </w:rPr>
              <w:t>as</w:t>
            </w:r>
            <w:r w:rsidR="009A0657" w:rsidRPr="009A0657">
              <w:rPr>
                <w:rFonts w:ascii="Times New Roman" w:hAnsi="Times New Roman" w:cs="Times New Roman"/>
                <w:sz w:val="24"/>
                <w:szCs w:val="24"/>
              </w:rPr>
              <w:t xml:space="preserve"> regulēja Noteikumi Nr.</w:t>
            </w:r>
            <w:r w:rsidR="00161FB8">
              <w:rPr>
                <w:rFonts w:ascii="Times New Roman" w:hAnsi="Times New Roman" w:cs="Times New Roman"/>
                <w:sz w:val="24"/>
                <w:szCs w:val="24"/>
              </w:rPr>
              <w:t> </w:t>
            </w:r>
            <w:r w:rsidR="00542010" w:rsidRPr="009A0657">
              <w:rPr>
                <w:rFonts w:ascii="Times New Roman" w:hAnsi="Times New Roman" w:cs="Times New Roman"/>
                <w:sz w:val="24"/>
                <w:szCs w:val="24"/>
              </w:rPr>
              <w:t>1</w:t>
            </w:r>
            <w:r w:rsidR="00542010">
              <w:rPr>
                <w:rFonts w:ascii="Times New Roman" w:hAnsi="Times New Roman" w:cs="Times New Roman"/>
                <w:sz w:val="24"/>
                <w:szCs w:val="24"/>
              </w:rPr>
              <w:t>09</w:t>
            </w:r>
            <w:r w:rsidR="00542010" w:rsidRPr="00542010">
              <w:rPr>
                <w:rFonts w:ascii="Times New Roman" w:hAnsi="Times New Roman" w:cs="Times New Roman"/>
                <w:sz w:val="24"/>
                <w:szCs w:val="24"/>
              </w:rPr>
              <w:t>.</w:t>
            </w:r>
          </w:p>
          <w:p w14:paraId="46A2F642" w14:textId="77777777" w:rsidR="00326F2F" w:rsidRPr="008B4C29" w:rsidRDefault="00326F2F" w:rsidP="0068380B">
            <w:pPr>
              <w:jc w:val="both"/>
              <w:rPr>
                <w:rFonts w:ascii="Times New Roman" w:hAnsi="Times New Roman" w:cs="Times New Roman"/>
                <w:sz w:val="24"/>
                <w:szCs w:val="24"/>
              </w:rPr>
            </w:pPr>
          </w:p>
          <w:p w14:paraId="5943413F" w14:textId="3B7918EE" w:rsidR="00686149" w:rsidRPr="008B4C29" w:rsidRDefault="00914D5A" w:rsidP="0068380B">
            <w:pPr>
              <w:jc w:val="both"/>
              <w:rPr>
                <w:rFonts w:ascii="Times New Roman" w:hAnsi="Times New Roman" w:cs="Times New Roman"/>
                <w:sz w:val="24"/>
                <w:szCs w:val="24"/>
              </w:rPr>
            </w:pPr>
            <w:r w:rsidRPr="00024967">
              <w:rPr>
                <w:rFonts w:ascii="Times New Roman" w:hAnsi="Times New Roman" w:cs="Times New Roman"/>
                <w:sz w:val="24"/>
                <w:szCs w:val="24"/>
              </w:rPr>
              <w:t>N</w:t>
            </w:r>
            <w:r w:rsidR="008D0C81" w:rsidRPr="00024967">
              <w:rPr>
                <w:rFonts w:ascii="Times New Roman" w:hAnsi="Times New Roman" w:cs="Times New Roman"/>
                <w:sz w:val="24"/>
                <w:szCs w:val="24"/>
              </w:rPr>
              <w:t xml:space="preserve">oteikumu projekts izstrādāts ar </w:t>
            </w:r>
            <w:r w:rsidR="008D0C81" w:rsidRPr="00C91B92">
              <w:rPr>
                <w:rFonts w:ascii="Times New Roman" w:hAnsi="Times New Roman" w:cs="Times New Roman"/>
                <w:sz w:val="24"/>
                <w:szCs w:val="24"/>
              </w:rPr>
              <w:t>mērķi noteikt</w:t>
            </w:r>
            <w:r w:rsidR="00542010" w:rsidRPr="00C91B92">
              <w:rPr>
                <w:rFonts w:ascii="Times New Roman" w:hAnsi="Times New Roman" w:cs="Times New Roman"/>
                <w:sz w:val="24"/>
                <w:szCs w:val="24"/>
              </w:rPr>
              <w:t xml:space="preserve"> prasības koncentrācijas riska, kas rodas no riska darījumiem ar paralēlās </w:t>
            </w:r>
            <w:r w:rsidR="00C91B92" w:rsidRPr="00C91B92">
              <w:rPr>
                <w:rFonts w:ascii="Times New Roman" w:hAnsi="Times New Roman" w:cs="Times New Roman"/>
                <w:sz w:val="24"/>
                <w:szCs w:val="24"/>
              </w:rPr>
              <w:t xml:space="preserve">banku </w:t>
            </w:r>
            <w:r w:rsidR="00542010" w:rsidRPr="00C91B92">
              <w:rPr>
                <w:rFonts w:ascii="Times New Roman" w:hAnsi="Times New Roman" w:cs="Times New Roman"/>
                <w:sz w:val="24"/>
                <w:szCs w:val="24"/>
              </w:rPr>
              <w:t xml:space="preserve">sistēmas </w:t>
            </w:r>
            <w:r w:rsidR="00C91B92" w:rsidRPr="00C91B92">
              <w:rPr>
                <w:rFonts w:ascii="Times New Roman" w:hAnsi="Times New Roman" w:cs="Times New Roman"/>
                <w:sz w:val="24"/>
                <w:szCs w:val="24"/>
              </w:rPr>
              <w:t>vienībām</w:t>
            </w:r>
            <w:r w:rsidR="00542010" w:rsidRPr="00C91B92">
              <w:rPr>
                <w:rFonts w:ascii="Times New Roman" w:hAnsi="Times New Roman" w:cs="Times New Roman"/>
                <w:sz w:val="24"/>
                <w:szCs w:val="24"/>
              </w:rPr>
              <w:t xml:space="preserve">, </w:t>
            </w:r>
            <w:r w:rsidR="00592C52" w:rsidRPr="00C91B92">
              <w:rPr>
                <w:rFonts w:ascii="Times New Roman" w:hAnsi="Times New Roman" w:cs="Times New Roman"/>
                <w:sz w:val="24"/>
                <w:szCs w:val="24"/>
              </w:rPr>
              <w:t>pārvaldībai</w:t>
            </w:r>
            <w:r w:rsidR="00542010" w:rsidRPr="00C91B92">
              <w:rPr>
                <w:rFonts w:ascii="Times New Roman" w:hAnsi="Times New Roman" w:cs="Times New Roman"/>
                <w:sz w:val="24"/>
                <w:szCs w:val="24"/>
              </w:rPr>
              <w:t xml:space="preserve">, tostarp kopējā ierobežojuma un individuālo ierobežojumu noteikšanai riska darījumiem ar paralēlās </w:t>
            </w:r>
            <w:r w:rsidR="00C91B92" w:rsidRPr="00C91B92">
              <w:rPr>
                <w:rFonts w:ascii="Times New Roman" w:hAnsi="Times New Roman" w:cs="Times New Roman"/>
                <w:sz w:val="24"/>
                <w:szCs w:val="24"/>
              </w:rPr>
              <w:t xml:space="preserve">banku </w:t>
            </w:r>
            <w:r w:rsidR="00542010" w:rsidRPr="00C91B92">
              <w:rPr>
                <w:rFonts w:ascii="Times New Roman" w:hAnsi="Times New Roman" w:cs="Times New Roman"/>
                <w:sz w:val="24"/>
                <w:szCs w:val="24"/>
              </w:rPr>
              <w:t xml:space="preserve">sistēmas </w:t>
            </w:r>
            <w:r w:rsidR="00C91B92" w:rsidRPr="00C91B92">
              <w:rPr>
                <w:rFonts w:ascii="Times New Roman" w:hAnsi="Times New Roman" w:cs="Times New Roman"/>
                <w:sz w:val="24"/>
                <w:szCs w:val="24"/>
              </w:rPr>
              <w:t>vienībām</w:t>
            </w:r>
            <w:r w:rsidR="00996D7D" w:rsidRPr="00C91B92">
              <w:rPr>
                <w:rFonts w:ascii="Times New Roman" w:hAnsi="Times New Roman" w:cs="Times New Roman"/>
                <w:sz w:val="24"/>
                <w:szCs w:val="24"/>
              </w:rPr>
              <w:t>.</w:t>
            </w:r>
            <w:r w:rsidR="00686149" w:rsidRPr="008B4C29">
              <w:rPr>
                <w:rFonts w:ascii="Times New Roman" w:hAnsi="Times New Roman" w:cs="Times New Roman"/>
                <w:sz w:val="24"/>
                <w:szCs w:val="24"/>
              </w:rPr>
              <w:t xml:space="preserve"> </w:t>
            </w:r>
          </w:p>
          <w:p w14:paraId="7DA3D541" w14:textId="77777777" w:rsidR="00686149" w:rsidRPr="008B4C29" w:rsidRDefault="00686149" w:rsidP="0068380B">
            <w:pPr>
              <w:jc w:val="both"/>
              <w:rPr>
                <w:rFonts w:ascii="Times New Roman" w:hAnsi="Times New Roman" w:cs="Times New Roman"/>
                <w:sz w:val="24"/>
                <w:szCs w:val="24"/>
              </w:rPr>
            </w:pPr>
          </w:p>
          <w:bookmarkEnd w:id="0"/>
          <w:p w14:paraId="077C269E" w14:textId="77777777" w:rsidR="00E0655E" w:rsidRPr="008B4C29" w:rsidRDefault="00F1508E" w:rsidP="0068380B">
            <w:pPr>
              <w:jc w:val="both"/>
              <w:rPr>
                <w:rFonts w:ascii="Times New Roman" w:hAnsi="Times New Roman" w:cs="Times New Roman"/>
                <w:sz w:val="24"/>
                <w:szCs w:val="24"/>
              </w:rPr>
            </w:pPr>
            <w:r w:rsidRPr="008B4C29">
              <w:rPr>
                <w:rFonts w:ascii="Times New Roman" w:hAnsi="Times New Roman" w:cs="Times New Roman"/>
                <w:sz w:val="24"/>
                <w:szCs w:val="24"/>
              </w:rPr>
              <w:t>Noteikumi būs saistoši</w:t>
            </w:r>
            <w:r w:rsidR="00E0655E" w:rsidRPr="008B4C29">
              <w:rPr>
                <w:rFonts w:ascii="Times New Roman" w:hAnsi="Times New Roman" w:cs="Times New Roman"/>
                <w:sz w:val="24"/>
                <w:szCs w:val="24"/>
              </w:rPr>
              <w:t>:</w:t>
            </w:r>
          </w:p>
          <w:p w14:paraId="25519652" w14:textId="7F22FD70" w:rsidR="00D05249" w:rsidRPr="008B4C29" w:rsidRDefault="00D05249" w:rsidP="0068380B">
            <w:pPr>
              <w:pStyle w:val="ListParagraph"/>
              <w:ind w:left="0"/>
              <w:jc w:val="both"/>
              <w:rPr>
                <w:rFonts w:ascii="Times New Roman" w:hAnsi="Times New Roman" w:cs="Times New Roman"/>
                <w:sz w:val="24"/>
                <w:szCs w:val="24"/>
              </w:rPr>
            </w:pPr>
            <w:r w:rsidRPr="008B4C29">
              <w:rPr>
                <w:rFonts w:ascii="Times New Roman" w:hAnsi="Times New Roman" w:cs="Times New Roman"/>
                <w:sz w:val="24"/>
                <w:szCs w:val="24"/>
              </w:rPr>
              <w:lastRenderedPageBreak/>
              <w:t>1) </w:t>
            </w:r>
            <w:r w:rsidR="0071625E" w:rsidRPr="008B4C29">
              <w:rPr>
                <w:rFonts w:ascii="Times New Roman" w:hAnsi="Times New Roman" w:cs="Times New Roman"/>
                <w:sz w:val="24"/>
                <w:szCs w:val="24"/>
              </w:rPr>
              <w:t>Latvijas Republikā reģistrētām kredītiestādēm</w:t>
            </w:r>
            <w:r w:rsidR="00592C52">
              <w:rPr>
                <w:rFonts w:ascii="Times New Roman" w:hAnsi="Times New Roman" w:cs="Times New Roman"/>
                <w:sz w:val="24"/>
                <w:szCs w:val="24"/>
              </w:rPr>
              <w:t xml:space="preserve">, </w:t>
            </w:r>
            <w:r w:rsidR="008112CA" w:rsidRPr="008112CA">
              <w:rPr>
                <w:rFonts w:ascii="Times New Roman" w:hAnsi="Times New Roman" w:cs="Times New Roman"/>
                <w:sz w:val="24"/>
                <w:szCs w:val="24"/>
              </w:rPr>
              <w:t>kurām ir saistoša Eiropas Parlamenta un Padomes 2013.</w:t>
            </w:r>
            <w:r w:rsidR="008112CA">
              <w:rPr>
                <w:rFonts w:ascii="Times New Roman" w:hAnsi="Times New Roman" w:cs="Times New Roman"/>
                <w:sz w:val="24"/>
                <w:szCs w:val="24"/>
              </w:rPr>
              <w:t> </w:t>
            </w:r>
            <w:r w:rsidR="008112CA" w:rsidRPr="008112CA">
              <w:rPr>
                <w:rFonts w:ascii="Times New Roman" w:hAnsi="Times New Roman" w:cs="Times New Roman"/>
                <w:sz w:val="24"/>
                <w:szCs w:val="24"/>
              </w:rPr>
              <w:t>gada 26.</w:t>
            </w:r>
            <w:r w:rsidR="008112CA">
              <w:rPr>
                <w:rFonts w:ascii="Times New Roman" w:hAnsi="Times New Roman" w:cs="Times New Roman"/>
                <w:sz w:val="24"/>
                <w:szCs w:val="24"/>
              </w:rPr>
              <w:t> </w:t>
            </w:r>
            <w:r w:rsidR="008112CA" w:rsidRPr="008112CA">
              <w:rPr>
                <w:rFonts w:ascii="Times New Roman" w:hAnsi="Times New Roman" w:cs="Times New Roman"/>
                <w:sz w:val="24"/>
                <w:szCs w:val="24"/>
              </w:rPr>
              <w:t>jūnija regulas (ES) Nr. 575/2013 par prudenciālajām prasībām attiecībā uz kredītiestādēm, un ar ko groza regulu (ES) Nr.</w:t>
            </w:r>
            <w:r w:rsidR="008112CA">
              <w:rPr>
                <w:rFonts w:ascii="Times New Roman" w:hAnsi="Times New Roman" w:cs="Times New Roman"/>
                <w:sz w:val="24"/>
                <w:szCs w:val="24"/>
              </w:rPr>
              <w:t> </w:t>
            </w:r>
            <w:r w:rsidR="008112CA" w:rsidRPr="008112CA">
              <w:rPr>
                <w:rFonts w:ascii="Times New Roman" w:hAnsi="Times New Roman" w:cs="Times New Roman"/>
                <w:sz w:val="24"/>
                <w:szCs w:val="24"/>
              </w:rPr>
              <w:t>648/2012 (turpmāk</w:t>
            </w:r>
            <w:r w:rsidR="008112CA">
              <w:rPr>
                <w:rFonts w:ascii="Times New Roman" w:hAnsi="Times New Roman" w:cs="Times New Roman"/>
                <w:sz w:val="24"/>
                <w:szCs w:val="24"/>
              </w:rPr>
              <w:t> </w:t>
            </w:r>
            <w:r w:rsidR="008112CA" w:rsidRPr="008112CA">
              <w:rPr>
                <w:rFonts w:ascii="Times New Roman" w:hAnsi="Times New Roman" w:cs="Times New Roman"/>
                <w:sz w:val="24"/>
                <w:szCs w:val="24"/>
              </w:rPr>
              <w:t>– Regula Nr. 575/2013) Ceturtā daļa saskaņā ar minētās regulas Pirmās daļas II sadaļā noteikto prasību piemērošanas līmeni</w:t>
            </w:r>
            <w:r w:rsidR="008112CA">
              <w:rPr>
                <w:rFonts w:ascii="Times New Roman" w:hAnsi="Times New Roman" w:cs="Times New Roman"/>
                <w:sz w:val="24"/>
                <w:szCs w:val="24"/>
              </w:rPr>
              <w:t xml:space="preserve">, </w:t>
            </w:r>
            <w:r w:rsidR="00592C52" w:rsidRPr="00592C52">
              <w:rPr>
                <w:rFonts w:ascii="Times New Roman" w:hAnsi="Times New Roman" w:cs="Times New Roman"/>
                <w:sz w:val="24"/>
                <w:szCs w:val="24"/>
              </w:rPr>
              <w:t>izņemot nozīmīgā</w:t>
            </w:r>
            <w:r w:rsidR="00AD106D">
              <w:rPr>
                <w:rFonts w:ascii="Times New Roman" w:hAnsi="Times New Roman" w:cs="Times New Roman"/>
                <w:sz w:val="24"/>
                <w:szCs w:val="24"/>
              </w:rPr>
              <w:t>s</w:t>
            </w:r>
            <w:r w:rsidR="00592C52" w:rsidRPr="00592C52">
              <w:rPr>
                <w:rFonts w:ascii="Times New Roman" w:hAnsi="Times New Roman" w:cs="Times New Roman"/>
                <w:sz w:val="24"/>
                <w:szCs w:val="24"/>
              </w:rPr>
              <w:t xml:space="preserve"> uzraudzītā</w:t>
            </w:r>
            <w:r w:rsidR="00AD106D">
              <w:rPr>
                <w:rFonts w:ascii="Times New Roman" w:hAnsi="Times New Roman" w:cs="Times New Roman"/>
                <w:sz w:val="24"/>
                <w:szCs w:val="24"/>
              </w:rPr>
              <w:t>s</w:t>
            </w:r>
            <w:r w:rsidR="00592C52" w:rsidRPr="00592C52">
              <w:rPr>
                <w:rFonts w:ascii="Times New Roman" w:hAnsi="Times New Roman" w:cs="Times New Roman"/>
                <w:sz w:val="24"/>
                <w:szCs w:val="24"/>
              </w:rPr>
              <w:t xml:space="preserve"> kredītiestād</w:t>
            </w:r>
            <w:r w:rsidR="00AD106D">
              <w:rPr>
                <w:rFonts w:ascii="Times New Roman" w:hAnsi="Times New Roman" w:cs="Times New Roman"/>
                <w:sz w:val="24"/>
                <w:szCs w:val="24"/>
              </w:rPr>
              <w:t>es</w:t>
            </w:r>
            <w:r w:rsidR="00592C52" w:rsidRPr="00592C52">
              <w:rPr>
                <w:rFonts w:ascii="Times New Roman" w:hAnsi="Times New Roman" w:cs="Times New Roman"/>
                <w:sz w:val="24"/>
                <w:szCs w:val="24"/>
              </w:rPr>
              <w:t xml:space="preserve"> Kredītiestāžu likuma 1.</w:t>
            </w:r>
            <w:r w:rsidR="00592C52">
              <w:rPr>
                <w:rFonts w:ascii="Times New Roman" w:hAnsi="Times New Roman" w:cs="Times New Roman"/>
                <w:sz w:val="24"/>
                <w:szCs w:val="24"/>
              </w:rPr>
              <w:t> </w:t>
            </w:r>
            <w:r w:rsidR="00592C52" w:rsidRPr="00592C52">
              <w:rPr>
                <w:rFonts w:ascii="Times New Roman" w:hAnsi="Times New Roman" w:cs="Times New Roman"/>
                <w:sz w:val="24"/>
                <w:szCs w:val="24"/>
              </w:rPr>
              <w:t>panta pirmās daļas 67.</w:t>
            </w:r>
            <w:r w:rsidR="00592C52">
              <w:rPr>
                <w:rFonts w:ascii="Times New Roman" w:hAnsi="Times New Roman" w:cs="Times New Roman"/>
                <w:sz w:val="24"/>
                <w:szCs w:val="24"/>
              </w:rPr>
              <w:t> </w:t>
            </w:r>
            <w:r w:rsidR="00592C52" w:rsidRPr="00592C52">
              <w:rPr>
                <w:rFonts w:ascii="Times New Roman" w:hAnsi="Times New Roman" w:cs="Times New Roman"/>
                <w:sz w:val="24"/>
                <w:szCs w:val="24"/>
              </w:rPr>
              <w:t>punkta izpratnē</w:t>
            </w:r>
            <w:r w:rsidRPr="008B4C29">
              <w:rPr>
                <w:rFonts w:ascii="Times New Roman" w:hAnsi="Times New Roman" w:cs="Times New Roman"/>
                <w:sz w:val="24"/>
                <w:szCs w:val="24"/>
              </w:rPr>
              <w:t>;</w:t>
            </w:r>
          </w:p>
          <w:p w14:paraId="72A5D81D" w14:textId="03C5D762" w:rsidR="00D05249" w:rsidRPr="008B4C29" w:rsidRDefault="00D05249" w:rsidP="0068380B">
            <w:pPr>
              <w:pStyle w:val="ListParagraph"/>
              <w:ind w:left="0"/>
              <w:jc w:val="both"/>
              <w:rPr>
                <w:rFonts w:ascii="Times New Roman" w:hAnsi="Times New Roman" w:cs="Times New Roman"/>
                <w:sz w:val="24"/>
                <w:szCs w:val="24"/>
              </w:rPr>
            </w:pPr>
            <w:r w:rsidRPr="008B4C29">
              <w:rPr>
                <w:rFonts w:ascii="Times New Roman" w:hAnsi="Times New Roman" w:cs="Times New Roman"/>
                <w:sz w:val="24"/>
                <w:szCs w:val="24"/>
              </w:rPr>
              <w:t>2) </w:t>
            </w:r>
            <w:r w:rsidR="0071625E" w:rsidRPr="008B4C29">
              <w:rPr>
                <w:rFonts w:ascii="Times New Roman" w:hAnsi="Times New Roman" w:cs="Times New Roman"/>
                <w:sz w:val="24"/>
                <w:szCs w:val="24"/>
              </w:rPr>
              <w:t>Kredītiestāžu likuma 11.</w:t>
            </w:r>
            <w:r w:rsidR="0071625E" w:rsidRPr="008B4C29">
              <w:rPr>
                <w:rFonts w:ascii="Times New Roman" w:hAnsi="Times New Roman" w:cs="Times New Roman"/>
                <w:sz w:val="24"/>
                <w:szCs w:val="24"/>
                <w:vertAlign w:val="superscript"/>
              </w:rPr>
              <w:t>2</w:t>
            </w:r>
            <w:r w:rsidR="008B03F7" w:rsidRPr="008B4C29">
              <w:rPr>
                <w:rFonts w:ascii="Times New Roman" w:hAnsi="Times New Roman" w:cs="Times New Roman"/>
                <w:sz w:val="24"/>
                <w:szCs w:val="24"/>
              </w:rPr>
              <w:t> </w:t>
            </w:r>
            <w:r w:rsidR="0071625E" w:rsidRPr="008B4C29">
              <w:rPr>
                <w:rFonts w:ascii="Times New Roman" w:hAnsi="Times New Roman" w:cs="Times New Roman"/>
                <w:sz w:val="24"/>
                <w:szCs w:val="24"/>
              </w:rPr>
              <w:t>pantā minētajām ieguldījumu brokeru sabiedrībām</w:t>
            </w:r>
            <w:r w:rsidRPr="008B4C29">
              <w:rPr>
                <w:rFonts w:ascii="Times New Roman" w:hAnsi="Times New Roman" w:cs="Times New Roman"/>
                <w:sz w:val="24"/>
                <w:szCs w:val="24"/>
              </w:rPr>
              <w:t>;</w:t>
            </w:r>
          </w:p>
          <w:p w14:paraId="4CD76D50" w14:textId="47DBA8AC" w:rsidR="00E0655E" w:rsidRPr="008B4C29" w:rsidRDefault="00D05249" w:rsidP="0068380B">
            <w:pPr>
              <w:pStyle w:val="ListParagraph"/>
              <w:ind w:left="0"/>
              <w:jc w:val="both"/>
              <w:rPr>
                <w:rFonts w:ascii="Times New Roman" w:hAnsi="Times New Roman" w:cs="Times New Roman"/>
                <w:sz w:val="24"/>
                <w:szCs w:val="24"/>
              </w:rPr>
            </w:pPr>
            <w:r w:rsidRPr="008B4C29">
              <w:rPr>
                <w:rFonts w:ascii="Times New Roman" w:hAnsi="Times New Roman" w:cs="Times New Roman"/>
                <w:sz w:val="24"/>
                <w:szCs w:val="24"/>
              </w:rPr>
              <w:t>3) </w:t>
            </w:r>
            <w:r w:rsidR="00E0655E" w:rsidRPr="008B4C29">
              <w:rPr>
                <w:rFonts w:ascii="Times New Roman" w:hAnsi="Times New Roman" w:cs="Times New Roman"/>
                <w:sz w:val="24"/>
                <w:szCs w:val="24"/>
              </w:rPr>
              <w:t>Eiropas Parlamenta un Padomes 2019.</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gada 27.</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 xml:space="preserve">novembra </w:t>
            </w:r>
            <w:r w:rsidR="00B32AF1" w:rsidRPr="008B4C29">
              <w:rPr>
                <w:rFonts w:ascii="Times New Roman" w:hAnsi="Times New Roman" w:cs="Times New Roman"/>
                <w:sz w:val="24"/>
                <w:szCs w:val="24"/>
              </w:rPr>
              <w:t>r</w:t>
            </w:r>
            <w:r w:rsidR="00E0655E" w:rsidRPr="008B4C29">
              <w:rPr>
                <w:rFonts w:ascii="Times New Roman" w:hAnsi="Times New Roman" w:cs="Times New Roman"/>
                <w:sz w:val="24"/>
                <w:szCs w:val="24"/>
              </w:rPr>
              <w:t>egulas (ES)</w:t>
            </w:r>
            <w:r w:rsidR="0084323D" w:rsidRPr="008B4C29">
              <w:rPr>
                <w:rFonts w:ascii="Times New Roman" w:hAnsi="Times New Roman" w:cs="Times New Roman"/>
                <w:sz w:val="24"/>
                <w:szCs w:val="24"/>
              </w:rPr>
              <w:t> </w:t>
            </w:r>
            <w:r w:rsidR="00E0655E" w:rsidRPr="008B4C29">
              <w:rPr>
                <w:rFonts w:ascii="Times New Roman" w:hAnsi="Times New Roman" w:cs="Times New Roman"/>
                <w:sz w:val="24"/>
                <w:szCs w:val="24"/>
              </w:rPr>
              <w:t xml:space="preserve">2019/2033 par prudenciālajām prasībām ieguldījumu brokeru sabiedrībām un ar ko groza </w:t>
            </w:r>
            <w:r w:rsidR="00B32AF1" w:rsidRPr="008B4C29">
              <w:rPr>
                <w:rFonts w:ascii="Times New Roman" w:hAnsi="Times New Roman" w:cs="Times New Roman"/>
                <w:sz w:val="24"/>
                <w:szCs w:val="24"/>
              </w:rPr>
              <w:t>r</w:t>
            </w:r>
            <w:r w:rsidR="00E0655E" w:rsidRPr="008B4C29">
              <w:rPr>
                <w:rFonts w:ascii="Times New Roman" w:hAnsi="Times New Roman" w:cs="Times New Roman"/>
                <w:sz w:val="24"/>
                <w:szCs w:val="24"/>
              </w:rPr>
              <w:t>egulas (ES) Nr.</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1093/2010, (ES) Nr.</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575/2013, (ES) Nr.</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600/2014 un (ES) Nr.</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806/2014 (</w:t>
            </w:r>
            <w:r w:rsidR="00E0655E" w:rsidRPr="00542010">
              <w:rPr>
                <w:rFonts w:ascii="Times New Roman" w:hAnsi="Times New Roman" w:cs="Times New Roman"/>
                <w:sz w:val="24"/>
                <w:szCs w:val="24"/>
              </w:rPr>
              <w:t>turpmāk</w:t>
            </w:r>
            <w:r w:rsidR="0040095C" w:rsidRPr="00542010">
              <w:rPr>
                <w:rFonts w:ascii="Times New Roman" w:hAnsi="Times New Roman" w:cs="Times New Roman"/>
                <w:sz w:val="24"/>
                <w:szCs w:val="24"/>
              </w:rPr>
              <w:t> </w:t>
            </w:r>
            <w:r w:rsidR="00E0655E" w:rsidRPr="00542010">
              <w:rPr>
                <w:rFonts w:ascii="Times New Roman" w:hAnsi="Times New Roman" w:cs="Times New Roman"/>
                <w:sz w:val="24"/>
                <w:szCs w:val="24"/>
              </w:rPr>
              <w:t xml:space="preserve">– </w:t>
            </w:r>
            <w:r w:rsidR="006A4445" w:rsidRPr="00542010">
              <w:rPr>
                <w:rFonts w:ascii="Times New Roman" w:hAnsi="Times New Roman" w:cs="Times New Roman"/>
                <w:sz w:val="24"/>
                <w:szCs w:val="24"/>
              </w:rPr>
              <w:t xml:space="preserve">Regula </w:t>
            </w:r>
            <w:r w:rsidR="005B7F87" w:rsidRPr="00542010">
              <w:rPr>
                <w:rFonts w:ascii="Times New Roman" w:hAnsi="Times New Roman" w:cs="Times New Roman"/>
                <w:sz w:val="24"/>
                <w:szCs w:val="24"/>
              </w:rPr>
              <w:t>Nr. </w:t>
            </w:r>
            <w:r w:rsidR="00E0655E" w:rsidRPr="00542010">
              <w:rPr>
                <w:rFonts w:ascii="Times New Roman" w:hAnsi="Times New Roman" w:cs="Times New Roman"/>
                <w:sz w:val="24"/>
                <w:szCs w:val="24"/>
              </w:rPr>
              <w:t>2019/2033</w:t>
            </w:r>
            <w:r w:rsidR="00E0655E" w:rsidRPr="008B4C29">
              <w:rPr>
                <w:rFonts w:ascii="Times New Roman" w:hAnsi="Times New Roman" w:cs="Times New Roman"/>
                <w:sz w:val="24"/>
                <w:szCs w:val="24"/>
              </w:rPr>
              <w:t>) 1.</w:t>
            </w:r>
            <w:r w:rsidR="00577222" w:rsidRPr="008B4C29">
              <w:rPr>
                <w:rFonts w:ascii="Times New Roman" w:hAnsi="Times New Roman" w:cs="Times New Roman"/>
                <w:sz w:val="24"/>
                <w:szCs w:val="24"/>
              </w:rPr>
              <w:t> </w:t>
            </w:r>
            <w:r w:rsidR="00E0655E" w:rsidRPr="008B4C29">
              <w:rPr>
                <w:rFonts w:ascii="Times New Roman" w:hAnsi="Times New Roman" w:cs="Times New Roman"/>
                <w:sz w:val="24"/>
                <w:szCs w:val="24"/>
              </w:rPr>
              <w:t>panta 2.</w:t>
            </w:r>
            <w:r w:rsidR="007933F7">
              <w:rPr>
                <w:rFonts w:ascii="Times New Roman" w:hAnsi="Times New Roman" w:cs="Times New Roman"/>
                <w:sz w:val="24"/>
                <w:szCs w:val="24"/>
              </w:rPr>
              <w:t xml:space="preserve"> </w:t>
            </w:r>
            <w:r w:rsidR="00E0655E" w:rsidRPr="008B4C29">
              <w:rPr>
                <w:rFonts w:ascii="Times New Roman" w:hAnsi="Times New Roman" w:cs="Times New Roman"/>
                <w:sz w:val="24"/>
                <w:szCs w:val="24"/>
              </w:rPr>
              <w:t>un 5.</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punktā minēt</w:t>
            </w:r>
            <w:r w:rsidR="007C3713" w:rsidRPr="008B4C29">
              <w:rPr>
                <w:rFonts w:ascii="Times New Roman" w:hAnsi="Times New Roman" w:cs="Times New Roman"/>
                <w:sz w:val="24"/>
                <w:szCs w:val="24"/>
              </w:rPr>
              <w:t>aj</w:t>
            </w:r>
            <w:r w:rsidR="00E0655E" w:rsidRPr="008B4C29">
              <w:rPr>
                <w:rFonts w:ascii="Times New Roman" w:hAnsi="Times New Roman" w:cs="Times New Roman"/>
                <w:sz w:val="24"/>
                <w:szCs w:val="24"/>
              </w:rPr>
              <w:t>ām</w:t>
            </w:r>
            <w:r w:rsidR="0071625E" w:rsidRPr="008B4C29">
              <w:rPr>
                <w:rFonts w:ascii="Times New Roman" w:hAnsi="Times New Roman" w:cs="Times New Roman"/>
                <w:sz w:val="24"/>
                <w:szCs w:val="24"/>
              </w:rPr>
              <w:t xml:space="preserve"> ieguldījumu brokeru sabiedrībām</w:t>
            </w:r>
            <w:r w:rsidRPr="008B4C29">
              <w:rPr>
                <w:rFonts w:ascii="Times New Roman" w:hAnsi="Times New Roman" w:cs="Times New Roman"/>
                <w:sz w:val="24"/>
                <w:szCs w:val="24"/>
              </w:rPr>
              <w:t xml:space="preserve">. </w:t>
            </w:r>
            <w:r w:rsidR="00E0655E" w:rsidRPr="008B4C29">
              <w:rPr>
                <w:rFonts w:ascii="Times New Roman" w:hAnsi="Times New Roman" w:cs="Times New Roman"/>
                <w:sz w:val="24"/>
                <w:szCs w:val="24"/>
              </w:rPr>
              <w:t xml:space="preserve">Noteikumi būs saistoši ieguldījumu brokeru sabiedrībām, kuras minētas </w:t>
            </w:r>
            <w:r w:rsidR="006A4445" w:rsidRPr="008B4C29">
              <w:rPr>
                <w:rFonts w:ascii="Times New Roman" w:hAnsi="Times New Roman" w:cs="Times New Roman"/>
                <w:sz w:val="24"/>
                <w:szCs w:val="24"/>
              </w:rPr>
              <w:t xml:space="preserve">Regulas </w:t>
            </w:r>
            <w:r w:rsidR="005B7F87" w:rsidRPr="008B4C29">
              <w:rPr>
                <w:rFonts w:ascii="Times New Roman" w:hAnsi="Times New Roman" w:cs="Times New Roman"/>
                <w:sz w:val="24"/>
                <w:szCs w:val="24"/>
              </w:rPr>
              <w:t>Nr. </w:t>
            </w:r>
            <w:r w:rsidR="00E0655E" w:rsidRPr="008B4C29">
              <w:rPr>
                <w:rFonts w:ascii="Times New Roman" w:hAnsi="Times New Roman" w:cs="Times New Roman"/>
                <w:sz w:val="24"/>
                <w:szCs w:val="24"/>
              </w:rPr>
              <w:t>2019/2033 1.</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panta 2.</w:t>
            </w:r>
            <w:r w:rsidR="007933F7">
              <w:rPr>
                <w:rFonts w:ascii="Times New Roman" w:hAnsi="Times New Roman" w:cs="Times New Roman"/>
                <w:sz w:val="24"/>
                <w:szCs w:val="24"/>
              </w:rPr>
              <w:t xml:space="preserve"> </w:t>
            </w:r>
            <w:r w:rsidR="00E0655E" w:rsidRPr="008B4C29">
              <w:rPr>
                <w:rFonts w:ascii="Times New Roman" w:hAnsi="Times New Roman" w:cs="Times New Roman"/>
                <w:sz w:val="24"/>
                <w:szCs w:val="24"/>
              </w:rPr>
              <w:t>un 5.</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punktā, ņemot vērā Ieguldījumu brokeru sabiedrību likuma 3.</w:t>
            </w:r>
            <w:r w:rsidR="008B03F7" w:rsidRPr="008B4C29">
              <w:rPr>
                <w:rFonts w:ascii="Times New Roman" w:hAnsi="Times New Roman" w:cs="Times New Roman"/>
                <w:sz w:val="24"/>
                <w:szCs w:val="24"/>
              </w:rPr>
              <w:t> </w:t>
            </w:r>
            <w:r w:rsidR="00E0655E" w:rsidRPr="008B4C29">
              <w:rPr>
                <w:rFonts w:ascii="Times New Roman" w:hAnsi="Times New Roman" w:cs="Times New Roman"/>
                <w:sz w:val="24"/>
                <w:szCs w:val="24"/>
              </w:rPr>
              <w:t>panta trešo daļu, kas nosaka, ka tām piemēro Kredītiestāžu likumā un uz tā pamata Latvijas Bankas izdotajos noteikumos paredzētās prudenciālās prasības</w:t>
            </w:r>
            <w:r w:rsidRPr="008B4C29">
              <w:rPr>
                <w:rFonts w:ascii="Times New Roman" w:hAnsi="Times New Roman" w:cs="Times New Roman"/>
                <w:sz w:val="24"/>
                <w:szCs w:val="24"/>
              </w:rPr>
              <w:t>.</w:t>
            </w:r>
          </w:p>
          <w:p w14:paraId="2C5E09F4" w14:textId="77777777" w:rsidR="00494F09" w:rsidRPr="008B4C29" w:rsidRDefault="00494F09" w:rsidP="0068380B">
            <w:pPr>
              <w:jc w:val="both"/>
              <w:rPr>
                <w:rFonts w:ascii="Times New Roman" w:hAnsi="Times New Roman" w:cs="Times New Roman"/>
                <w:sz w:val="24"/>
                <w:szCs w:val="24"/>
              </w:rPr>
            </w:pPr>
          </w:p>
          <w:p w14:paraId="6FAD6052" w14:textId="214F361D" w:rsidR="00F1508E" w:rsidRPr="008B4C29" w:rsidRDefault="0071625E" w:rsidP="0068380B">
            <w:pPr>
              <w:jc w:val="both"/>
              <w:rPr>
                <w:rFonts w:ascii="Times New Roman" w:hAnsi="Times New Roman" w:cs="Times New Roman"/>
                <w:sz w:val="24"/>
                <w:szCs w:val="24"/>
              </w:rPr>
            </w:pPr>
            <w:r w:rsidRPr="008B4C29">
              <w:rPr>
                <w:rFonts w:ascii="Times New Roman" w:hAnsi="Times New Roman" w:cs="Times New Roman"/>
                <w:sz w:val="24"/>
                <w:szCs w:val="24"/>
              </w:rPr>
              <w:t>Šobrīd nav tādu Latvijas Republikā reģistrētu ieguldījumu brokeru sabiedrību, kuras minētas Kredītiestāžu likuma 11.</w:t>
            </w:r>
            <w:r w:rsidRPr="008B4C29">
              <w:rPr>
                <w:rFonts w:ascii="Times New Roman" w:hAnsi="Times New Roman" w:cs="Times New Roman"/>
                <w:sz w:val="24"/>
                <w:szCs w:val="24"/>
                <w:vertAlign w:val="superscript"/>
              </w:rPr>
              <w:t>2</w:t>
            </w:r>
            <w:r w:rsidR="00577222" w:rsidRPr="008B4C29">
              <w:rPr>
                <w:rFonts w:ascii="Times New Roman" w:hAnsi="Times New Roman" w:cs="Times New Roman"/>
                <w:sz w:val="24"/>
                <w:szCs w:val="24"/>
              </w:rPr>
              <w:t> </w:t>
            </w:r>
            <w:r w:rsidRPr="008B4C29">
              <w:rPr>
                <w:rFonts w:ascii="Times New Roman" w:hAnsi="Times New Roman" w:cs="Times New Roman"/>
                <w:sz w:val="24"/>
                <w:szCs w:val="24"/>
              </w:rPr>
              <w:t xml:space="preserve">pantā un </w:t>
            </w:r>
            <w:r w:rsidR="006A3B94" w:rsidRPr="008B4C29">
              <w:rPr>
                <w:rFonts w:ascii="Times New Roman" w:hAnsi="Times New Roman" w:cs="Times New Roman"/>
                <w:sz w:val="24"/>
                <w:szCs w:val="24"/>
              </w:rPr>
              <w:t xml:space="preserve">Regulas </w:t>
            </w:r>
            <w:r w:rsidR="00B90C07" w:rsidRPr="008B4C29">
              <w:rPr>
                <w:rFonts w:ascii="Times New Roman" w:hAnsi="Times New Roman" w:cs="Times New Roman"/>
                <w:sz w:val="24"/>
                <w:szCs w:val="24"/>
              </w:rPr>
              <w:t>Nr.</w:t>
            </w:r>
            <w:r w:rsidR="0084323D" w:rsidRPr="008B4C29">
              <w:rPr>
                <w:rFonts w:ascii="Times New Roman" w:hAnsi="Times New Roman" w:cs="Times New Roman"/>
                <w:sz w:val="24"/>
                <w:szCs w:val="24"/>
              </w:rPr>
              <w:t> </w:t>
            </w:r>
            <w:r w:rsidRPr="008B4C29">
              <w:rPr>
                <w:rFonts w:ascii="Times New Roman" w:hAnsi="Times New Roman" w:cs="Times New Roman"/>
                <w:sz w:val="24"/>
                <w:szCs w:val="24"/>
              </w:rPr>
              <w:t>2019/2033 1.</w:t>
            </w:r>
            <w:r w:rsidR="00577222" w:rsidRPr="008B4C29">
              <w:rPr>
                <w:rFonts w:ascii="Times New Roman" w:hAnsi="Times New Roman" w:cs="Times New Roman"/>
                <w:sz w:val="24"/>
                <w:szCs w:val="24"/>
              </w:rPr>
              <w:t> </w:t>
            </w:r>
            <w:r w:rsidRPr="008B4C29">
              <w:rPr>
                <w:rFonts w:ascii="Times New Roman" w:hAnsi="Times New Roman" w:cs="Times New Roman"/>
                <w:sz w:val="24"/>
                <w:szCs w:val="24"/>
              </w:rPr>
              <w:t>panta 2.</w:t>
            </w:r>
            <w:r w:rsidR="007933F7">
              <w:rPr>
                <w:rFonts w:ascii="Times New Roman" w:hAnsi="Times New Roman" w:cs="Times New Roman"/>
                <w:sz w:val="24"/>
                <w:szCs w:val="24"/>
              </w:rPr>
              <w:t xml:space="preserve"> </w:t>
            </w:r>
            <w:r w:rsidRPr="008B4C29">
              <w:rPr>
                <w:rFonts w:ascii="Times New Roman" w:hAnsi="Times New Roman" w:cs="Times New Roman"/>
                <w:sz w:val="24"/>
                <w:szCs w:val="24"/>
              </w:rPr>
              <w:t>un 5.</w:t>
            </w:r>
            <w:r w:rsidR="00577222" w:rsidRPr="008B4C29">
              <w:rPr>
                <w:rFonts w:ascii="Times New Roman" w:hAnsi="Times New Roman" w:cs="Times New Roman"/>
                <w:sz w:val="24"/>
                <w:szCs w:val="24"/>
              </w:rPr>
              <w:t> </w:t>
            </w:r>
            <w:r w:rsidRPr="008B4C29">
              <w:rPr>
                <w:rFonts w:ascii="Times New Roman" w:hAnsi="Times New Roman" w:cs="Times New Roman"/>
                <w:sz w:val="24"/>
                <w:szCs w:val="24"/>
              </w:rPr>
              <w:t>punktā.</w:t>
            </w:r>
          </w:p>
          <w:p w14:paraId="23A0C46A" w14:textId="77777777" w:rsidR="0071625E" w:rsidRPr="008B4C29" w:rsidRDefault="0071625E" w:rsidP="0068380B">
            <w:pPr>
              <w:jc w:val="both"/>
              <w:rPr>
                <w:rFonts w:ascii="Times New Roman" w:hAnsi="Times New Roman" w:cs="Times New Roman"/>
                <w:sz w:val="24"/>
                <w:szCs w:val="24"/>
              </w:rPr>
            </w:pPr>
          </w:p>
          <w:p w14:paraId="592A1EE3" w14:textId="2B20478E" w:rsidR="00296CC5" w:rsidRDefault="00821405" w:rsidP="0090010A">
            <w:pPr>
              <w:pStyle w:val="ListParagraph"/>
              <w:ind w:left="0"/>
              <w:contextualSpacing w:val="0"/>
              <w:jc w:val="both"/>
              <w:rPr>
                <w:rFonts w:ascii="Times New Roman" w:hAnsi="Times New Roman" w:cs="Times New Roman"/>
                <w:sz w:val="24"/>
                <w:szCs w:val="24"/>
                <w:lang w:eastAsia="lv-LV"/>
              </w:rPr>
            </w:pPr>
            <w:r w:rsidRPr="008B4C29">
              <w:rPr>
                <w:rFonts w:ascii="Times New Roman" w:hAnsi="Times New Roman" w:cs="Times New Roman"/>
                <w:sz w:val="24"/>
                <w:szCs w:val="24"/>
                <w:lang w:eastAsia="lv-LV"/>
              </w:rPr>
              <w:t>Ar noteikumu projektu netiek ieviesta</w:t>
            </w:r>
            <w:r w:rsidR="00C6671C">
              <w:rPr>
                <w:rFonts w:ascii="Times New Roman" w:hAnsi="Times New Roman" w:cs="Times New Roman"/>
                <w:sz w:val="24"/>
                <w:szCs w:val="24"/>
                <w:lang w:eastAsia="lv-LV"/>
              </w:rPr>
              <w:t>s</w:t>
            </w:r>
            <w:r w:rsidRPr="008B4C29">
              <w:rPr>
                <w:rFonts w:ascii="Times New Roman" w:hAnsi="Times New Roman" w:cs="Times New Roman"/>
                <w:sz w:val="24"/>
                <w:szCs w:val="24"/>
                <w:lang w:eastAsia="lv-LV"/>
              </w:rPr>
              <w:t xml:space="preserve"> jauna</w:t>
            </w:r>
            <w:r w:rsidR="00D83C67">
              <w:rPr>
                <w:rFonts w:ascii="Times New Roman" w:hAnsi="Times New Roman" w:cs="Times New Roman"/>
                <w:sz w:val="24"/>
                <w:szCs w:val="24"/>
                <w:lang w:eastAsia="lv-LV"/>
              </w:rPr>
              <w:t xml:space="preserve">s prasības </w:t>
            </w:r>
            <w:r w:rsidR="00D83C67" w:rsidRPr="00D83C67">
              <w:rPr>
                <w:rFonts w:ascii="Times New Roman" w:hAnsi="Times New Roman" w:cs="Times New Roman"/>
                <w:sz w:val="24"/>
                <w:szCs w:val="24"/>
                <w:lang w:eastAsia="lv-LV"/>
              </w:rPr>
              <w:t xml:space="preserve">koncentrācijas riska, kas rodas no riska darījumiem ar paralēlās </w:t>
            </w:r>
            <w:r w:rsidR="00C17300">
              <w:rPr>
                <w:rFonts w:ascii="Times New Roman" w:hAnsi="Times New Roman" w:cs="Times New Roman"/>
                <w:sz w:val="24"/>
                <w:szCs w:val="24"/>
                <w:lang w:eastAsia="lv-LV"/>
              </w:rPr>
              <w:t>banku</w:t>
            </w:r>
            <w:r w:rsidR="00C17300" w:rsidRPr="00D83C67">
              <w:rPr>
                <w:rFonts w:ascii="Times New Roman" w:hAnsi="Times New Roman" w:cs="Times New Roman"/>
                <w:sz w:val="24"/>
                <w:szCs w:val="24"/>
                <w:lang w:eastAsia="lv-LV"/>
              </w:rPr>
              <w:t xml:space="preserve"> </w:t>
            </w:r>
            <w:r w:rsidR="00D83C67" w:rsidRPr="00D83C67">
              <w:rPr>
                <w:rFonts w:ascii="Times New Roman" w:hAnsi="Times New Roman" w:cs="Times New Roman"/>
                <w:sz w:val="24"/>
                <w:szCs w:val="24"/>
                <w:lang w:eastAsia="lv-LV"/>
              </w:rPr>
              <w:t xml:space="preserve">sistēmas </w:t>
            </w:r>
            <w:r w:rsidR="00C17300">
              <w:rPr>
                <w:rFonts w:ascii="Times New Roman" w:hAnsi="Times New Roman" w:cs="Times New Roman"/>
                <w:sz w:val="24"/>
                <w:szCs w:val="24"/>
                <w:lang w:eastAsia="lv-LV"/>
              </w:rPr>
              <w:t>vienībām</w:t>
            </w:r>
            <w:r w:rsidR="00D83C67" w:rsidRPr="00D83C67">
              <w:rPr>
                <w:rFonts w:ascii="Times New Roman" w:hAnsi="Times New Roman" w:cs="Times New Roman"/>
                <w:sz w:val="24"/>
                <w:szCs w:val="24"/>
                <w:lang w:eastAsia="lv-LV"/>
              </w:rPr>
              <w:t xml:space="preserve">, </w:t>
            </w:r>
            <w:r w:rsidR="00592C52" w:rsidRPr="00D83C67">
              <w:rPr>
                <w:rFonts w:ascii="Times New Roman" w:hAnsi="Times New Roman" w:cs="Times New Roman"/>
                <w:sz w:val="24"/>
                <w:szCs w:val="24"/>
                <w:lang w:eastAsia="lv-LV"/>
              </w:rPr>
              <w:t>pārvaldī</w:t>
            </w:r>
            <w:r w:rsidR="00592C52">
              <w:rPr>
                <w:rFonts w:ascii="Times New Roman" w:hAnsi="Times New Roman" w:cs="Times New Roman"/>
                <w:sz w:val="24"/>
                <w:szCs w:val="24"/>
                <w:lang w:eastAsia="lv-LV"/>
              </w:rPr>
              <w:t>bai</w:t>
            </w:r>
            <w:r w:rsidR="00D83C67" w:rsidRPr="00D83C67">
              <w:rPr>
                <w:rFonts w:ascii="Times New Roman" w:hAnsi="Times New Roman" w:cs="Times New Roman"/>
                <w:sz w:val="24"/>
                <w:szCs w:val="24"/>
                <w:lang w:eastAsia="lv-LV"/>
              </w:rPr>
              <w:t>, tostarp kopējā iero</w:t>
            </w:r>
            <w:r w:rsidR="00D83C67" w:rsidRPr="00110603">
              <w:rPr>
                <w:rFonts w:ascii="Times New Roman" w:hAnsi="Times New Roman" w:cs="Times New Roman"/>
                <w:sz w:val="24"/>
                <w:szCs w:val="24"/>
                <w:lang w:eastAsia="lv-LV"/>
              </w:rPr>
              <w:t xml:space="preserve">bežojuma un individuālo ierobežojumu noteikšanai riska darījumiem ar paralēlās </w:t>
            </w:r>
            <w:r w:rsidR="00C17300">
              <w:rPr>
                <w:rFonts w:ascii="Times New Roman" w:hAnsi="Times New Roman" w:cs="Times New Roman"/>
                <w:sz w:val="24"/>
                <w:szCs w:val="24"/>
                <w:lang w:eastAsia="lv-LV"/>
              </w:rPr>
              <w:t>banku</w:t>
            </w:r>
            <w:r w:rsidR="00C17300" w:rsidRPr="00110603">
              <w:rPr>
                <w:rFonts w:ascii="Times New Roman" w:hAnsi="Times New Roman" w:cs="Times New Roman"/>
                <w:sz w:val="24"/>
                <w:szCs w:val="24"/>
                <w:lang w:eastAsia="lv-LV"/>
              </w:rPr>
              <w:t xml:space="preserve"> </w:t>
            </w:r>
            <w:r w:rsidR="00D83C67" w:rsidRPr="00110603">
              <w:rPr>
                <w:rFonts w:ascii="Times New Roman" w:hAnsi="Times New Roman" w:cs="Times New Roman"/>
                <w:sz w:val="24"/>
                <w:szCs w:val="24"/>
                <w:lang w:eastAsia="lv-LV"/>
              </w:rPr>
              <w:t xml:space="preserve">sistēmas </w:t>
            </w:r>
            <w:r w:rsidR="00C17300">
              <w:rPr>
                <w:rFonts w:ascii="Times New Roman" w:hAnsi="Times New Roman" w:cs="Times New Roman"/>
                <w:sz w:val="24"/>
                <w:szCs w:val="24"/>
                <w:lang w:eastAsia="lv-LV"/>
              </w:rPr>
              <w:t>vienībām</w:t>
            </w:r>
            <w:r w:rsidR="008061DF" w:rsidRPr="00110603">
              <w:rPr>
                <w:rFonts w:ascii="Times New Roman" w:hAnsi="Times New Roman" w:cs="Times New Roman"/>
                <w:sz w:val="24"/>
                <w:szCs w:val="24"/>
                <w:lang w:eastAsia="lv-LV"/>
              </w:rPr>
              <w:t xml:space="preserve">, </w:t>
            </w:r>
            <w:r w:rsidRPr="00110603">
              <w:rPr>
                <w:rFonts w:ascii="Times New Roman" w:hAnsi="Times New Roman" w:cs="Times New Roman"/>
                <w:sz w:val="24"/>
                <w:szCs w:val="24"/>
                <w:lang w:eastAsia="lv-LV"/>
              </w:rPr>
              <w:t>jo</w:t>
            </w:r>
            <w:r w:rsidR="00BA64F9" w:rsidRPr="00110603">
              <w:rPr>
                <w:rFonts w:ascii="Times New Roman" w:hAnsi="Times New Roman" w:cs="Times New Roman"/>
                <w:sz w:val="24"/>
                <w:szCs w:val="24"/>
                <w:lang w:eastAsia="lv-LV"/>
              </w:rPr>
              <w:t xml:space="preserve"> tiek saglabāta</w:t>
            </w:r>
            <w:r w:rsidR="00D83C67" w:rsidRPr="00110603">
              <w:rPr>
                <w:rFonts w:ascii="Times New Roman" w:hAnsi="Times New Roman" w:cs="Times New Roman"/>
                <w:sz w:val="24"/>
                <w:szCs w:val="24"/>
                <w:lang w:eastAsia="lv-LV"/>
              </w:rPr>
              <w:t>s līd</w:t>
            </w:r>
            <w:r w:rsidR="00D83C67" w:rsidRPr="00D83C67">
              <w:rPr>
                <w:rFonts w:ascii="Times New Roman" w:hAnsi="Times New Roman" w:cs="Times New Roman"/>
                <w:sz w:val="24"/>
                <w:szCs w:val="24"/>
                <w:lang w:eastAsia="lv-LV"/>
              </w:rPr>
              <w:t>zšinējās Noteikumos Nr.</w:t>
            </w:r>
            <w:r w:rsidR="00937A4F">
              <w:rPr>
                <w:rFonts w:ascii="Times New Roman" w:hAnsi="Times New Roman" w:cs="Times New Roman"/>
                <w:sz w:val="24"/>
                <w:szCs w:val="24"/>
                <w:lang w:eastAsia="lv-LV"/>
              </w:rPr>
              <w:t> </w:t>
            </w:r>
            <w:r w:rsidR="00D83C67" w:rsidRPr="00D83C67">
              <w:rPr>
                <w:rFonts w:ascii="Times New Roman" w:hAnsi="Times New Roman" w:cs="Times New Roman"/>
                <w:sz w:val="24"/>
                <w:szCs w:val="24"/>
                <w:lang w:eastAsia="lv-LV"/>
              </w:rPr>
              <w:t>109 iekļautās</w:t>
            </w:r>
            <w:r w:rsidR="008061DF" w:rsidRPr="00D83C67">
              <w:rPr>
                <w:rFonts w:ascii="Times New Roman" w:hAnsi="Times New Roman" w:cs="Times New Roman"/>
                <w:sz w:val="24"/>
                <w:szCs w:val="24"/>
                <w:lang w:eastAsia="lv-LV"/>
              </w:rPr>
              <w:t xml:space="preserve"> prasības</w:t>
            </w:r>
            <w:r w:rsidRPr="00D83C67">
              <w:rPr>
                <w:rFonts w:ascii="Times New Roman" w:hAnsi="Times New Roman" w:cs="Times New Roman"/>
                <w:sz w:val="24"/>
                <w:szCs w:val="24"/>
                <w:lang w:eastAsia="lv-LV"/>
              </w:rPr>
              <w:t>.</w:t>
            </w:r>
            <w:r w:rsidR="00BA64F9" w:rsidRPr="00D83C67">
              <w:rPr>
                <w:rFonts w:ascii="Times New Roman" w:hAnsi="Times New Roman" w:cs="Times New Roman"/>
                <w:sz w:val="24"/>
                <w:szCs w:val="24"/>
                <w:lang w:eastAsia="lv-LV"/>
              </w:rPr>
              <w:t xml:space="preserve"> </w:t>
            </w:r>
            <w:r w:rsidR="00130793" w:rsidRPr="00895362">
              <w:rPr>
                <w:rFonts w:ascii="Times New Roman" w:hAnsi="Times New Roman" w:cs="Times New Roman"/>
                <w:sz w:val="24"/>
                <w:szCs w:val="24"/>
                <w:lang w:eastAsia="lv-LV"/>
              </w:rPr>
              <w:t>Vienlaikus noteikumu projekts</w:t>
            </w:r>
            <w:r w:rsidR="00717322">
              <w:rPr>
                <w:rFonts w:ascii="Times New Roman" w:hAnsi="Times New Roman" w:cs="Times New Roman"/>
                <w:sz w:val="24"/>
                <w:szCs w:val="24"/>
                <w:lang w:eastAsia="lv-LV"/>
              </w:rPr>
              <w:t xml:space="preserve"> </w:t>
            </w:r>
            <w:r w:rsidR="00130793" w:rsidRPr="00717322">
              <w:rPr>
                <w:rFonts w:ascii="Times New Roman" w:hAnsi="Times New Roman" w:cs="Times New Roman"/>
                <w:sz w:val="24"/>
                <w:szCs w:val="24"/>
                <w:lang w:eastAsia="lv-LV"/>
              </w:rPr>
              <w:t>precizē Noteikumos Nr.</w:t>
            </w:r>
            <w:r w:rsidR="00937A4F" w:rsidRPr="00717322">
              <w:rPr>
                <w:rFonts w:ascii="Times New Roman" w:hAnsi="Times New Roman" w:cs="Times New Roman"/>
                <w:sz w:val="24"/>
                <w:szCs w:val="24"/>
                <w:lang w:eastAsia="lv-LV"/>
              </w:rPr>
              <w:t> </w:t>
            </w:r>
            <w:r w:rsidR="00130793" w:rsidRPr="00717322">
              <w:rPr>
                <w:rFonts w:ascii="Times New Roman" w:hAnsi="Times New Roman" w:cs="Times New Roman"/>
                <w:sz w:val="24"/>
                <w:szCs w:val="24"/>
                <w:lang w:eastAsia="lv-LV"/>
              </w:rPr>
              <w:t xml:space="preserve">109 lietotos terminus </w:t>
            </w:r>
            <w:r w:rsidR="00D53B05" w:rsidRPr="00717322">
              <w:rPr>
                <w:rFonts w:ascii="Times New Roman" w:hAnsi="Times New Roman" w:cs="Times New Roman"/>
                <w:sz w:val="24"/>
                <w:szCs w:val="24"/>
                <w:lang w:eastAsia="lv-LV"/>
              </w:rPr>
              <w:t>"</w:t>
            </w:r>
            <w:r w:rsidR="00130793" w:rsidRPr="00717322">
              <w:rPr>
                <w:rFonts w:ascii="Times New Roman" w:hAnsi="Times New Roman" w:cs="Times New Roman"/>
                <w:sz w:val="24"/>
                <w:szCs w:val="24"/>
                <w:lang w:eastAsia="lv-LV"/>
              </w:rPr>
              <w:t>paralēlās kredītiestāžu sistēmas iestādes</w:t>
            </w:r>
            <w:r w:rsidR="00D53B05" w:rsidRPr="00717322">
              <w:rPr>
                <w:rFonts w:ascii="Times New Roman" w:hAnsi="Times New Roman" w:cs="Times New Roman"/>
                <w:sz w:val="24"/>
                <w:szCs w:val="24"/>
                <w:lang w:eastAsia="lv-LV"/>
              </w:rPr>
              <w:t>"</w:t>
            </w:r>
            <w:r w:rsidR="00130793" w:rsidRPr="00717322">
              <w:rPr>
                <w:rFonts w:ascii="Times New Roman" w:hAnsi="Times New Roman" w:cs="Times New Roman"/>
                <w:sz w:val="24"/>
                <w:szCs w:val="24"/>
                <w:lang w:eastAsia="lv-LV"/>
              </w:rPr>
              <w:t xml:space="preserve"> un </w:t>
            </w:r>
            <w:r w:rsidR="00D53B05" w:rsidRPr="00717322">
              <w:rPr>
                <w:rFonts w:ascii="Times New Roman" w:hAnsi="Times New Roman" w:cs="Times New Roman"/>
                <w:sz w:val="24"/>
                <w:szCs w:val="24"/>
                <w:lang w:eastAsia="lv-LV"/>
              </w:rPr>
              <w:t>"</w:t>
            </w:r>
            <w:proofErr w:type="spellStart"/>
            <w:r w:rsidR="00130793" w:rsidRPr="00717322">
              <w:rPr>
                <w:rFonts w:ascii="Times New Roman" w:hAnsi="Times New Roman" w:cs="Times New Roman"/>
                <w:sz w:val="24"/>
                <w:szCs w:val="24"/>
                <w:lang w:eastAsia="lv-LV"/>
              </w:rPr>
              <w:t>kredītstarpniecības</w:t>
            </w:r>
            <w:proofErr w:type="spellEnd"/>
            <w:r w:rsidR="00130793" w:rsidRPr="00717322">
              <w:rPr>
                <w:rFonts w:ascii="Times New Roman" w:hAnsi="Times New Roman" w:cs="Times New Roman"/>
                <w:sz w:val="24"/>
                <w:szCs w:val="24"/>
                <w:lang w:eastAsia="lv-LV"/>
              </w:rPr>
              <w:t xml:space="preserve"> pakalpojumi</w:t>
            </w:r>
            <w:r w:rsidR="00D53B05" w:rsidRPr="00717322">
              <w:rPr>
                <w:rFonts w:ascii="Times New Roman" w:hAnsi="Times New Roman" w:cs="Times New Roman"/>
                <w:sz w:val="24"/>
                <w:szCs w:val="24"/>
                <w:lang w:eastAsia="lv-LV"/>
              </w:rPr>
              <w:t>"</w:t>
            </w:r>
            <w:r w:rsidR="00130793" w:rsidRPr="00717322">
              <w:rPr>
                <w:rFonts w:ascii="Times New Roman" w:hAnsi="Times New Roman" w:cs="Times New Roman"/>
                <w:sz w:val="24"/>
                <w:szCs w:val="24"/>
                <w:lang w:eastAsia="lv-LV"/>
              </w:rPr>
              <w:t>, ņemot vērā</w:t>
            </w:r>
            <w:r w:rsidR="00EE4CA3">
              <w:rPr>
                <w:rFonts w:ascii="Times New Roman" w:hAnsi="Times New Roman" w:cs="Times New Roman"/>
                <w:sz w:val="24"/>
                <w:szCs w:val="24"/>
                <w:lang w:eastAsia="lv-LV"/>
              </w:rPr>
              <w:t>, ka ir stājusies spēkā</w:t>
            </w:r>
            <w:r w:rsidR="00130793" w:rsidRPr="00717322">
              <w:rPr>
                <w:rFonts w:ascii="Times New Roman" w:hAnsi="Times New Roman" w:cs="Times New Roman"/>
                <w:sz w:val="24"/>
                <w:szCs w:val="24"/>
                <w:lang w:eastAsia="lv-LV"/>
              </w:rPr>
              <w:t xml:space="preserve"> Komisijas 2023.</w:t>
            </w:r>
            <w:r w:rsidR="00937A4F" w:rsidRPr="00717322">
              <w:rPr>
                <w:rFonts w:ascii="Times New Roman" w:hAnsi="Times New Roman" w:cs="Times New Roman"/>
                <w:sz w:val="24"/>
                <w:szCs w:val="24"/>
                <w:lang w:eastAsia="lv-LV"/>
              </w:rPr>
              <w:t> </w:t>
            </w:r>
            <w:r w:rsidR="00130793" w:rsidRPr="00717322">
              <w:rPr>
                <w:rFonts w:ascii="Times New Roman" w:hAnsi="Times New Roman" w:cs="Times New Roman"/>
                <w:sz w:val="24"/>
                <w:szCs w:val="24"/>
                <w:lang w:eastAsia="lv-LV"/>
              </w:rPr>
              <w:t>gada 6.</w:t>
            </w:r>
            <w:r w:rsidR="00937A4F" w:rsidRPr="00717322">
              <w:rPr>
                <w:rFonts w:ascii="Times New Roman" w:hAnsi="Times New Roman" w:cs="Times New Roman"/>
                <w:sz w:val="24"/>
                <w:szCs w:val="24"/>
                <w:lang w:eastAsia="lv-LV"/>
              </w:rPr>
              <w:t> </w:t>
            </w:r>
            <w:r w:rsidR="00130793" w:rsidRPr="00717322">
              <w:rPr>
                <w:rFonts w:ascii="Times New Roman" w:hAnsi="Times New Roman" w:cs="Times New Roman"/>
                <w:sz w:val="24"/>
                <w:szCs w:val="24"/>
                <w:lang w:eastAsia="lv-LV"/>
              </w:rPr>
              <w:t>septembra deleģētā regula (ES)</w:t>
            </w:r>
            <w:r w:rsidR="007933F7" w:rsidRPr="00717322">
              <w:rPr>
                <w:rFonts w:ascii="Times New Roman" w:hAnsi="Times New Roman" w:cs="Times New Roman"/>
                <w:sz w:val="24"/>
                <w:szCs w:val="24"/>
                <w:lang w:eastAsia="lv-LV"/>
              </w:rPr>
              <w:t> </w:t>
            </w:r>
            <w:r w:rsidR="00130793" w:rsidRPr="00717322">
              <w:rPr>
                <w:rFonts w:ascii="Times New Roman" w:hAnsi="Times New Roman" w:cs="Times New Roman"/>
                <w:sz w:val="24"/>
                <w:szCs w:val="24"/>
                <w:lang w:eastAsia="lv-LV"/>
              </w:rPr>
              <w:t xml:space="preserve">2023/2779, ar ko Eiropas Parlamenta un Padomes </w:t>
            </w:r>
            <w:r w:rsidR="00FB56D4" w:rsidRPr="00717322">
              <w:rPr>
                <w:rFonts w:ascii="Times New Roman" w:hAnsi="Times New Roman" w:cs="Times New Roman"/>
                <w:sz w:val="24"/>
                <w:szCs w:val="24"/>
                <w:lang w:eastAsia="lv-LV"/>
              </w:rPr>
              <w:t>r</w:t>
            </w:r>
            <w:r w:rsidR="00130793" w:rsidRPr="00717322">
              <w:rPr>
                <w:rFonts w:ascii="Times New Roman" w:hAnsi="Times New Roman" w:cs="Times New Roman"/>
                <w:sz w:val="24"/>
                <w:szCs w:val="24"/>
                <w:lang w:eastAsia="lv-LV"/>
              </w:rPr>
              <w:t>egulu (ES) Nr.</w:t>
            </w:r>
            <w:r w:rsidR="00937A4F" w:rsidRPr="00717322">
              <w:rPr>
                <w:rFonts w:ascii="Times New Roman" w:hAnsi="Times New Roman" w:cs="Times New Roman"/>
                <w:sz w:val="24"/>
                <w:szCs w:val="24"/>
                <w:lang w:eastAsia="lv-LV"/>
              </w:rPr>
              <w:t> </w:t>
            </w:r>
            <w:r w:rsidR="00130793" w:rsidRPr="00717322">
              <w:rPr>
                <w:rFonts w:ascii="Times New Roman" w:hAnsi="Times New Roman" w:cs="Times New Roman"/>
                <w:sz w:val="24"/>
                <w:szCs w:val="24"/>
                <w:lang w:eastAsia="lv-LV"/>
              </w:rPr>
              <w:t xml:space="preserve">575/2013 papildina attiecībā uz regulatīvajiem tehniskajiem standartiem, ar kuriem precizē kritērijus </w:t>
            </w:r>
            <w:r w:rsidR="00591091" w:rsidRPr="00717322">
              <w:rPr>
                <w:rFonts w:ascii="Times New Roman" w:hAnsi="Times New Roman" w:cs="Times New Roman"/>
                <w:sz w:val="24"/>
                <w:szCs w:val="24"/>
                <w:lang w:eastAsia="lv-LV"/>
              </w:rPr>
              <w:t>r</w:t>
            </w:r>
            <w:r w:rsidR="00130793" w:rsidRPr="00717322">
              <w:rPr>
                <w:rFonts w:ascii="Times New Roman" w:hAnsi="Times New Roman" w:cs="Times New Roman"/>
                <w:sz w:val="24"/>
                <w:szCs w:val="24"/>
                <w:lang w:eastAsia="lv-LV"/>
              </w:rPr>
              <w:t>egulas (ES) Nr.</w:t>
            </w:r>
            <w:r w:rsidR="00937A4F" w:rsidRPr="00717322">
              <w:rPr>
                <w:rFonts w:ascii="Times New Roman" w:hAnsi="Times New Roman" w:cs="Times New Roman"/>
                <w:sz w:val="24"/>
                <w:szCs w:val="24"/>
                <w:lang w:eastAsia="lv-LV"/>
              </w:rPr>
              <w:t> </w:t>
            </w:r>
            <w:r w:rsidR="00130793" w:rsidRPr="00717322">
              <w:rPr>
                <w:rFonts w:ascii="Times New Roman" w:hAnsi="Times New Roman" w:cs="Times New Roman"/>
                <w:sz w:val="24"/>
                <w:szCs w:val="24"/>
                <w:lang w:eastAsia="lv-LV"/>
              </w:rPr>
              <w:t>575/2013 394.</w:t>
            </w:r>
            <w:r w:rsidR="00937A4F" w:rsidRPr="00717322">
              <w:rPr>
                <w:rFonts w:ascii="Times New Roman" w:hAnsi="Times New Roman" w:cs="Times New Roman"/>
                <w:sz w:val="24"/>
                <w:szCs w:val="24"/>
                <w:lang w:eastAsia="lv-LV"/>
              </w:rPr>
              <w:t> </w:t>
            </w:r>
            <w:r w:rsidR="00130793" w:rsidRPr="00717322">
              <w:rPr>
                <w:rFonts w:ascii="Times New Roman" w:hAnsi="Times New Roman" w:cs="Times New Roman"/>
                <w:sz w:val="24"/>
                <w:szCs w:val="24"/>
                <w:lang w:eastAsia="lv-LV"/>
              </w:rPr>
              <w:t>panta 2.</w:t>
            </w:r>
            <w:r w:rsidR="00937A4F" w:rsidRPr="00717322">
              <w:rPr>
                <w:rFonts w:ascii="Times New Roman" w:hAnsi="Times New Roman" w:cs="Times New Roman"/>
                <w:sz w:val="24"/>
                <w:szCs w:val="24"/>
                <w:lang w:eastAsia="lv-LV"/>
              </w:rPr>
              <w:t> </w:t>
            </w:r>
            <w:r w:rsidR="00130793" w:rsidRPr="00717322">
              <w:rPr>
                <w:rFonts w:ascii="Times New Roman" w:hAnsi="Times New Roman" w:cs="Times New Roman"/>
                <w:sz w:val="24"/>
                <w:szCs w:val="24"/>
                <w:lang w:eastAsia="lv-LV"/>
              </w:rPr>
              <w:t>punktā minēto paralēlās banku sistēmas vienību identificēšanai</w:t>
            </w:r>
            <w:r w:rsidR="00EE4CA3">
              <w:rPr>
                <w:rFonts w:ascii="Times New Roman" w:hAnsi="Times New Roman" w:cs="Times New Roman"/>
                <w:sz w:val="24"/>
                <w:szCs w:val="24"/>
                <w:lang w:eastAsia="lv-LV"/>
              </w:rPr>
              <w:t>. Vienlaikus noteikumu projekts</w:t>
            </w:r>
            <w:r w:rsidR="00717322">
              <w:rPr>
                <w:rFonts w:ascii="Times New Roman" w:hAnsi="Times New Roman" w:cs="Times New Roman"/>
                <w:sz w:val="24"/>
                <w:szCs w:val="24"/>
                <w:lang w:eastAsia="lv-LV"/>
              </w:rPr>
              <w:t xml:space="preserve"> </w:t>
            </w:r>
            <w:r w:rsidR="00B431A8" w:rsidRPr="00B431A8">
              <w:rPr>
                <w:rFonts w:ascii="Times New Roman" w:hAnsi="Times New Roman" w:cs="Times New Roman"/>
                <w:sz w:val="24"/>
                <w:szCs w:val="24"/>
                <w:lang w:eastAsia="lv-LV"/>
              </w:rPr>
              <w:t xml:space="preserve">paredz </w:t>
            </w:r>
            <w:r w:rsidR="00592C52">
              <w:rPr>
                <w:rFonts w:ascii="Times New Roman" w:hAnsi="Times New Roman" w:cs="Times New Roman"/>
                <w:sz w:val="24"/>
                <w:szCs w:val="24"/>
                <w:lang w:eastAsia="lv-LV"/>
              </w:rPr>
              <w:t>redakcionālus</w:t>
            </w:r>
            <w:r w:rsidR="00592C52" w:rsidRPr="00B431A8">
              <w:rPr>
                <w:rFonts w:ascii="Times New Roman" w:hAnsi="Times New Roman" w:cs="Times New Roman"/>
                <w:sz w:val="24"/>
                <w:szCs w:val="24"/>
                <w:lang w:eastAsia="lv-LV"/>
              </w:rPr>
              <w:t xml:space="preserve"> </w:t>
            </w:r>
            <w:r w:rsidR="00B431A8" w:rsidRPr="00B431A8">
              <w:rPr>
                <w:rFonts w:ascii="Times New Roman" w:hAnsi="Times New Roman" w:cs="Times New Roman"/>
                <w:sz w:val="24"/>
                <w:szCs w:val="24"/>
                <w:lang w:eastAsia="lv-LV"/>
              </w:rPr>
              <w:t>grozījumus</w:t>
            </w:r>
            <w:r w:rsidR="00592C52">
              <w:rPr>
                <w:rFonts w:ascii="Times New Roman" w:hAnsi="Times New Roman" w:cs="Times New Roman"/>
                <w:sz w:val="24"/>
                <w:szCs w:val="24"/>
                <w:lang w:eastAsia="lv-LV"/>
              </w:rPr>
              <w:t>, kas nemaina pēc būtības Noteikumos Nr. 109 noteiktās prasības</w:t>
            </w:r>
            <w:r w:rsidR="00296CC5">
              <w:rPr>
                <w:rFonts w:ascii="Times New Roman" w:hAnsi="Times New Roman" w:cs="Times New Roman"/>
                <w:sz w:val="24"/>
                <w:szCs w:val="24"/>
                <w:lang w:eastAsia="lv-LV"/>
              </w:rPr>
              <w:t>.</w:t>
            </w:r>
          </w:p>
          <w:p w14:paraId="7CF83B18" w14:textId="5988336F" w:rsidR="000E325F" w:rsidRDefault="0003523B" w:rsidP="0090010A">
            <w:pPr>
              <w:pStyle w:val="ListParagraph"/>
              <w:ind w:left="0"/>
              <w:contextualSpacing w:val="0"/>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 </w:t>
            </w:r>
          </w:p>
          <w:p w14:paraId="4E5E82C0" w14:textId="684E60E1" w:rsidR="00161FB8" w:rsidRDefault="000E325F" w:rsidP="0068380B">
            <w:pPr>
              <w:pStyle w:val="ListParagraph"/>
              <w:ind w:left="0"/>
              <w:contextualSpacing w:val="0"/>
              <w:jc w:val="both"/>
              <w:rPr>
                <w:rFonts w:ascii="Times New Roman" w:eastAsia="Times New Roman" w:hAnsi="Times New Roman" w:cs="Times New Roman"/>
                <w:sz w:val="24"/>
                <w:szCs w:val="24"/>
                <w:shd w:val="clear" w:color="auto" w:fill="FFFFFF"/>
                <w:lang w:eastAsia="lv-LV"/>
              </w:rPr>
            </w:pPr>
            <w:r>
              <w:rPr>
                <w:rFonts w:ascii="Times New Roman" w:hAnsi="Times New Roman" w:cs="Times New Roman"/>
                <w:sz w:val="24"/>
                <w:szCs w:val="24"/>
                <w:lang w:eastAsia="lv-LV"/>
              </w:rPr>
              <w:t>Noteikumu projektā iekļautās prasības kredītiestāde piemēro</w:t>
            </w:r>
            <w:r w:rsidR="006057EE">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tās riska darījumiem ar individuālām paralēlās banku sistēmas vienībām, ja</w:t>
            </w:r>
            <w:r w:rsidR="006057EE">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riska darījumu vērtība,</w:t>
            </w:r>
            <w:r w:rsidR="006057EE">
              <w:rPr>
                <w:rFonts w:ascii="Times New Roman" w:hAnsi="Times New Roman" w:cs="Times New Roman"/>
                <w:sz w:val="24"/>
                <w:szCs w:val="24"/>
                <w:lang w:eastAsia="lv-LV"/>
              </w:rPr>
              <w:t xml:space="preserve"> ņemot vērā kredītriska mazināšanas ietekmi </w:t>
            </w:r>
            <w:r w:rsidR="0037135D">
              <w:rPr>
                <w:rFonts w:ascii="Times New Roman" w:hAnsi="Times New Roman" w:cs="Times New Roman"/>
                <w:sz w:val="24"/>
                <w:szCs w:val="24"/>
                <w:lang w:eastAsia="lv-LV"/>
              </w:rPr>
              <w:t xml:space="preserve">saskaņā ar Regulas Nr. 575/2013 399., </w:t>
            </w:r>
            <w:r w:rsidR="0037135D">
              <w:rPr>
                <w:rFonts w:ascii="Times New Roman" w:hAnsi="Times New Roman" w:cs="Times New Roman"/>
                <w:sz w:val="24"/>
                <w:szCs w:val="24"/>
                <w:lang w:eastAsia="lv-LV"/>
              </w:rPr>
              <w:lastRenderedPageBreak/>
              <w:t xml:space="preserve">401., 402. un 403. pantu </w:t>
            </w:r>
            <w:r w:rsidR="006057EE">
              <w:rPr>
                <w:rFonts w:ascii="Times New Roman" w:eastAsia="Times New Roman" w:hAnsi="Times New Roman" w:cs="Times New Roman"/>
                <w:sz w:val="24"/>
                <w:szCs w:val="24"/>
                <w:shd w:val="clear" w:color="auto" w:fill="FFFFFF"/>
                <w:lang w:eastAsia="lv-LV"/>
              </w:rPr>
              <w:t>u</w:t>
            </w:r>
            <w:r w:rsidRPr="000E325F">
              <w:rPr>
                <w:rFonts w:ascii="Times New Roman" w:eastAsia="Times New Roman" w:hAnsi="Times New Roman" w:cs="Times New Roman"/>
                <w:sz w:val="24"/>
                <w:szCs w:val="24"/>
                <w:shd w:val="clear" w:color="auto" w:fill="FFFFFF"/>
                <w:lang w:eastAsia="lv-LV"/>
              </w:rPr>
              <w:t>n atbrīvojumus</w:t>
            </w:r>
            <w:r w:rsidR="0037135D">
              <w:rPr>
                <w:rFonts w:ascii="Times New Roman" w:eastAsia="Times New Roman" w:hAnsi="Times New Roman" w:cs="Times New Roman"/>
                <w:sz w:val="24"/>
                <w:szCs w:val="24"/>
                <w:shd w:val="clear" w:color="auto" w:fill="FFFFFF"/>
                <w:lang w:eastAsia="lv-LV"/>
              </w:rPr>
              <w:t xml:space="preserve"> saskaņā ar Regulas Nr. 575/2013 400. panta 1. punktu un Latvijas Bankas </w:t>
            </w:r>
            <w:r w:rsidR="0037135D" w:rsidRPr="0037135D">
              <w:rPr>
                <w:rFonts w:ascii="Times New Roman" w:eastAsia="Times New Roman" w:hAnsi="Times New Roman" w:cs="Times New Roman"/>
                <w:sz w:val="24"/>
                <w:szCs w:val="24"/>
                <w:shd w:val="clear" w:color="auto" w:fill="FFFFFF"/>
                <w:lang w:eastAsia="lv-LV"/>
              </w:rPr>
              <w:t>2023.</w:t>
            </w:r>
            <w:r w:rsidR="0037135D">
              <w:rPr>
                <w:rFonts w:ascii="Times New Roman" w:eastAsia="Times New Roman" w:hAnsi="Times New Roman" w:cs="Times New Roman"/>
                <w:sz w:val="24"/>
                <w:szCs w:val="24"/>
                <w:shd w:val="clear" w:color="auto" w:fill="FFFFFF"/>
                <w:lang w:eastAsia="lv-LV"/>
              </w:rPr>
              <w:t> </w:t>
            </w:r>
            <w:r w:rsidR="0037135D" w:rsidRPr="0037135D">
              <w:rPr>
                <w:rFonts w:ascii="Times New Roman" w:eastAsia="Times New Roman" w:hAnsi="Times New Roman" w:cs="Times New Roman"/>
                <w:sz w:val="24"/>
                <w:szCs w:val="24"/>
                <w:shd w:val="clear" w:color="auto" w:fill="FFFFFF"/>
                <w:lang w:eastAsia="lv-LV"/>
              </w:rPr>
              <w:t>gada 18.</w:t>
            </w:r>
            <w:r w:rsidR="0037135D">
              <w:rPr>
                <w:rFonts w:ascii="Times New Roman" w:eastAsia="Times New Roman" w:hAnsi="Times New Roman" w:cs="Times New Roman"/>
                <w:sz w:val="24"/>
                <w:szCs w:val="24"/>
                <w:shd w:val="clear" w:color="auto" w:fill="FFFFFF"/>
                <w:lang w:eastAsia="lv-LV"/>
              </w:rPr>
              <w:t> </w:t>
            </w:r>
            <w:r w:rsidR="0037135D" w:rsidRPr="0037135D">
              <w:rPr>
                <w:rFonts w:ascii="Times New Roman" w:eastAsia="Times New Roman" w:hAnsi="Times New Roman" w:cs="Times New Roman"/>
                <w:sz w:val="24"/>
                <w:szCs w:val="24"/>
                <w:shd w:val="clear" w:color="auto" w:fill="FFFFFF"/>
                <w:lang w:eastAsia="lv-LV"/>
              </w:rPr>
              <w:t>decembr</w:t>
            </w:r>
            <w:r w:rsidR="0037135D">
              <w:rPr>
                <w:rFonts w:ascii="Times New Roman" w:eastAsia="Times New Roman" w:hAnsi="Times New Roman" w:cs="Times New Roman"/>
                <w:sz w:val="24"/>
                <w:szCs w:val="24"/>
                <w:shd w:val="clear" w:color="auto" w:fill="FFFFFF"/>
                <w:lang w:eastAsia="lv-LV"/>
              </w:rPr>
              <w:t>a noteikumu Nr. 266 "</w:t>
            </w:r>
            <w:r w:rsidR="0037135D" w:rsidRPr="0037135D">
              <w:rPr>
                <w:rFonts w:ascii="Times New Roman" w:eastAsia="Times New Roman" w:hAnsi="Times New Roman" w:cs="Times New Roman"/>
                <w:sz w:val="24"/>
                <w:szCs w:val="24"/>
                <w:shd w:val="clear" w:color="auto" w:fill="FFFFFF"/>
                <w:lang w:eastAsia="lv-LV"/>
              </w:rPr>
              <w:t>Noteikumi par tieši piemērojamajos Eiropas Savienības tiesību aktos par prudenciālajām prasībām paredzēto izvēles iespēju piemērošanu</w:t>
            </w:r>
            <w:r w:rsidR="0037135D">
              <w:rPr>
                <w:rFonts w:ascii="Times New Roman" w:eastAsia="Times New Roman" w:hAnsi="Times New Roman" w:cs="Times New Roman"/>
                <w:sz w:val="24"/>
                <w:szCs w:val="24"/>
                <w:shd w:val="clear" w:color="auto" w:fill="FFFFFF"/>
                <w:lang w:eastAsia="lv-LV"/>
              </w:rPr>
              <w:t>" 6. punktu</w:t>
            </w:r>
            <w:r w:rsidRPr="000E325F">
              <w:rPr>
                <w:rFonts w:ascii="Times New Roman" w:eastAsia="Times New Roman" w:hAnsi="Times New Roman" w:cs="Times New Roman"/>
                <w:sz w:val="24"/>
                <w:szCs w:val="24"/>
                <w:shd w:val="clear" w:color="auto" w:fill="FFFFFF"/>
                <w:lang w:eastAsia="lv-LV"/>
              </w:rPr>
              <w:t>, ir vienāda ar 0</w:t>
            </w:r>
            <w:r w:rsidR="00AD106D">
              <w:rPr>
                <w:rFonts w:ascii="Times New Roman" w:eastAsia="Times New Roman" w:hAnsi="Times New Roman" w:cs="Times New Roman"/>
                <w:sz w:val="24"/>
                <w:szCs w:val="24"/>
                <w:shd w:val="clear" w:color="auto" w:fill="FFFFFF"/>
                <w:lang w:eastAsia="lv-LV"/>
              </w:rPr>
              <w:t>.</w:t>
            </w:r>
            <w:r w:rsidRPr="000E325F">
              <w:rPr>
                <w:rFonts w:ascii="Times New Roman" w:eastAsia="Times New Roman" w:hAnsi="Times New Roman" w:cs="Times New Roman"/>
                <w:sz w:val="24"/>
                <w:szCs w:val="24"/>
                <w:shd w:val="clear" w:color="auto" w:fill="FFFFFF"/>
                <w:lang w:eastAsia="lv-LV"/>
              </w:rPr>
              <w:t>25</w:t>
            </w:r>
            <w:r w:rsidR="006057EE">
              <w:rPr>
                <w:rFonts w:ascii="Times New Roman" w:eastAsia="Times New Roman" w:hAnsi="Times New Roman" w:cs="Times New Roman"/>
                <w:sz w:val="24"/>
                <w:szCs w:val="24"/>
                <w:shd w:val="clear" w:color="auto" w:fill="FFFFFF"/>
                <w:lang w:eastAsia="lv-LV"/>
              </w:rPr>
              <w:t> </w:t>
            </w:r>
            <w:r w:rsidRPr="000E325F">
              <w:rPr>
                <w:rFonts w:ascii="Times New Roman" w:eastAsia="Times New Roman" w:hAnsi="Times New Roman" w:cs="Times New Roman"/>
                <w:sz w:val="24"/>
                <w:szCs w:val="24"/>
                <w:shd w:val="clear" w:color="auto" w:fill="FFFFFF"/>
                <w:lang w:eastAsia="lv-LV"/>
              </w:rPr>
              <w:t>procentiem vai pārsniedz 0</w:t>
            </w:r>
            <w:r w:rsidR="00AD106D">
              <w:rPr>
                <w:rFonts w:ascii="Times New Roman" w:eastAsia="Times New Roman" w:hAnsi="Times New Roman" w:cs="Times New Roman"/>
                <w:sz w:val="24"/>
                <w:szCs w:val="24"/>
                <w:shd w:val="clear" w:color="auto" w:fill="FFFFFF"/>
                <w:lang w:eastAsia="lv-LV"/>
              </w:rPr>
              <w:t>.</w:t>
            </w:r>
            <w:r w:rsidRPr="000E325F">
              <w:rPr>
                <w:rFonts w:ascii="Times New Roman" w:eastAsia="Times New Roman" w:hAnsi="Times New Roman" w:cs="Times New Roman"/>
                <w:sz w:val="24"/>
                <w:szCs w:val="24"/>
                <w:shd w:val="clear" w:color="auto" w:fill="FFFFFF"/>
                <w:lang w:eastAsia="lv-LV"/>
              </w:rPr>
              <w:t>25</w:t>
            </w:r>
            <w:r w:rsidR="006057EE">
              <w:rPr>
                <w:rFonts w:ascii="Times New Roman" w:eastAsia="Times New Roman" w:hAnsi="Times New Roman" w:cs="Times New Roman"/>
                <w:sz w:val="24"/>
                <w:szCs w:val="24"/>
                <w:shd w:val="clear" w:color="auto" w:fill="FFFFFF"/>
                <w:lang w:eastAsia="lv-LV"/>
              </w:rPr>
              <w:t> </w:t>
            </w:r>
            <w:r w:rsidRPr="000E325F">
              <w:rPr>
                <w:rFonts w:ascii="Times New Roman" w:eastAsia="Times New Roman" w:hAnsi="Times New Roman" w:cs="Times New Roman"/>
                <w:sz w:val="24"/>
                <w:szCs w:val="24"/>
                <w:shd w:val="clear" w:color="auto" w:fill="FFFFFF"/>
                <w:lang w:eastAsia="lv-LV"/>
              </w:rPr>
              <w:t xml:space="preserve">procentus no </w:t>
            </w:r>
            <w:r w:rsidR="006057EE">
              <w:rPr>
                <w:rFonts w:ascii="Times New Roman" w:eastAsia="Times New Roman" w:hAnsi="Times New Roman" w:cs="Times New Roman"/>
                <w:sz w:val="24"/>
                <w:szCs w:val="24"/>
                <w:shd w:val="clear" w:color="auto" w:fill="FFFFFF"/>
                <w:lang w:eastAsia="lv-LV"/>
              </w:rPr>
              <w:t>kredīt</w:t>
            </w:r>
            <w:r w:rsidRPr="000E325F">
              <w:rPr>
                <w:rFonts w:ascii="Times New Roman" w:eastAsia="Times New Roman" w:hAnsi="Times New Roman" w:cs="Times New Roman"/>
                <w:sz w:val="24"/>
                <w:szCs w:val="24"/>
                <w:shd w:val="clear" w:color="auto" w:fill="FFFFFF"/>
                <w:lang w:eastAsia="lv-LV"/>
              </w:rPr>
              <w:t>iestādes pirmā līmeņa kapitāla.</w:t>
            </w:r>
          </w:p>
          <w:p w14:paraId="07EE9C90" w14:textId="77777777" w:rsidR="006057EE" w:rsidRPr="0003523B" w:rsidRDefault="006057EE" w:rsidP="0068380B">
            <w:pPr>
              <w:pStyle w:val="ListParagraph"/>
              <w:ind w:left="0"/>
              <w:contextualSpacing w:val="0"/>
              <w:jc w:val="both"/>
              <w:rPr>
                <w:rFonts w:ascii="Times New Roman" w:eastAsia="Times New Roman" w:hAnsi="Times New Roman" w:cs="Times New Roman"/>
                <w:sz w:val="24"/>
                <w:szCs w:val="24"/>
                <w:highlight w:val="yellow"/>
                <w:shd w:val="clear" w:color="auto" w:fill="FFFFFF"/>
                <w:lang w:eastAsia="lv-LV"/>
              </w:rPr>
            </w:pPr>
          </w:p>
          <w:p w14:paraId="28D32265" w14:textId="69543A7C" w:rsidR="00161FB8" w:rsidRPr="008B4C29" w:rsidRDefault="00161FB8" w:rsidP="0068380B">
            <w:pPr>
              <w:pStyle w:val="ListParagraph"/>
              <w:ind w:left="0"/>
              <w:contextualSpacing w:val="0"/>
              <w:jc w:val="both"/>
              <w:rPr>
                <w:rFonts w:ascii="Times New Roman" w:hAnsi="Times New Roman" w:cs="Times New Roman"/>
                <w:sz w:val="24"/>
                <w:szCs w:val="24"/>
                <w:highlight w:val="yellow"/>
                <w:shd w:val="clear" w:color="auto" w:fill="FFFFFF"/>
              </w:rPr>
            </w:pPr>
            <w:r w:rsidRPr="00161FB8">
              <w:rPr>
                <w:rFonts w:ascii="Times New Roman" w:hAnsi="Times New Roman" w:cs="Times New Roman"/>
                <w:sz w:val="24"/>
                <w:szCs w:val="24"/>
                <w:shd w:val="clear" w:color="auto" w:fill="FFFFFF"/>
              </w:rPr>
              <w:t>Līdz ar noteikumu projekta stāšanos spēkā spēku zaudēs Noteikumi Nr.</w:t>
            </w:r>
            <w:r>
              <w:rPr>
                <w:rFonts w:ascii="Times New Roman" w:hAnsi="Times New Roman" w:cs="Times New Roman"/>
                <w:sz w:val="24"/>
                <w:szCs w:val="24"/>
                <w:shd w:val="clear" w:color="auto" w:fill="FFFFFF"/>
              </w:rPr>
              <w:t> </w:t>
            </w:r>
            <w:r w:rsidR="00542010" w:rsidRPr="00161FB8">
              <w:rPr>
                <w:rFonts w:ascii="Times New Roman" w:hAnsi="Times New Roman" w:cs="Times New Roman"/>
                <w:sz w:val="24"/>
                <w:szCs w:val="24"/>
                <w:shd w:val="clear" w:color="auto" w:fill="FFFFFF"/>
              </w:rPr>
              <w:t>1</w:t>
            </w:r>
            <w:r w:rsidR="00542010">
              <w:rPr>
                <w:rFonts w:ascii="Times New Roman" w:hAnsi="Times New Roman" w:cs="Times New Roman"/>
                <w:sz w:val="24"/>
                <w:szCs w:val="24"/>
                <w:shd w:val="clear" w:color="auto" w:fill="FFFFFF"/>
              </w:rPr>
              <w:t>09</w:t>
            </w:r>
            <w:r w:rsidRPr="00161FB8">
              <w:rPr>
                <w:rFonts w:ascii="Times New Roman" w:hAnsi="Times New Roman" w:cs="Times New Roman"/>
                <w:sz w:val="24"/>
                <w:szCs w:val="24"/>
                <w:shd w:val="clear" w:color="auto" w:fill="FFFFFF"/>
              </w:rPr>
              <w:t>.</w:t>
            </w:r>
          </w:p>
        </w:tc>
      </w:tr>
      <w:tr w:rsidR="00A61684" w:rsidRPr="00A61684" w14:paraId="7FF36E12" w14:textId="77777777" w:rsidTr="009B620B">
        <w:tc>
          <w:tcPr>
            <w:tcW w:w="1980" w:type="dxa"/>
          </w:tcPr>
          <w:p w14:paraId="1EC190F5" w14:textId="77777777" w:rsidR="001A2F7D" w:rsidRPr="00A202C9" w:rsidRDefault="009E6A95" w:rsidP="00ED3376">
            <w:pPr>
              <w:jc w:val="both"/>
              <w:rPr>
                <w:rFonts w:ascii="Times New Roman" w:hAnsi="Times New Roman" w:cs="Times New Roman"/>
                <w:b/>
                <w:bCs/>
                <w:sz w:val="24"/>
                <w:szCs w:val="24"/>
              </w:rPr>
            </w:pPr>
            <w:r w:rsidRPr="00A202C9">
              <w:rPr>
                <w:rFonts w:ascii="Times New Roman" w:hAnsi="Times New Roman" w:cs="Times New Roman"/>
                <w:b/>
                <w:bCs/>
                <w:sz w:val="24"/>
                <w:szCs w:val="24"/>
              </w:rPr>
              <w:lastRenderedPageBreak/>
              <w:t>Leģitīmais mērķis</w:t>
            </w:r>
          </w:p>
          <w:p w14:paraId="486EBB70" w14:textId="319C36F1" w:rsidR="00851C5D" w:rsidRPr="00331694" w:rsidRDefault="00851C5D" w:rsidP="00494F09">
            <w:pPr>
              <w:jc w:val="both"/>
              <w:rPr>
                <w:rFonts w:ascii="Times New Roman" w:hAnsi="Times New Roman" w:cs="Times New Roman"/>
                <w:sz w:val="24"/>
                <w:szCs w:val="24"/>
              </w:rPr>
            </w:pPr>
          </w:p>
        </w:tc>
        <w:tc>
          <w:tcPr>
            <w:tcW w:w="6379" w:type="dxa"/>
          </w:tcPr>
          <w:p w14:paraId="339B1787" w14:textId="39AF342A" w:rsidR="000B4B85" w:rsidRPr="00E1178C" w:rsidRDefault="001B4534" w:rsidP="00954061">
            <w:pPr>
              <w:jc w:val="both"/>
              <w:rPr>
                <w:rFonts w:ascii="Times New Roman" w:eastAsia="Times New Roman" w:hAnsi="Times New Roman" w:cs="Times New Roman"/>
                <w:sz w:val="24"/>
                <w:szCs w:val="24"/>
                <w:lang w:eastAsia="lv-LV"/>
              </w:rPr>
            </w:pPr>
            <w:r w:rsidRPr="00E1178C">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CA5E56" w14:textId="77777777" w:rsidR="001B4534" w:rsidRPr="00E1178C" w:rsidRDefault="001B4534" w:rsidP="00954061">
            <w:pPr>
              <w:jc w:val="both"/>
              <w:rPr>
                <w:rFonts w:ascii="Times New Roman" w:eastAsia="Times New Roman" w:hAnsi="Times New Roman" w:cs="Times New Roman"/>
                <w:sz w:val="24"/>
                <w:szCs w:val="24"/>
                <w:lang w:eastAsia="lv-LV"/>
              </w:rPr>
            </w:pPr>
          </w:p>
          <w:p w14:paraId="7577196D" w14:textId="20ACABD4" w:rsidR="001B4534" w:rsidRPr="00E1178C" w:rsidRDefault="001B4534" w:rsidP="00954061">
            <w:pPr>
              <w:jc w:val="both"/>
              <w:rPr>
                <w:rFonts w:ascii="Times New Roman" w:eastAsia="Times New Roman" w:hAnsi="Times New Roman" w:cs="Times New Roman"/>
                <w:sz w:val="24"/>
                <w:szCs w:val="24"/>
                <w:lang w:eastAsia="lv-LV"/>
              </w:rPr>
            </w:pPr>
            <w:r w:rsidRPr="00E1178C">
              <w:rPr>
                <w:rFonts w:ascii="Times New Roman" w:eastAsia="Times New Roman" w:hAnsi="Times New Roman" w:cs="Times New Roman"/>
                <w:sz w:val="24"/>
                <w:szCs w:val="24"/>
                <w:lang w:eastAsia="lv-LV"/>
              </w:rPr>
              <w:t>Leģitīmais mērķis – sabiedrības labklājība – tiek sasniegts, nosakot kredītiestādēm</w:t>
            </w:r>
            <w:r w:rsidR="00E1178C" w:rsidRPr="00E1178C">
              <w:rPr>
                <w:rFonts w:ascii="Times New Roman" w:eastAsia="Times New Roman" w:hAnsi="Times New Roman" w:cs="Times New Roman"/>
                <w:sz w:val="24"/>
                <w:szCs w:val="24"/>
                <w:lang w:eastAsia="lv-LV"/>
              </w:rPr>
              <w:t xml:space="preserve"> prasības koncentrācijas riska, kas rodas no riska darījumiem ar paralēlās </w:t>
            </w:r>
            <w:r w:rsidR="00C17300">
              <w:rPr>
                <w:rFonts w:ascii="Times New Roman" w:eastAsia="Times New Roman" w:hAnsi="Times New Roman" w:cs="Times New Roman"/>
                <w:sz w:val="24"/>
                <w:szCs w:val="24"/>
                <w:lang w:eastAsia="lv-LV"/>
              </w:rPr>
              <w:t>banku</w:t>
            </w:r>
            <w:r w:rsidR="00C17300" w:rsidRPr="00E1178C">
              <w:rPr>
                <w:rFonts w:ascii="Times New Roman" w:eastAsia="Times New Roman" w:hAnsi="Times New Roman" w:cs="Times New Roman"/>
                <w:sz w:val="24"/>
                <w:szCs w:val="24"/>
                <w:lang w:eastAsia="lv-LV"/>
              </w:rPr>
              <w:t xml:space="preserve"> </w:t>
            </w:r>
            <w:r w:rsidR="00E1178C" w:rsidRPr="00E1178C">
              <w:rPr>
                <w:rFonts w:ascii="Times New Roman" w:eastAsia="Times New Roman" w:hAnsi="Times New Roman" w:cs="Times New Roman"/>
                <w:sz w:val="24"/>
                <w:szCs w:val="24"/>
                <w:lang w:eastAsia="lv-LV"/>
              </w:rPr>
              <w:t xml:space="preserve">sistēmas </w:t>
            </w:r>
            <w:r w:rsidR="00C17300">
              <w:rPr>
                <w:rFonts w:ascii="Times New Roman" w:eastAsia="Times New Roman" w:hAnsi="Times New Roman" w:cs="Times New Roman"/>
                <w:sz w:val="24"/>
                <w:szCs w:val="24"/>
                <w:lang w:eastAsia="lv-LV"/>
              </w:rPr>
              <w:t>vienībām</w:t>
            </w:r>
            <w:r w:rsidR="00E1178C" w:rsidRPr="00E1178C">
              <w:rPr>
                <w:rFonts w:ascii="Times New Roman" w:eastAsia="Times New Roman" w:hAnsi="Times New Roman" w:cs="Times New Roman"/>
                <w:sz w:val="24"/>
                <w:szCs w:val="24"/>
                <w:lang w:eastAsia="lv-LV"/>
              </w:rPr>
              <w:t xml:space="preserve">, </w:t>
            </w:r>
            <w:r w:rsidR="00592C52" w:rsidRPr="00E1178C">
              <w:rPr>
                <w:rFonts w:ascii="Times New Roman" w:eastAsia="Times New Roman" w:hAnsi="Times New Roman" w:cs="Times New Roman"/>
                <w:sz w:val="24"/>
                <w:szCs w:val="24"/>
                <w:lang w:eastAsia="lv-LV"/>
              </w:rPr>
              <w:t>pārvaldī</w:t>
            </w:r>
            <w:r w:rsidR="00592C52">
              <w:rPr>
                <w:rFonts w:ascii="Times New Roman" w:eastAsia="Times New Roman" w:hAnsi="Times New Roman" w:cs="Times New Roman"/>
                <w:sz w:val="24"/>
                <w:szCs w:val="24"/>
                <w:lang w:eastAsia="lv-LV"/>
              </w:rPr>
              <w:t>b</w:t>
            </w:r>
            <w:r w:rsidR="00592C52" w:rsidRPr="00E1178C">
              <w:rPr>
                <w:rFonts w:ascii="Times New Roman" w:eastAsia="Times New Roman" w:hAnsi="Times New Roman" w:cs="Times New Roman"/>
                <w:sz w:val="24"/>
                <w:szCs w:val="24"/>
                <w:lang w:eastAsia="lv-LV"/>
              </w:rPr>
              <w:t>ai</w:t>
            </w:r>
            <w:r w:rsidR="00E1178C" w:rsidRPr="00E1178C">
              <w:rPr>
                <w:rFonts w:ascii="Times New Roman" w:eastAsia="Times New Roman" w:hAnsi="Times New Roman" w:cs="Times New Roman"/>
                <w:sz w:val="24"/>
                <w:szCs w:val="24"/>
                <w:lang w:eastAsia="lv-LV"/>
              </w:rPr>
              <w:t xml:space="preserve">, tostarp kopējā ierobežojuma un individuālo ierobežojumu noteikšanai </w:t>
            </w:r>
            <w:r w:rsidR="00E1178C" w:rsidRPr="00110603">
              <w:rPr>
                <w:rFonts w:ascii="Times New Roman" w:eastAsia="Times New Roman" w:hAnsi="Times New Roman" w:cs="Times New Roman"/>
                <w:sz w:val="24"/>
                <w:szCs w:val="24"/>
                <w:lang w:eastAsia="lv-LV"/>
              </w:rPr>
              <w:t>riska darījumiem ar</w:t>
            </w:r>
            <w:r w:rsidR="00E1178C" w:rsidRPr="00E1178C">
              <w:rPr>
                <w:rFonts w:ascii="Times New Roman" w:eastAsia="Times New Roman" w:hAnsi="Times New Roman" w:cs="Times New Roman"/>
                <w:sz w:val="24"/>
                <w:szCs w:val="24"/>
                <w:lang w:eastAsia="lv-LV"/>
              </w:rPr>
              <w:t xml:space="preserve"> paralēlās </w:t>
            </w:r>
            <w:r w:rsidR="00C17300">
              <w:rPr>
                <w:rFonts w:ascii="Times New Roman" w:eastAsia="Times New Roman" w:hAnsi="Times New Roman" w:cs="Times New Roman"/>
                <w:sz w:val="24"/>
                <w:szCs w:val="24"/>
                <w:lang w:eastAsia="lv-LV"/>
              </w:rPr>
              <w:t>banku</w:t>
            </w:r>
            <w:r w:rsidR="00C17300" w:rsidRPr="00E1178C">
              <w:rPr>
                <w:rFonts w:ascii="Times New Roman" w:eastAsia="Times New Roman" w:hAnsi="Times New Roman" w:cs="Times New Roman"/>
                <w:sz w:val="24"/>
                <w:szCs w:val="24"/>
                <w:lang w:eastAsia="lv-LV"/>
              </w:rPr>
              <w:t xml:space="preserve"> </w:t>
            </w:r>
            <w:r w:rsidR="00E1178C" w:rsidRPr="00E1178C">
              <w:rPr>
                <w:rFonts w:ascii="Times New Roman" w:eastAsia="Times New Roman" w:hAnsi="Times New Roman" w:cs="Times New Roman"/>
                <w:sz w:val="24"/>
                <w:szCs w:val="24"/>
                <w:lang w:eastAsia="lv-LV"/>
              </w:rPr>
              <w:t xml:space="preserve">sistēmas </w:t>
            </w:r>
            <w:r w:rsidR="00C17300">
              <w:rPr>
                <w:rFonts w:ascii="Times New Roman" w:eastAsia="Times New Roman" w:hAnsi="Times New Roman" w:cs="Times New Roman"/>
                <w:sz w:val="24"/>
                <w:szCs w:val="24"/>
                <w:lang w:eastAsia="lv-LV"/>
              </w:rPr>
              <w:t>vienībām</w:t>
            </w:r>
            <w:r w:rsidR="002B2E47" w:rsidRPr="00E1178C">
              <w:rPr>
                <w:rFonts w:ascii="Times New Roman" w:eastAsia="Times New Roman" w:hAnsi="Times New Roman" w:cs="Times New Roman"/>
                <w:sz w:val="24"/>
                <w:szCs w:val="24"/>
                <w:lang w:eastAsia="lv-LV"/>
              </w:rPr>
              <w:t xml:space="preserve">, </w:t>
            </w:r>
            <w:r w:rsidRPr="00E1178C">
              <w:rPr>
                <w:rFonts w:ascii="Times New Roman" w:eastAsia="Times New Roman" w:hAnsi="Times New Roman" w:cs="Times New Roman"/>
                <w:sz w:val="24"/>
                <w:szCs w:val="24"/>
                <w:lang w:eastAsia="lv-LV"/>
              </w:rPr>
              <w:t>kas veicina finanšu tirgus ilgtspējīgu attīstību un stabilitāti.</w:t>
            </w:r>
          </w:p>
          <w:p w14:paraId="355D6969" w14:textId="77777777" w:rsidR="001B4534" w:rsidRPr="00E1178C" w:rsidRDefault="001B4534" w:rsidP="00954061">
            <w:pPr>
              <w:jc w:val="both"/>
              <w:rPr>
                <w:rFonts w:ascii="Times New Roman" w:eastAsia="Times New Roman" w:hAnsi="Times New Roman" w:cs="Times New Roman"/>
                <w:sz w:val="24"/>
                <w:szCs w:val="24"/>
                <w:lang w:eastAsia="lv-LV"/>
              </w:rPr>
            </w:pPr>
          </w:p>
          <w:p w14:paraId="03198A36" w14:textId="3126D5F3" w:rsidR="001B4534" w:rsidRPr="00E1178C" w:rsidRDefault="001B4534" w:rsidP="00954061">
            <w:pPr>
              <w:jc w:val="both"/>
              <w:rPr>
                <w:rFonts w:ascii="Times New Roman" w:eastAsia="Times New Roman" w:hAnsi="Times New Roman" w:cs="Times New Roman"/>
                <w:sz w:val="24"/>
                <w:szCs w:val="24"/>
                <w:lang w:eastAsia="lv-LV"/>
              </w:rPr>
            </w:pPr>
            <w:r w:rsidRPr="00E1178C">
              <w:rPr>
                <w:rFonts w:ascii="Times New Roman" w:eastAsia="Times New Roman" w:hAnsi="Times New Roman" w:cs="Times New Roman"/>
                <w:sz w:val="24"/>
                <w:szCs w:val="24"/>
                <w:lang w:eastAsia="lv-LV"/>
              </w:rPr>
              <w:t xml:space="preserve">Savukārt leģitīmais </w:t>
            </w:r>
            <w:r w:rsidR="00B40708" w:rsidRPr="00E1178C">
              <w:rPr>
                <w:rFonts w:ascii="Times New Roman" w:eastAsia="Times New Roman" w:hAnsi="Times New Roman" w:cs="Times New Roman"/>
                <w:sz w:val="24"/>
                <w:szCs w:val="24"/>
                <w:lang w:eastAsia="lv-LV"/>
              </w:rPr>
              <w:t>mērķis </w:t>
            </w:r>
            <w:r w:rsidRPr="00E1178C">
              <w:rPr>
                <w:rFonts w:ascii="Times New Roman" w:eastAsia="Times New Roman" w:hAnsi="Times New Roman" w:cs="Times New Roman"/>
                <w:sz w:val="24"/>
                <w:szCs w:val="24"/>
                <w:lang w:eastAsia="lv-LV"/>
              </w:rPr>
              <w:t xml:space="preserve">– citu personu tiesību </w:t>
            </w:r>
            <w:r w:rsidR="00B40708" w:rsidRPr="00E1178C">
              <w:rPr>
                <w:rFonts w:ascii="Times New Roman" w:eastAsia="Times New Roman" w:hAnsi="Times New Roman" w:cs="Times New Roman"/>
                <w:sz w:val="24"/>
                <w:szCs w:val="24"/>
                <w:lang w:eastAsia="lv-LV"/>
              </w:rPr>
              <w:t>aizsardzība </w:t>
            </w:r>
            <w:r w:rsidRPr="00E1178C">
              <w:rPr>
                <w:rFonts w:ascii="Times New Roman" w:eastAsia="Times New Roman" w:hAnsi="Times New Roman" w:cs="Times New Roman"/>
                <w:sz w:val="24"/>
                <w:szCs w:val="24"/>
                <w:lang w:eastAsia="lv-LV"/>
              </w:rPr>
              <w:t>– tiek sasniegts, nodrošinot vienotu finanšu tirgus dalībnieku izpratni un pieeju regulējošo prasību interpretācijai un piemērošanai attiecībā uz</w:t>
            </w:r>
            <w:r w:rsidR="00E1178C" w:rsidRPr="00E1178C">
              <w:rPr>
                <w:rFonts w:ascii="Times New Roman" w:eastAsia="Times New Roman" w:hAnsi="Times New Roman" w:cs="Times New Roman"/>
                <w:sz w:val="24"/>
                <w:szCs w:val="24"/>
                <w:lang w:eastAsia="lv-LV"/>
              </w:rPr>
              <w:t xml:space="preserve"> koncentrācijas riska, kas rodas no riska darījumiem ar paralēlās </w:t>
            </w:r>
            <w:r w:rsidR="00C17300">
              <w:rPr>
                <w:rFonts w:ascii="Times New Roman" w:eastAsia="Times New Roman" w:hAnsi="Times New Roman" w:cs="Times New Roman"/>
                <w:sz w:val="24"/>
                <w:szCs w:val="24"/>
                <w:lang w:eastAsia="lv-LV"/>
              </w:rPr>
              <w:t>banku</w:t>
            </w:r>
            <w:r w:rsidR="00C17300" w:rsidRPr="00E1178C">
              <w:rPr>
                <w:rFonts w:ascii="Times New Roman" w:eastAsia="Times New Roman" w:hAnsi="Times New Roman" w:cs="Times New Roman"/>
                <w:sz w:val="24"/>
                <w:szCs w:val="24"/>
                <w:lang w:eastAsia="lv-LV"/>
              </w:rPr>
              <w:t xml:space="preserve"> </w:t>
            </w:r>
            <w:r w:rsidR="00E1178C" w:rsidRPr="00E1178C">
              <w:rPr>
                <w:rFonts w:ascii="Times New Roman" w:eastAsia="Times New Roman" w:hAnsi="Times New Roman" w:cs="Times New Roman"/>
                <w:sz w:val="24"/>
                <w:szCs w:val="24"/>
                <w:lang w:eastAsia="lv-LV"/>
              </w:rPr>
              <w:t xml:space="preserve">sistēmas </w:t>
            </w:r>
            <w:r w:rsidR="00C17300">
              <w:rPr>
                <w:rFonts w:ascii="Times New Roman" w:eastAsia="Times New Roman" w:hAnsi="Times New Roman" w:cs="Times New Roman"/>
                <w:sz w:val="24"/>
                <w:szCs w:val="24"/>
                <w:lang w:eastAsia="lv-LV"/>
              </w:rPr>
              <w:t>vienībām</w:t>
            </w:r>
            <w:r w:rsidR="00E1178C" w:rsidRPr="00E1178C">
              <w:rPr>
                <w:rFonts w:ascii="Times New Roman" w:eastAsia="Times New Roman" w:hAnsi="Times New Roman" w:cs="Times New Roman"/>
                <w:sz w:val="24"/>
                <w:szCs w:val="24"/>
                <w:lang w:eastAsia="lv-LV"/>
              </w:rPr>
              <w:t xml:space="preserve">, </w:t>
            </w:r>
            <w:r w:rsidR="00592C52" w:rsidRPr="00E1178C">
              <w:rPr>
                <w:rFonts w:ascii="Times New Roman" w:eastAsia="Times New Roman" w:hAnsi="Times New Roman" w:cs="Times New Roman"/>
                <w:sz w:val="24"/>
                <w:szCs w:val="24"/>
                <w:lang w:eastAsia="lv-LV"/>
              </w:rPr>
              <w:t>pārvaldī</w:t>
            </w:r>
            <w:r w:rsidR="00592C52">
              <w:rPr>
                <w:rFonts w:ascii="Times New Roman" w:eastAsia="Times New Roman" w:hAnsi="Times New Roman" w:cs="Times New Roman"/>
                <w:sz w:val="24"/>
                <w:szCs w:val="24"/>
                <w:lang w:eastAsia="lv-LV"/>
              </w:rPr>
              <w:t>b</w:t>
            </w:r>
            <w:r w:rsidR="00C17300">
              <w:rPr>
                <w:rFonts w:ascii="Times New Roman" w:eastAsia="Times New Roman" w:hAnsi="Times New Roman" w:cs="Times New Roman"/>
                <w:sz w:val="24"/>
                <w:szCs w:val="24"/>
                <w:lang w:eastAsia="lv-LV"/>
              </w:rPr>
              <w:t>u</w:t>
            </w:r>
            <w:r w:rsidR="00E1178C" w:rsidRPr="00E1178C">
              <w:rPr>
                <w:rFonts w:ascii="Times New Roman" w:eastAsia="Times New Roman" w:hAnsi="Times New Roman" w:cs="Times New Roman"/>
                <w:sz w:val="24"/>
                <w:szCs w:val="24"/>
                <w:lang w:eastAsia="lv-LV"/>
              </w:rPr>
              <w:t xml:space="preserve">, tostarp kopējā ierobežojuma un individuālo ierobežojumu noteikšanu </w:t>
            </w:r>
            <w:r w:rsidR="00E1178C" w:rsidRPr="00110603">
              <w:rPr>
                <w:rFonts w:ascii="Times New Roman" w:eastAsia="Times New Roman" w:hAnsi="Times New Roman" w:cs="Times New Roman"/>
                <w:sz w:val="24"/>
                <w:szCs w:val="24"/>
                <w:lang w:eastAsia="lv-LV"/>
              </w:rPr>
              <w:t>riska darījumiem</w:t>
            </w:r>
            <w:r w:rsidR="00E1178C" w:rsidRPr="00E1178C">
              <w:rPr>
                <w:rFonts w:ascii="Times New Roman" w:eastAsia="Times New Roman" w:hAnsi="Times New Roman" w:cs="Times New Roman"/>
                <w:sz w:val="24"/>
                <w:szCs w:val="24"/>
                <w:lang w:eastAsia="lv-LV"/>
              </w:rPr>
              <w:t xml:space="preserve"> ar paralēlās </w:t>
            </w:r>
            <w:r w:rsidR="00C17300">
              <w:rPr>
                <w:rFonts w:ascii="Times New Roman" w:eastAsia="Times New Roman" w:hAnsi="Times New Roman" w:cs="Times New Roman"/>
                <w:sz w:val="24"/>
                <w:szCs w:val="24"/>
                <w:lang w:eastAsia="lv-LV"/>
              </w:rPr>
              <w:t>banku</w:t>
            </w:r>
            <w:r w:rsidR="00C17300" w:rsidRPr="00E1178C">
              <w:rPr>
                <w:rFonts w:ascii="Times New Roman" w:eastAsia="Times New Roman" w:hAnsi="Times New Roman" w:cs="Times New Roman"/>
                <w:sz w:val="24"/>
                <w:szCs w:val="24"/>
                <w:lang w:eastAsia="lv-LV"/>
              </w:rPr>
              <w:t xml:space="preserve"> </w:t>
            </w:r>
            <w:r w:rsidR="00E1178C" w:rsidRPr="00E1178C">
              <w:rPr>
                <w:rFonts w:ascii="Times New Roman" w:eastAsia="Times New Roman" w:hAnsi="Times New Roman" w:cs="Times New Roman"/>
                <w:sz w:val="24"/>
                <w:szCs w:val="24"/>
                <w:lang w:eastAsia="lv-LV"/>
              </w:rPr>
              <w:t xml:space="preserve">sistēmas </w:t>
            </w:r>
            <w:r w:rsidR="00C17300">
              <w:rPr>
                <w:rFonts w:ascii="Times New Roman" w:eastAsia="Times New Roman" w:hAnsi="Times New Roman" w:cs="Times New Roman"/>
                <w:sz w:val="24"/>
                <w:szCs w:val="24"/>
                <w:lang w:eastAsia="lv-LV"/>
              </w:rPr>
              <w:t>vienībām</w:t>
            </w:r>
            <w:r w:rsidRPr="00E1178C">
              <w:rPr>
                <w:rFonts w:ascii="Times New Roman" w:eastAsia="Times New Roman" w:hAnsi="Times New Roman" w:cs="Times New Roman"/>
                <w:sz w:val="24"/>
                <w:szCs w:val="24"/>
                <w:lang w:eastAsia="lv-LV"/>
              </w:rPr>
              <w:t>.</w:t>
            </w:r>
          </w:p>
          <w:p w14:paraId="407AFDCD" w14:textId="77777777" w:rsidR="001B4534" w:rsidRPr="00E1178C" w:rsidRDefault="001B4534" w:rsidP="00954061">
            <w:pPr>
              <w:jc w:val="both"/>
              <w:rPr>
                <w:rFonts w:ascii="Times New Roman" w:eastAsia="Times New Roman" w:hAnsi="Times New Roman" w:cs="Times New Roman"/>
                <w:sz w:val="24"/>
                <w:szCs w:val="24"/>
                <w:lang w:eastAsia="lv-LV"/>
              </w:rPr>
            </w:pPr>
          </w:p>
          <w:p w14:paraId="5B199845" w14:textId="69006F89" w:rsidR="009E6A95" w:rsidRPr="00937A4F" w:rsidRDefault="00161FB8" w:rsidP="001B4534">
            <w:pPr>
              <w:jc w:val="both"/>
              <w:rPr>
                <w:rFonts w:ascii="Times New Roman" w:hAnsi="Times New Roman" w:cs="Times New Roman"/>
                <w:sz w:val="24"/>
                <w:szCs w:val="24"/>
              </w:rPr>
            </w:pPr>
            <w:r w:rsidRPr="00E1178C">
              <w:rPr>
                <w:rFonts w:ascii="Times New Roman" w:hAnsi="Times New Roman" w:cs="Times New Roman"/>
                <w:sz w:val="24"/>
                <w:szCs w:val="24"/>
              </w:rPr>
              <w:t>Nosakot finanšu tirgus dalībniekiem prasības un veicot prasību ievērošanas pārbaudes, Latvijas Banka nodrošina tai Latvijas Bankas likumā noteikto pienākumu – veicināt ieguldītāju un noguldītāju interešu aizsardzību un finanšu tirgus ilgtspējīgu attīstību un stabilitāti – izpildi.</w:t>
            </w:r>
          </w:p>
        </w:tc>
      </w:tr>
      <w:tr w:rsidR="00A61684" w:rsidRPr="00A61684" w14:paraId="1F6AF38A" w14:textId="77777777" w:rsidTr="009B620B">
        <w:trPr>
          <w:trHeight w:val="557"/>
        </w:trPr>
        <w:tc>
          <w:tcPr>
            <w:tcW w:w="1980" w:type="dxa"/>
          </w:tcPr>
          <w:p w14:paraId="4BE09150" w14:textId="77777777" w:rsidR="001A2F7D" w:rsidRPr="006525D1" w:rsidRDefault="009E6A95" w:rsidP="001A2F7D">
            <w:pPr>
              <w:jc w:val="both"/>
              <w:rPr>
                <w:rFonts w:ascii="Times New Roman" w:hAnsi="Times New Roman" w:cs="Times New Roman"/>
                <w:b/>
                <w:bCs/>
                <w:sz w:val="24"/>
                <w:szCs w:val="24"/>
              </w:rPr>
            </w:pPr>
            <w:r w:rsidRPr="006525D1">
              <w:rPr>
                <w:rFonts w:ascii="Times New Roman" w:hAnsi="Times New Roman" w:cs="Times New Roman"/>
                <w:b/>
                <w:bCs/>
                <w:sz w:val="24"/>
                <w:szCs w:val="24"/>
              </w:rPr>
              <w:t>Samērīgums</w:t>
            </w:r>
          </w:p>
          <w:p w14:paraId="5B2AC1B8" w14:textId="0CC4E8FB" w:rsidR="009B6162" w:rsidRPr="006525D1" w:rsidRDefault="009B6162" w:rsidP="00741AE8">
            <w:pPr>
              <w:jc w:val="both"/>
              <w:rPr>
                <w:rFonts w:ascii="Times New Roman" w:hAnsi="Times New Roman" w:cs="Times New Roman"/>
                <w:sz w:val="24"/>
                <w:szCs w:val="24"/>
              </w:rPr>
            </w:pPr>
          </w:p>
        </w:tc>
        <w:tc>
          <w:tcPr>
            <w:tcW w:w="6379" w:type="dxa"/>
          </w:tcPr>
          <w:p w14:paraId="6A0C5D1A" w14:textId="70BBCACB" w:rsidR="00851C5D" w:rsidRDefault="00BE3D09" w:rsidP="00DD59EA">
            <w:pPr>
              <w:jc w:val="both"/>
              <w:rPr>
                <w:rFonts w:ascii="Times New Roman" w:hAnsi="Times New Roman" w:cs="Times New Roman"/>
                <w:sz w:val="24"/>
                <w:szCs w:val="24"/>
              </w:rPr>
            </w:pPr>
            <w:r w:rsidRPr="00536901">
              <w:rPr>
                <w:rFonts w:ascii="Times New Roman" w:hAnsi="Times New Roman" w:cs="Times New Roman"/>
                <w:sz w:val="24"/>
                <w:szCs w:val="24"/>
              </w:rPr>
              <w:t xml:space="preserve">Nosakot </w:t>
            </w:r>
            <w:r w:rsidR="00536901" w:rsidRPr="00536901">
              <w:rPr>
                <w:rFonts w:ascii="Times New Roman" w:hAnsi="Times New Roman" w:cs="Times New Roman"/>
                <w:sz w:val="24"/>
                <w:szCs w:val="24"/>
              </w:rPr>
              <w:t xml:space="preserve">vienotas prasības </w:t>
            </w:r>
            <w:r w:rsidR="00536901" w:rsidRPr="003B17E3">
              <w:rPr>
                <w:rFonts w:ascii="Times New Roman" w:hAnsi="Times New Roman" w:cs="Times New Roman"/>
                <w:sz w:val="24"/>
                <w:szCs w:val="24"/>
              </w:rPr>
              <w:t xml:space="preserve">koncentrācijas riska, kas rodas no riska darījumiem ar paralēlās </w:t>
            </w:r>
            <w:r w:rsidR="00C17300" w:rsidRPr="00272819">
              <w:rPr>
                <w:rFonts w:ascii="Times New Roman" w:hAnsi="Times New Roman" w:cs="Times New Roman"/>
                <w:sz w:val="24"/>
                <w:szCs w:val="24"/>
              </w:rPr>
              <w:t>banku</w:t>
            </w:r>
            <w:r w:rsidR="00C17300" w:rsidRPr="003B17E3">
              <w:rPr>
                <w:rFonts w:ascii="Times New Roman" w:hAnsi="Times New Roman" w:cs="Times New Roman"/>
                <w:sz w:val="24"/>
                <w:szCs w:val="24"/>
              </w:rPr>
              <w:t xml:space="preserve"> </w:t>
            </w:r>
            <w:r w:rsidR="00536901" w:rsidRPr="003B17E3">
              <w:rPr>
                <w:rFonts w:ascii="Times New Roman" w:hAnsi="Times New Roman" w:cs="Times New Roman"/>
                <w:sz w:val="24"/>
                <w:szCs w:val="24"/>
              </w:rPr>
              <w:t xml:space="preserve">sistēmas </w:t>
            </w:r>
            <w:r w:rsidR="00C17300" w:rsidRPr="00272819">
              <w:rPr>
                <w:rFonts w:ascii="Times New Roman" w:hAnsi="Times New Roman" w:cs="Times New Roman"/>
                <w:sz w:val="24"/>
                <w:szCs w:val="24"/>
              </w:rPr>
              <w:t>vienībām</w:t>
            </w:r>
            <w:r w:rsidR="00536901" w:rsidRPr="003B17E3">
              <w:rPr>
                <w:rFonts w:ascii="Times New Roman" w:hAnsi="Times New Roman" w:cs="Times New Roman"/>
                <w:sz w:val="24"/>
                <w:szCs w:val="24"/>
              </w:rPr>
              <w:t xml:space="preserve">, </w:t>
            </w:r>
            <w:r w:rsidR="00C17300" w:rsidRPr="003B17E3">
              <w:rPr>
                <w:rFonts w:ascii="Times New Roman" w:hAnsi="Times New Roman" w:cs="Times New Roman"/>
                <w:sz w:val="24"/>
                <w:szCs w:val="24"/>
              </w:rPr>
              <w:t>pārvaldī</w:t>
            </w:r>
            <w:r w:rsidR="00C17300" w:rsidRPr="00272819">
              <w:rPr>
                <w:rFonts w:ascii="Times New Roman" w:hAnsi="Times New Roman" w:cs="Times New Roman"/>
                <w:sz w:val="24"/>
                <w:szCs w:val="24"/>
              </w:rPr>
              <w:t>b</w:t>
            </w:r>
            <w:r w:rsidR="00C17300" w:rsidRPr="003B17E3">
              <w:rPr>
                <w:rFonts w:ascii="Times New Roman" w:hAnsi="Times New Roman" w:cs="Times New Roman"/>
                <w:sz w:val="24"/>
                <w:szCs w:val="24"/>
              </w:rPr>
              <w:t>ai</w:t>
            </w:r>
            <w:r w:rsidR="00536901" w:rsidRPr="003B17E3">
              <w:rPr>
                <w:rFonts w:ascii="Times New Roman" w:hAnsi="Times New Roman" w:cs="Times New Roman"/>
                <w:sz w:val="24"/>
                <w:szCs w:val="24"/>
              </w:rPr>
              <w:t xml:space="preserve">, tostarp kopējā ierobežojuma un individuālo ierobežojumu noteikšanai riska darījumiem ar paralēlās </w:t>
            </w:r>
            <w:r w:rsidR="00C17300" w:rsidRPr="00272819">
              <w:rPr>
                <w:rFonts w:ascii="Times New Roman" w:hAnsi="Times New Roman" w:cs="Times New Roman"/>
                <w:sz w:val="24"/>
                <w:szCs w:val="24"/>
              </w:rPr>
              <w:t>banku</w:t>
            </w:r>
            <w:r w:rsidR="00C17300" w:rsidRPr="003B17E3">
              <w:rPr>
                <w:rFonts w:ascii="Times New Roman" w:hAnsi="Times New Roman" w:cs="Times New Roman"/>
                <w:sz w:val="24"/>
                <w:szCs w:val="24"/>
              </w:rPr>
              <w:t xml:space="preserve"> </w:t>
            </w:r>
            <w:r w:rsidR="00536901" w:rsidRPr="003B17E3">
              <w:rPr>
                <w:rFonts w:ascii="Times New Roman" w:hAnsi="Times New Roman" w:cs="Times New Roman"/>
                <w:sz w:val="24"/>
                <w:szCs w:val="24"/>
              </w:rPr>
              <w:t xml:space="preserve">sistēmas </w:t>
            </w:r>
            <w:r w:rsidR="00C17300" w:rsidRPr="003B17E3">
              <w:rPr>
                <w:rFonts w:ascii="Times New Roman" w:hAnsi="Times New Roman" w:cs="Times New Roman"/>
                <w:sz w:val="24"/>
                <w:szCs w:val="24"/>
              </w:rPr>
              <w:t>vienībām</w:t>
            </w:r>
            <w:r w:rsidRPr="003B17E3">
              <w:rPr>
                <w:rFonts w:ascii="Times New Roman" w:hAnsi="Times New Roman" w:cs="Times New Roman"/>
                <w:sz w:val="24"/>
                <w:szCs w:val="24"/>
              </w:rPr>
              <w:t>, tiek nodrošināta vienota finanšu tirgus dalībnieku izpratne un pieeja regulējošo</w:t>
            </w:r>
            <w:r w:rsidRPr="00536901">
              <w:rPr>
                <w:rFonts w:ascii="Times New Roman" w:hAnsi="Times New Roman" w:cs="Times New Roman"/>
                <w:sz w:val="24"/>
                <w:szCs w:val="24"/>
              </w:rPr>
              <w:t xml:space="preserve"> prasību interpretācijai un piemērošanai.</w:t>
            </w:r>
          </w:p>
          <w:p w14:paraId="1EDAD784" w14:textId="77777777" w:rsidR="00DF769D" w:rsidRDefault="00DF769D" w:rsidP="00DD59EA">
            <w:pPr>
              <w:jc w:val="both"/>
              <w:rPr>
                <w:rFonts w:ascii="Times New Roman" w:hAnsi="Times New Roman" w:cs="Times New Roman"/>
                <w:sz w:val="24"/>
                <w:szCs w:val="24"/>
              </w:rPr>
            </w:pPr>
          </w:p>
          <w:p w14:paraId="46EBB24B" w14:textId="60BABCD0" w:rsidR="008C18C8" w:rsidRPr="00536901" w:rsidRDefault="008C18C8" w:rsidP="008C18C8">
            <w:pPr>
              <w:jc w:val="both"/>
              <w:rPr>
                <w:rFonts w:ascii="Times New Roman" w:hAnsi="Times New Roman" w:cs="Times New Roman"/>
                <w:sz w:val="24"/>
                <w:szCs w:val="24"/>
              </w:rPr>
            </w:pPr>
            <w:r w:rsidRPr="00536901">
              <w:rPr>
                <w:rFonts w:ascii="Times New Roman" w:hAnsi="Times New Roman" w:cs="Times New Roman"/>
                <w:sz w:val="24"/>
                <w:szCs w:val="24"/>
              </w:rPr>
              <w:t>Tiesību norma atbilst samērīguma principam, jo:</w:t>
            </w:r>
          </w:p>
          <w:p w14:paraId="5B23AF67" w14:textId="0E474AD7" w:rsidR="008C18C8" w:rsidRPr="003B17E3" w:rsidRDefault="008C18C8" w:rsidP="008C18C8">
            <w:pPr>
              <w:jc w:val="both"/>
              <w:rPr>
                <w:rFonts w:ascii="Times New Roman" w:hAnsi="Times New Roman" w:cs="Times New Roman"/>
                <w:sz w:val="24"/>
                <w:szCs w:val="24"/>
              </w:rPr>
            </w:pPr>
            <w:r w:rsidRPr="00536901">
              <w:rPr>
                <w:rFonts w:ascii="Times New Roman" w:hAnsi="Times New Roman" w:cs="Times New Roman"/>
                <w:sz w:val="24"/>
                <w:szCs w:val="24"/>
              </w:rPr>
              <w:t>1) ar noteikumu projekta ieviešanu tiek sasniegts leģitīmais mērķis – citu personu tiesību aizsardzība un sabiedrības labklājības nodrošināšana, t.</w:t>
            </w:r>
            <w:r w:rsidR="007933F7">
              <w:rPr>
                <w:rFonts w:ascii="Times New Roman" w:hAnsi="Times New Roman" w:cs="Times New Roman"/>
                <w:sz w:val="24"/>
                <w:szCs w:val="24"/>
              </w:rPr>
              <w:t> </w:t>
            </w:r>
            <w:r w:rsidRPr="00536901">
              <w:rPr>
                <w:rFonts w:ascii="Times New Roman" w:hAnsi="Times New Roman" w:cs="Times New Roman"/>
                <w:sz w:val="24"/>
                <w:szCs w:val="24"/>
              </w:rPr>
              <w:t xml:space="preserve">i., </w:t>
            </w:r>
            <w:r w:rsidR="00536901" w:rsidRPr="00536901">
              <w:rPr>
                <w:rFonts w:ascii="Times New Roman" w:hAnsi="Times New Roman" w:cs="Times New Roman"/>
                <w:sz w:val="24"/>
                <w:szCs w:val="24"/>
              </w:rPr>
              <w:t xml:space="preserve">vienotas prasības </w:t>
            </w:r>
            <w:r w:rsidR="00536901" w:rsidRPr="003B17E3">
              <w:rPr>
                <w:rFonts w:ascii="Times New Roman" w:hAnsi="Times New Roman" w:cs="Times New Roman"/>
                <w:sz w:val="24"/>
                <w:szCs w:val="24"/>
              </w:rPr>
              <w:t xml:space="preserve">koncentrācijas riska, kas rodas no riska darījumiem ar paralēlās </w:t>
            </w:r>
            <w:r w:rsidR="00C17300" w:rsidRPr="00272819">
              <w:rPr>
                <w:rFonts w:ascii="Times New Roman" w:hAnsi="Times New Roman" w:cs="Times New Roman"/>
                <w:sz w:val="24"/>
                <w:szCs w:val="24"/>
              </w:rPr>
              <w:t>banku</w:t>
            </w:r>
            <w:r w:rsidR="00C17300" w:rsidRPr="003B17E3">
              <w:rPr>
                <w:rFonts w:ascii="Times New Roman" w:hAnsi="Times New Roman" w:cs="Times New Roman"/>
                <w:sz w:val="24"/>
                <w:szCs w:val="24"/>
              </w:rPr>
              <w:t xml:space="preserve"> </w:t>
            </w:r>
            <w:r w:rsidR="00536901" w:rsidRPr="003B17E3">
              <w:rPr>
                <w:rFonts w:ascii="Times New Roman" w:hAnsi="Times New Roman" w:cs="Times New Roman"/>
                <w:sz w:val="24"/>
                <w:szCs w:val="24"/>
              </w:rPr>
              <w:t xml:space="preserve">sistēmas </w:t>
            </w:r>
            <w:r w:rsidR="00C17300" w:rsidRPr="00272819">
              <w:rPr>
                <w:rFonts w:ascii="Times New Roman" w:hAnsi="Times New Roman" w:cs="Times New Roman"/>
                <w:sz w:val="24"/>
                <w:szCs w:val="24"/>
              </w:rPr>
              <w:t>vienībām</w:t>
            </w:r>
            <w:r w:rsidR="00536901" w:rsidRPr="003B17E3">
              <w:rPr>
                <w:rFonts w:ascii="Times New Roman" w:hAnsi="Times New Roman" w:cs="Times New Roman"/>
                <w:sz w:val="24"/>
                <w:szCs w:val="24"/>
              </w:rPr>
              <w:t xml:space="preserve">, </w:t>
            </w:r>
            <w:r w:rsidR="00C17300" w:rsidRPr="003B17E3">
              <w:rPr>
                <w:rFonts w:ascii="Times New Roman" w:hAnsi="Times New Roman" w:cs="Times New Roman"/>
                <w:sz w:val="24"/>
                <w:szCs w:val="24"/>
              </w:rPr>
              <w:t>pārvaldī</w:t>
            </w:r>
            <w:r w:rsidR="00C17300" w:rsidRPr="00272819">
              <w:rPr>
                <w:rFonts w:ascii="Times New Roman" w:hAnsi="Times New Roman" w:cs="Times New Roman"/>
                <w:sz w:val="24"/>
                <w:szCs w:val="24"/>
              </w:rPr>
              <w:t>b</w:t>
            </w:r>
            <w:r w:rsidR="00C17300" w:rsidRPr="003B17E3">
              <w:rPr>
                <w:rFonts w:ascii="Times New Roman" w:hAnsi="Times New Roman" w:cs="Times New Roman"/>
                <w:sz w:val="24"/>
                <w:szCs w:val="24"/>
              </w:rPr>
              <w:t>ai</w:t>
            </w:r>
            <w:r w:rsidR="00536901" w:rsidRPr="003B17E3">
              <w:rPr>
                <w:rFonts w:ascii="Times New Roman" w:hAnsi="Times New Roman" w:cs="Times New Roman"/>
                <w:sz w:val="24"/>
                <w:szCs w:val="24"/>
              </w:rPr>
              <w:t xml:space="preserve">, tostarp kopējā ierobežojuma un </w:t>
            </w:r>
            <w:r w:rsidR="00536901" w:rsidRPr="003B17E3">
              <w:rPr>
                <w:rFonts w:ascii="Times New Roman" w:hAnsi="Times New Roman" w:cs="Times New Roman"/>
                <w:sz w:val="24"/>
                <w:szCs w:val="24"/>
              </w:rPr>
              <w:lastRenderedPageBreak/>
              <w:t xml:space="preserve">individuālo ierobežojumu noteikšanai riska darījumiem ar paralēlās </w:t>
            </w:r>
            <w:r w:rsidR="00C17300" w:rsidRPr="00272819">
              <w:rPr>
                <w:rFonts w:ascii="Times New Roman" w:hAnsi="Times New Roman" w:cs="Times New Roman"/>
                <w:sz w:val="24"/>
                <w:szCs w:val="24"/>
              </w:rPr>
              <w:t>banku</w:t>
            </w:r>
            <w:r w:rsidR="00C17300" w:rsidRPr="003B17E3">
              <w:rPr>
                <w:rFonts w:ascii="Times New Roman" w:hAnsi="Times New Roman" w:cs="Times New Roman"/>
                <w:sz w:val="24"/>
                <w:szCs w:val="24"/>
              </w:rPr>
              <w:t xml:space="preserve"> </w:t>
            </w:r>
            <w:r w:rsidR="00536901" w:rsidRPr="003B17E3">
              <w:rPr>
                <w:rFonts w:ascii="Times New Roman" w:hAnsi="Times New Roman" w:cs="Times New Roman"/>
                <w:sz w:val="24"/>
                <w:szCs w:val="24"/>
              </w:rPr>
              <w:t xml:space="preserve">sistēmas </w:t>
            </w:r>
            <w:r w:rsidR="00C17300" w:rsidRPr="003B17E3">
              <w:rPr>
                <w:rFonts w:ascii="Times New Roman" w:hAnsi="Times New Roman" w:cs="Times New Roman"/>
                <w:sz w:val="24"/>
                <w:szCs w:val="24"/>
              </w:rPr>
              <w:t>vienībām</w:t>
            </w:r>
            <w:r w:rsidRPr="003B17E3">
              <w:rPr>
                <w:rFonts w:ascii="Times New Roman" w:hAnsi="Times New Roman" w:cs="Times New Roman"/>
                <w:sz w:val="24"/>
                <w:szCs w:val="24"/>
              </w:rPr>
              <w:t>;</w:t>
            </w:r>
          </w:p>
          <w:p w14:paraId="7D96E7E9" w14:textId="4A5C0426" w:rsidR="008C18C8" w:rsidRPr="00536901" w:rsidRDefault="008C18C8" w:rsidP="008C18C8">
            <w:pPr>
              <w:jc w:val="both"/>
              <w:rPr>
                <w:rFonts w:ascii="Times New Roman" w:hAnsi="Times New Roman" w:cs="Times New Roman"/>
                <w:sz w:val="24"/>
                <w:szCs w:val="24"/>
              </w:rPr>
            </w:pPr>
            <w:r w:rsidRPr="003B17E3">
              <w:rPr>
                <w:rFonts w:ascii="Times New Roman" w:hAnsi="Times New Roman" w:cs="Times New Roman"/>
                <w:sz w:val="24"/>
                <w:szCs w:val="24"/>
              </w:rPr>
              <w:t xml:space="preserve">2) atbilstošākais veids, kā noteikt finanšu tirgus dalībniekiem </w:t>
            </w:r>
            <w:r w:rsidR="00135993" w:rsidRPr="003B17E3">
              <w:rPr>
                <w:rFonts w:ascii="Times New Roman" w:hAnsi="Times New Roman" w:cs="Times New Roman"/>
                <w:sz w:val="24"/>
                <w:szCs w:val="24"/>
              </w:rPr>
              <w:t xml:space="preserve">vienotas prasības </w:t>
            </w:r>
            <w:r w:rsidR="00536901" w:rsidRPr="003B17E3">
              <w:rPr>
                <w:rFonts w:ascii="Times New Roman" w:hAnsi="Times New Roman" w:cs="Times New Roman"/>
                <w:sz w:val="24"/>
                <w:szCs w:val="24"/>
              </w:rPr>
              <w:t xml:space="preserve">koncentrācijas riska, kas rodas no riska darījumiem ar paralēlās </w:t>
            </w:r>
            <w:r w:rsidR="00C17300" w:rsidRPr="00272819">
              <w:rPr>
                <w:rFonts w:ascii="Times New Roman" w:hAnsi="Times New Roman" w:cs="Times New Roman"/>
                <w:sz w:val="24"/>
                <w:szCs w:val="24"/>
              </w:rPr>
              <w:t>banku</w:t>
            </w:r>
            <w:r w:rsidR="00C17300" w:rsidRPr="003B17E3">
              <w:rPr>
                <w:rFonts w:ascii="Times New Roman" w:hAnsi="Times New Roman" w:cs="Times New Roman"/>
                <w:sz w:val="24"/>
                <w:szCs w:val="24"/>
              </w:rPr>
              <w:t xml:space="preserve"> </w:t>
            </w:r>
            <w:r w:rsidR="00536901" w:rsidRPr="003B17E3">
              <w:rPr>
                <w:rFonts w:ascii="Times New Roman" w:hAnsi="Times New Roman" w:cs="Times New Roman"/>
                <w:sz w:val="24"/>
                <w:szCs w:val="24"/>
              </w:rPr>
              <w:t xml:space="preserve">sistēmas </w:t>
            </w:r>
            <w:r w:rsidR="00C17300" w:rsidRPr="00272819">
              <w:rPr>
                <w:rFonts w:ascii="Times New Roman" w:hAnsi="Times New Roman" w:cs="Times New Roman"/>
                <w:sz w:val="24"/>
                <w:szCs w:val="24"/>
              </w:rPr>
              <w:t>vienībām</w:t>
            </w:r>
            <w:r w:rsidR="00536901" w:rsidRPr="003B17E3">
              <w:rPr>
                <w:rFonts w:ascii="Times New Roman" w:hAnsi="Times New Roman" w:cs="Times New Roman"/>
                <w:sz w:val="24"/>
                <w:szCs w:val="24"/>
              </w:rPr>
              <w:t xml:space="preserve">, </w:t>
            </w:r>
            <w:r w:rsidR="00C17300" w:rsidRPr="003B17E3">
              <w:rPr>
                <w:rFonts w:ascii="Times New Roman" w:hAnsi="Times New Roman" w:cs="Times New Roman"/>
                <w:sz w:val="24"/>
                <w:szCs w:val="24"/>
              </w:rPr>
              <w:t>pārvaldī</w:t>
            </w:r>
            <w:r w:rsidR="00C17300" w:rsidRPr="00272819">
              <w:rPr>
                <w:rFonts w:ascii="Times New Roman" w:hAnsi="Times New Roman" w:cs="Times New Roman"/>
                <w:sz w:val="24"/>
                <w:szCs w:val="24"/>
              </w:rPr>
              <w:t>b</w:t>
            </w:r>
            <w:r w:rsidR="00C17300" w:rsidRPr="003B17E3">
              <w:rPr>
                <w:rFonts w:ascii="Times New Roman" w:hAnsi="Times New Roman" w:cs="Times New Roman"/>
                <w:sz w:val="24"/>
                <w:szCs w:val="24"/>
              </w:rPr>
              <w:t>ai</w:t>
            </w:r>
            <w:r w:rsidR="00536901" w:rsidRPr="003B17E3">
              <w:rPr>
                <w:rFonts w:ascii="Times New Roman" w:hAnsi="Times New Roman" w:cs="Times New Roman"/>
                <w:sz w:val="24"/>
                <w:szCs w:val="24"/>
              </w:rPr>
              <w:t xml:space="preserve">, tostarp kopējā ierobežojuma un individuālo ierobežojumu noteikšanai riska darījumiem ar paralēlās </w:t>
            </w:r>
            <w:r w:rsidR="00C17300" w:rsidRPr="00272819">
              <w:rPr>
                <w:rFonts w:ascii="Times New Roman" w:hAnsi="Times New Roman" w:cs="Times New Roman"/>
                <w:sz w:val="24"/>
                <w:szCs w:val="24"/>
              </w:rPr>
              <w:t>banku</w:t>
            </w:r>
            <w:r w:rsidR="00C17300" w:rsidRPr="003B17E3">
              <w:rPr>
                <w:rFonts w:ascii="Times New Roman" w:hAnsi="Times New Roman" w:cs="Times New Roman"/>
                <w:sz w:val="24"/>
                <w:szCs w:val="24"/>
              </w:rPr>
              <w:t xml:space="preserve"> </w:t>
            </w:r>
            <w:r w:rsidR="00536901" w:rsidRPr="003B17E3">
              <w:rPr>
                <w:rFonts w:ascii="Times New Roman" w:hAnsi="Times New Roman" w:cs="Times New Roman"/>
                <w:sz w:val="24"/>
                <w:szCs w:val="24"/>
              </w:rPr>
              <w:t xml:space="preserve">sistēmas </w:t>
            </w:r>
            <w:r w:rsidR="00C17300" w:rsidRPr="003B17E3">
              <w:rPr>
                <w:rFonts w:ascii="Times New Roman" w:hAnsi="Times New Roman" w:cs="Times New Roman"/>
                <w:sz w:val="24"/>
                <w:szCs w:val="24"/>
              </w:rPr>
              <w:t>vienībām</w:t>
            </w:r>
            <w:r w:rsidRPr="003B17E3">
              <w:rPr>
                <w:rFonts w:ascii="Times New Roman" w:hAnsi="Times New Roman" w:cs="Times New Roman"/>
                <w:sz w:val="24"/>
                <w:szCs w:val="24"/>
              </w:rPr>
              <w:t>, ir izdot finanšu tirgus dalībniekiem saistošus</w:t>
            </w:r>
            <w:r w:rsidRPr="00536901">
              <w:rPr>
                <w:rFonts w:ascii="Times New Roman" w:hAnsi="Times New Roman" w:cs="Times New Roman"/>
                <w:sz w:val="24"/>
                <w:szCs w:val="24"/>
              </w:rPr>
              <w:t xml:space="preserve"> noteikumus. Citas alternatīvas jautājuma noregulēšanai un vienotu prasību noteikšanai nebūtu efektīvas un nesasniegtu izvirzīto mērķi, jo nenodrošinātu minēto prasību vienveidīgu</w:t>
            </w:r>
            <w:r w:rsidR="003B17E3">
              <w:rPr>
                <w:rFonts w:ascii="Times New Roman" w:hAnsi="Times New Roman" w:cs="Times New Roman"/>
                <w:sz w:val="24"/>
                <w:szCs w:val="24"/>
              </w:rPr>
              <w:t>, vienotu un precīzu</w:t>
            </w:r>
            <w:r w:rsidRPr="00536901">
              <w:rPr>
                <w:rFonts w:ascii="Times New Roman" w:hAnsi="Times New Roman" w:cs="Times New Roman"/>
                <w:sz w:val="24"/>
                <w:szCs w:val="24"/>
              </w:rPr>
              <w:t xml:space="preserve"> piemērošanu</w:t>
            </w:r>
            <w:r w:rsidR="003B17E3">
              <w:rPr>
                <w:rFonts w:ascii="Times New Roman" w:hAnsi="Times New Roman" w:cs="Times New Roman"/>
                <w:sz w:val="24"/>
                <w:szCs w:val="24"/>
              </w:rPr>
              <w:t>, kas savukārt atstātu negatīvu ietekmi uz finanšu tirgus stabilitāti un finanšu tirgus dalībnieku darbības kvalitāti</w:t>
            </w:r>
            <w:r w:rsidRPr="00536901">
              <w:rPr>
                <w:rFonts w:ascii="Times New Roman" w:hAnsi="Times New Roman" w:cs="Times New Roman"/>
                <w:sz w:val="24"/>
                <w:szCs w:val="24"/>
              </w:rPr>
              <w:t>.</w:t>
            </w:r>
          </w:p>
          <w:p w14:paraId="128C5661" w14:textId="77777777" w:rsidR="00BE3D09" w:rsidRPr="00536901" w:rsidRDefault="00BE3D09" w:rsidP="00DD59EA">
            <w:pPr>
              <w:jc w:val="both"/>
              <w:rPr>
                <w:rFonts w:ascii="Times New Roman" w:hAnsi="Times New Roman" w:cs="Times New Roman"/>
                <w:sz w:val="24"/>
                <w:szCs w:val="24"/>
              </w:rPr>
            </w:pPr>
          </w:p>
          <w:p w14:paraId="222D0D5A" w14:textId="755AAB35" w:rsidR="00BE3D09" w:rsidRPr="00536901" w:rsidRDefault="00BE3D09" w:rsidP="00BE3D09">
            <w:pPr>
              <w:jc w:val="both"/>
              <w:rPr>
                <w:rFonts w:ascii="Times New Roman" w:hAnsi="Times New Roman" w:cs="Times New Roman"/>
                <w:sz w:val="24"/>
                <w:szCs w:val="24"/>
              </w:rPr>
            </w:pPr>
            <w:r w:rsidRPr="00536901">
              <w:rPr>
                <w:rFonts w:ascii="Times New Roman" w:hAnsi="Times New Roman" w:cs="Times New Roman"/>
                <w:sz w:val="24"/>
                <w:szCs w:val="24"/>
              </w:rPr>
              <w:t xml:space="preserve">Izraugoties piemērotāko līdzekli leģitīmā mērķa sasniegšanai, Latvijas Banka izvērtēja, ka nebūtu atbilstoši izdot, piemēram, zemāka ranga normatīvos aktus, kuri nebūtu finanšu tirgus dalībniekam juridiski saistoši. Turklāt </w:t>
            </w:r>
            <w:r w:rsidR="00FB56D4">
              <w:rPr>
                <w:rFonts w:ascii="Times New Roman" w:hAnsi="Times New Roman" w:cs="Times New Roman"/>
                <w:sz w:val="24"/>
                <w:szCs w:val="24"/>
              </w:rPr>
              <w:t>n</w:t>
            </w:r>
            <w:r w:rsidR="008C18C8" w:rsidRPr="00536901">
              <w:rPr>
                <w:rFonts w:ascii="Times New Roman" w:hAnsi="Times New Roman" w:cs="Times New Roman"/>
                <w:sz w:val="24"/>
                <w:szCs w:val="24"/>
              </w:rPr>
              <w:t xml:space="preserve">oteikumu </w:t>
            </w:r>
            <w:r w:rsidRPr="00536901">
              <w:rPr>
                <w:rFonts w:ascii="Times New Roman" w:hAnsi="Times New Roman" w:cs="Times New Roman"/>
                <w:sz w:val="24"/>
                <w:szCs w:val="24"/>
              </w:rPr>
              <w:t xml:space="preserve">projekta izstrādi pilnvarojošās normas skaidri norāda uz noteikumu izstrādi. Vienlaikus ar </w:t>
            </w:r>
            <w:r w:rsidR="00F57A0E" w:rsidRPr="00536901">
              <w:rPr>
                <w:rFonts w:ascii="Times New Roman" w:hAnsi="Times New Roman" w:cs="Times New Roman"/>
                <w:sz w:val="24"/>
                <w:szCs w:val="24"/>
              </w:rPr>
              <w:t>n</w:t>
            </w:r>
            <w:r w:rsidRPr="00536901">
              <w:rPr>
                <w:rFonts w:ascii="Times New Roman" w:hAnsi="Times New Roman" w:cs="Times New Roman"/>
                <w:sz w:val="24"/>
                <w:szCs w:val="24"/>
              </w:rPr>
              <w:t>oteikumu projektu tiek noteiktas prasības, kuras Latvijas Banka uzraudzības ietvaros var konkrēti kontrolēt un nepieciešamības gadījumā par konkrētu prasību pārkāpumu piemērot finanšu tirgus dalībniekam korektīvos pasākumus vai sankcijas.</w:t>
            </w:r>
          </w:p>
          <w:p w14:paraId="573843CE" w14:textId="77777777" w:rsidR="008C18C8" w:rsidRPr="00536901" w:rsidRDefault="008C18C8" w:rsidP="00BE3D09">
            <w:pPr>
              <w:jc w:val="both"/>
              <w:rPr>
                <w:rFonts w:ascii="Times New Roman" w:hAnsi="Times New Roman" w:cs="Times New Roman"/>
                <w:sz w:val="24"/>
                <w:szCs w:val="24"/>
              </w:rPr>
            </w:pPr>
          </w:p>
          <w:p w14:paraId="12569A52" w14:textId="07B467D4" w:rsidR="003604DF" w:rsidRPr="00937A4F" w:rsidRDefault="00BE3D09" w:rsidP="00BE3D09">
            <w:pPr>
              <w:jc w:val="both"/>
              <w:rPr>
                <w:rFonts w:ascii="Times New Roman" w:hAnsi="Times New Roman" w:cs="Times New Roman"/>
                <w:sz w:val="24"/>
                <w:szCs w:val="24"/>
              </w:rPr>
            </w:pPr>
            <w:r w:rsidRPr="00536901">
              <w:rPr>
                <w:rFonts w:ascii="Times New Roman" w:hAnsi="Times New Roman" w:cs="Times New Roman"/>
                <w:sz w:val="24"/>
                <w:szCs w:val="24"/>
              </w:rPr>
              <w:t xml:space="preserve">Ņemot vērā iepriekš minētos apstākļus, sabiedrības ieguvums būs lielāks par papildu slogu un resursu ieguldījumu, kas konkrētajam finanšu tirgus dalībniekam varētu rasties ar uzliktajiem pienākumiem, un tos atsver sagaidāmie ilgtermiņa ieguvumi no </w:t>
            </w:r>
            <w:r w:rsidRPr="003B17E3">
              <w:rPr>
                <w:rFonts w:ascii="Times New Roman" w:hAnsi="Times New Roman" w:cs="Times New Roman"/>
                <w:sz w:val="24"/>
                <w:szCs w:val="24"/>
              </w:rPr>
              <w:t xml:space="preserve">vienotas pieejas attiecībā uz </w:t>
            </w:r>
            <w:r w:rsidR="00536901" w:rsidRPr="003B17E3">
              <w:rPr>
                <w:rFonts w:ascii="Times New Roman" w:hAnsi="Times New Roman" w:cs="Times New Roman"/>
                <w:sz w:val="24"/>
                <w:szCs w:val="24"/>
              </w:rPr>
              <w:t xml:space="preserve">riska </w:t>
            </w:r>
            <w:r w:rsidR="003B17E3" w:rsidRPr="003B17E3">
              <w:rPr>
                <w:rFonts w:ascii="Times New Roman" w:hAnsi="Times New Roman" w:cs="Times New Roman"/>
                <w:sz w:val="24"/>
                <w:szCs w:val="24"/>
              </w:rPr>
              <w:t>darījum</w:t>
            </w:r>
            <w:r w:rsidR="003B17E3">
              <w:rPr>
                <w:rFonts w:ascii="Times New Roman" w:hAnsi="Times New Roman" w:cs="Times New Roman"/>
                <w:sz w:val="24"/>
                <w:szCs w:val="24"/>
              </w:rPr>
              <w:t>u</w:t>
            </w:r>
            <w:r w:rsidR="003B17E3" w:rsidRPr="003B17E3">
              <w:rPr>
                <w:rFonts w:ascii="Times New Roman" w:hAnsi="Times New Roman" w:cs="Times New Roman"/>
                <w:sz w:val="24"/>
                <w:szCs w:val="24"/>
              </w:rPr>
              <w:t xml:space="preserve"> </w:t>
            </w:r>
            <w:r w:rsidR="00536901" w:rsidRPr="003B17E3">
              <w:rPr>
                <w:rFonts w:ascii="Times New Roman" w:hAnsi="Times New Roman" w:cs="Times New Roman"/>
                <w:sz w:val="24"/>
                <w:szCs w:val="24"/>
              </w:rPr>
              <w:t xml:space="preserve">ar paralēlās </w:t>
            </w:r>
            <w:r w:rsidR="003B17E3">
              <w:rPr>
                <w:rFonts w:ascii="Times New Roman" w:hAnsi="Times New Roman" w:cs="Times New Roman"/>
                <w:sz w:val="24"/>
                <w:szCs w:val="24"/>
              </w:rPr>
              <w:t>banku</w:t>
            </w:r>
            <w:r w:rsidR="003B17E3" w:rsidRPr="003B17E3">
              <w:rPr>
                <w:rFonts w:ascii="Times New Roman" w:hAnsi="Times New Roman" w:cs="Times New Roman"/>
                <w:sz w:val="24"/>
                <w:szCs w:val="24"/>
              </w:rPr>
              <w:t xml:space="preserve"> </w:t>
            </w:r>
            <w:r w:rsidR="00536901" w:rsidRPr="003B17E3">
              <w:rPr>
                <w:rFonts w:ascii="Times New Roman" w:hAnsi="Times New Roman" w:cs="Times New Roman"/>
                <w:sz w:val="24"/>
                <w:szCs w:val="24"/>
              </w:rPr>
              <w:t xml:space="preserve">sistēmas </w:t>
            </w:r>
            <w:r w:rsidR="003B17E3">
              <w:rPr>
                <w:rFonts w:ascii="Times New Roman" w:hAnsi="Times New Roman" w:cs="Times New Roman"/>
                <w:sz w:val="24"/>
                <w:szCs w:val="24"/>
              </w:rPr>
              <w:t>vienībām ierobežošan</w:t>
            </w:r>
            <w:r w:rsidR="00AD106D">
              <w:rPr>
                <w:rFonts w:ascii="Times New Roman" w:hAnsi="Times New Roman" w:cs="Times New Roman"/>
                <w:sz w:val="24"/>
                <w:szCs w:val="24"/>
              </w:rPr>
              <w:t>u</w:t>
            </w:r>
            <w:r w:rsidR="003B17E3">
              <w:rPr>
                <w:rFonts w:ascii="Times New Roman" w:hAnsi="Times New Roman" w:cs="Times New Roman"/>
                <w:sz w:val="24"/>
                <w:szCs w:val="24"/>
              </w:rPr>
              <w:t xml:space="preserve"> </w:t>
            </w:r>
            <w:r w:rsidR="008F759A" w:rsidRPr="00536901">
              <w:rPr>
                <w:rFonts w:ascii="Times New Roman" w:hAnsi="Times New Roman" w:cs="Times New Roman"/>
                <w:sz w:val="24"/>
                <w:szCs w:val="24"/>
              </w:rPr>
              <w:t xml:space="preserve">un </w:t>
            </w:r>
            <w:r w:rsidRPr="00536901">
              <w:rPr>
                <w:rFonts w:ascii="Times New Roman" w:hAnsi="Times New Roman" w:cs="Times New Roman"/>
                <w:sz w:val="24"/>
                <w:szCs w:val="24"/>
              </w:rPr>
              <w:t>līdz ar to arī no stabilāka finanšu sektora.</w:t>
            </w:r>
          </w:p>
        </w:tc>
      </w:tr>
      <w:tr w:rsidR="00A61684" w:rsidRPr="00A61684" w14:paraId="73006DC9" w14:textId="77777777" w:rsidTr="009B620B">
        <w:tc>
          <w:tcPr>
            <w:tcW w:w="1980" w:type="dxa"/>
          </w:tcPr>
          <w:p w14:paraId="57036A8D" w14:textId="75F5C14E" w:rsidR="00ED3376" w:rsidRPr="00A202C9" w:rsidRDefault="009E6A95"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lastRenderedPageBreak/>
              <w:t>Spēkā stāšanās</w:t>
            </w:r>
          </w:p>
        </w:tc>
        <w:tc>
          <w:tcPr>
            <w:tcW w:w="6379" w:type="dxa"/>
          </w:tcPr>
          <w:p w14:paraId="3E581DA1" w14:textId="77777777" w:rsidR="00D83C67" w:rsidRPr="00D83C67" w:rsidRDefault="00D83C67" w:rsidP="00D83C67">
            <w:pPr>
              <w:jc w:val="both"/>
              <w:rPr>
                <w:rFonts w:ascii="Times New Roman" w:hAnsi="Times New Roman" w:cs="Times New Roman"/>
                <w:sz w:val="24"/>
                <w:szCs w:val="24"/>
              </w:rPr>
            </w:pPr>
            <w:r w:rsidRPr="00D83C67">
              <w:rPr>
                <w:rFonts w:ascii="Times New Roman" w:hAnsi="Times New Roman" w:cs="Times New Roman"/>
                <w:sz w:val="24"/>
                <w:szCs w:val="24"/>
              </w:rPr>
              <w:t>Nākamajā dienā pēc publicēšanas oficiālajā izdevumā "Latvijas</w:t>
            </w:r>
          </w:p>
          <w:p w14:paraId="391B9A6F" w14:textId="320C0773" w:rsidR="00D34E4F" w:rsidRPr="00D83C67" w:rsidRDefault="00D83C67" w:rsidP="00D83C67">
            <w:pPr>
              <w:jc w:val="both"/>
              <w:rPr>
                <w:rFonts w:ascii="Times New Roman" w:hAnsi="Times New Roman" w:cs="Times New Roman"/>
                <w:sz w:val="24"/>
                <w:szCs w:val="24"/>
              </w:rPr>
            </w:pPr>
            <w:r w:rsidRPr="00D83C67">
              <w:rPr>
                <w:rFonts w:ascii="Times New Roman" w:hAnsi="Times New Roman" w:cs="Times New Roman"/>
                <w:sz w:val="24"/>
                <w:szCs w:val="24"/>
              </w:rPr>
              <w:t>Vēstnesis".</w:t>
            </w:r>
          </w:p>
        </w:tc>
      </w:tr>
      <w:tr w:rsidR="00A61684" w:rsidRPr="00A61684" w14:paraId="3E1DDE9F" w14:textId="77777777" w:rsidTr="009B620B">
        <w:tc>
          <w:tcPr>
            <w:tcW w:w="1980" w:type="dxa"/>
          </w:tcPr>
          <w:p w14:paraId="5FBEDEFD" w14:textId="3E1395CD" w:rsidR="00ED3376" w:rsidRPr="00A202C9" w:rsidRDefault="009E6A95" w:rsidP="00D53B05">
            <w:pPr>
              <w:rPr>
                <w:rFonts w:ascii="Times New Roman" w:hAnsi="Times New Roman" w:cs="Times New Roman"/>
                <w:b/>
                <w:bCs/>
                <w:sz w:val="24"/>
                <w:szCs w:val="24"/>
              </w:rPr>
            </w:pPr>
            <w:r w:rsidRPr="00A202C9">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710686" w:rsidRDefault="00952874" w:rsidP="00CB2ED4">
            <w:pPr>
              <w:jc w:val="both"/>
              <w:rPr>
                <w:rFonts w:ascii="Times New Roman" w:hAnsi="Times New Roman" w:cs="Times New Roman"/>
                <w:sz w:val="24"/>
                <w:szCs w:val="24"/>
              </w:rPr>
            </w:pPr>
            <w:r w:rsidRPr="00710686">
              <w:rPr>
                <w:rFonts w:ascii="Times New Roman" w:hAnsi="Times New Roman" w:cs="Times New Roman"/>
                <w:sz w:val="24"/>
                <w:szCs w:val="24"/>
              </w:rPr>
              <w:t>Noteikumu izdošana nerada ietekmi uz Latvijas Bankas budžetu.</w:t>
            </w:r>
          </w:p>
        </w:tc>
      </w:tr>
      <w:tr w:rsidR="00A61684" w:rsidRPr="00A61684" w14:paraId="4266A97A" w14:textId="77777777" w:rsidTr="009B620B">
        <w:tc>
          <w:tcPr>
            <w:tcW w:w="1980" w:type="dxa"/>
          </w:tcPr>
          <w:p w14:paraId="2C58F0AD" w14:textId="47E8C03B" w:rsidR="001A2F7D" w:rsidRPr="002963A3" w:rsidRDefault="0099611F"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Administratīvā sloga un izmaksu novērtējums (tirgus dalībniekiem)</w:t>
            </w:r>
          </w:p>
        </w:tc>
        <w:tc>
          <w:tcPr>
            <w:tcW w:w="6379" w:type="dxa"/>
          </w:tcPr>
          <w:p w14:paraId="6BFCFA78" w14:textId="77777777" w:rsidR="00D83C67" w:rsidRPr="00D83C67" w:rsidRDefault="00D83C67" w:rsidP="00D83C67">
            <w:pPr>
              <w:jc w:val="both"/>
              <w:rPr>
                <w:rFonts w:ascii="Times New Roman" w:hAnsi="Times New Roman" w:cs="Times New Roman"/>
                <w:sz w:val="24"/>
                <w:szCs w:val="24"/>
                <w:lang w:eastAsia="lv-LV"/>
              </w:rPr>
            </w:pPr>
            <w:r w:rsidRPr="00D83C67">
              <w:rPr>
                <w:rFonts w:ascii="Times New Roman" w:hAnsi="Times New Roman" w:cs="Times New Roman"/>
                <w:sz w:val="24"/>
                <w:szCs w:val="24"/>
                <w:lang w:eastAsia="lv-LV"/>
              </w:rPr>
              <w:t>Ar noteikumu projektu netiek radīts jauns administratīvais slogs</w:t>
            </w:r>
          </w:p>
          <w:p w14:paraId="6B15E7B3" w14:textId="2E4CCEE5" w:rsidR="00EF2B72" w:rsidRPr="00D83C67" w:rsidRDefault="00D83C67" w:rsidP="008051E4">
            <w:pPr>
              <w:jc w:val="both"/>
              <w:rPr>
                <w:rFonts w:ascii="Times New Roman" w:hAnsi="Times New Roman" w:cs="Times New Roman"/>
                <w:sz w:val="24"/>
                <w:szCs w:val="24"/>
                <w:lang w:eastAsia="lv-LV"/>
              </w:rPr>
            </w:pPr>
            <w:r w:rsidRPr="00D83C67">
              <w:rPr>
                <w:rFonts w:ascii="Times New Roman" w:hAnsi="Times New Roman" w:cs="Times New Roman"/>
                <w:sz w:val="24"/>
                <w:szCs w:val="24"/>
                <w:lang w:eastAsia="lv-LV"/>
              </w:rPr>
              <w:t>vai administratīvās izmaksas tirgus dalībniekiem, jo a</w:t>
            </w:r>
            <w:r w:rsidR="00A23583" w:rsidRPr="00D83C67">
              <w:rPr>
                <w:rFonts w:ascii="Times New Roman" w:hAnsi="Times New Roman" w:cs="Times New Roman"/>
                <w:sz w:val="24"/>
                <w:szCs w:val="24"/>
                <w:lang w:eastAsia="lv-LV"/>
              </w:rPr>
              <w:t xml:space="preserve">r noteikumu projektu </w:t>
            </w:r>
            <w:r w:rsidR="003876A6" w:rsidRPr="00D83C67">
              <w:rPr>
                <w:rFonts w:ascii="Times New Roman" w:hAnsi="Times New Roman" w:cs="Times New Roman"/>
                <w:sz w:val="24"/>
                <w:szCs w:val="24"/>
                <w:lang w:eastAsia="lv-LV"/>
              </w:rPr>
              <w:t xml:space="preserve">netiek </w:t>
            </w:r>
            <w:r w:rsidR="00CF1BA0" w:rsidRPr="00D83C67">
              <w:rPr>
                <w:rFonts w:ascii="Times New Roman" w:hAnsi="Times New Roman" w:cs="Times New Roman"/>
                <w:sz w:val="24"/>
                <w:szCs w:val="24"/>
                <w:lang w:eastAsia="lv-LV"/>
              </w:rPr>
              <w:t>ieviesta</w:t>
            </w:r>
            <w:r w:rsidRPr="00D83C67">
              <w:rPr>
                <w:rFonts w:ascii="Times New Roman" w:hAnsi="Times New Roman" w:cs="Times New Roman"/>
                <w:sz w:val="24"/>
                <w:szCs w:val="24"/>
                <w:lang w:eastAsia="lv-LV"/>
              </w:rPr>
              <w:t>s</w:t>
            </w:r>
            <w:r w:rsidR="00CF1BA0" w:rsidRPr="00D83C67">
              <w:rPr>
                <w:rFonts w:ascii="Times New Roman" w:hAnsi="Times New Roman" w:cs="Times New Roman"/>
                <w:sz w:val="24"/>
                <w:szCs w:val="24"/>
                <w:lang w:eastAsia="lv-LV"/>
              </w:rPr>
              <w:t xml:space="preserve"> jauna</w:t>
            </w:r>
            <w:r w:rsidRPr="00D83C67">
              <w:rPr>
                <w:rFonts w:ascii="Times New Roman" w:hAnsi="Times New Roman" w:cs="Times New Roman"/>
                <w:sz w:val="24"/>
                <w:szCs w:val="24"/>
                <w:lang w:eastAsia="lv-LV"/>
              </w:rPr>
              <w:t>s</w:t>
            </w:r>
            <w:r w:rsidR="00CF1BA0" w:rsidRPr="00D83C67">
              <w:rPr>
                <w:rFonts w:ascii="Times New Roman" w:hAnsi="Times New Roman" w:cs="Times New Roman"/>
                <w:sz w:val="24"/>
                <w:szCs w:val="24"/>
                <w:lang w:eastAsia="lv-LV"/>
              </w:rPr>
              <w:t xml:space="preserve"> </w:t>
            </w:r>
            <w:r w:rsidRPr="00D83C67">
              <w:rPr>
                <w:rFonts w:ascii="Times New Roman" w:hAnsi="Times New Roman" w:cs="Times New Roman"/>
                <w:sz w:val="24"/>
                <w:szCs w:val="24"/>
                <w:lang w:eastAsia="lv-LV"/>
              </w:rPr>
              <w:t xml:space="preserve">prasības </w:t>
            </w:r>
            <w:r w:rsidRPr="008F428D">
              <w:rPr>
                <w:rFonts w:ascii="Times New Roman" w:hAnsi="Times New Roman" w:cs="Times New Roman"/>
                <w:sz w:val="24"/>
                <w:szCs w:val="24"/>
                <w:lang w:eastAsia="lv-LV"/>
              </w:rPr>
              <w:t xml:space="preserve">koncentrācijas riska, kas rodas no riska darījumiem ar paralēlās </w:t>
            </w:r>
            <w:r w:rsidR="006D15E0" w:rsidRPr="008F428D">
              <w:rPr>
                <w:rFonts w:ascii="Times New Roman" w:hAnsi="Times New Roman" w:cs="Times New Roman"/>
                <w:sz w:val="24"/>
                <w:szCs w:val="24"/>
                <w:lang w:eastAsia="lv-LV"/>
              </w:rPr>
              <w:t xml:space="preserve">banku </w:t>
            </w:r>
            <w:r w:rsidRPr="008F428D">
              <w:rPr>
                <w:rFonts w:ascii="Times New Roman" w:hAnsi="Times New Roman" w:cs="Times New Roman"/>
                <w:sz w:val="24"/>
                <w:szCs w:val="24"/>
                <w:lang w:eastAsia="lv-LV"/>
              </w:rPr>
              <w:t xml:space="preserve">sistēmas </w:t>
            </w:r>
            <w:r w:rsidR="006D15E0" w:rsidRPr="008F428D">
              <w:rPr>
                <w:rFonts w:ascii="Times New Roman" w:hAnsi="Times New Roman" w:cs="Times New Roman"/>
                <w:sz w:val="24"/>
                <w:szCs w:val="24"/>
                <w:lang w:eastAsia="lv-LV"/>
              </w:rPr>
              <w:t>vienībām</w:t>
            </w:r>
            <w:r w:rsidRPr="008F428D">
              <w:rPr>
                <w:rFonts w:ascii="Times New Roman" w:hAnsi="Times New Roman" w:cs="Times New Roman"/>
                <w:sz w:val="24"/>
                <w:szCs w:val="24"/>
                <w:lang w:eastAsia="lv-LV"/>
              </w:rPr>
              <w:t xml:space="preserve">, </w:t>
            </w:r>
            <w:r w:rsidR="006D15E0" w:rsidRPr="008F428D">
              <w:rPr>
                <w:rFonts w:ascii="Times New Roman" w:hAnsi="Times New Roman" w:cs="Times New Roman"/>
                <w:sz w:val="24"/>
                <w:szCs w:val="24"/>
                <w:lang w:eastAsia="lv-LV"/>
              </w:rPr>
              <w:t>pārvaldīb</w:t>
            </w:r>
            <w:r w:rsidR="00EE4CA3">
              <w:rPr>
                <w:rFonts w:ascii="Times New Roman" w:hAnsi="Times New Roman" w:cs="Times New Roman"/>
                <w:sz w:val="24"/>
                <w:szCs w:val="24"/>
                <w:lang w:eastAsia="lv-LV"/>
              </w:rPr>
              <w:t>ai</w:t>
            </w:r>
            <w:r w:rsidRPr="008F428D">
              <w:rPr>
                <w:rFonts w:ascii="Times New Roman" w:hAnsi="Times New Roman" w:cs="Times New Roman"/>
                <w:sz w:val="24"/>
                <w:szCs w:val="24"/>
                <w:lang w:eastAsia="lv-LV"/>
              </w:rPr>
              <w:t>, tostarp kopējā ierobežojuma un individuālo ierobežojumu noteikšan</w:t>
            </w:r>
            <w:r w:rsidR="00EE4CA3">
              <w:rPr>
                <w:rFonts w:ascii="Times New Roman" w:hAnsi="Times New Roman" w:cs="Times New Roman"/>
                <w:sz w:val="24"/>
                <w:szCs w:val="24"/>
                <w:lang w:eastAsia="lv-LV"/>
              </w:rPr>
              <w:t>ai</w:t>
            </w:r>
            <w:r w:rsidRPr="008F428D">
              <w:rPr>
                <w:rFonts w:ascii="Times New Roman" w:hAnsi="Times New Roman" w:cs="Times New Roman"/>
                <w:sz w:val="24"/>
                <w:szCs w:val="24"/>
                <w:lang w:eastAsia="lv-LV"/>
              </w:rPr>
              <w:t xml:space="preserve"> riska darījumiem ar paralēlās </w:t>
            </w:r>
            <w:r w:rsidR="006D15E0" w:rsidRPr="008F428D">
              <w:rPr>
                <w:rFonts w:ascii="Times New Roman" w:hAnsi="Times New Roman" w:cs="Times New Roman"/>
                <w:sz w:val="24"/>
                <w:szCs w:val="24"/>
                <w:lang w:eastAsia="lv-LV"/>
              </w:rPr>
              <w:t xml:space="preserve">banku </w:t>
            </w:r>
            <w:r w:rsidRPr="008F428D">
              <w:rPr>
                <w:rFonts w:ascii="Times New Roman" w:hAnsi="Times New Roman" w:cs="Times New Roman"/>
                <w:sz w:val="24"/>
                <w:szCs w:val="24"/>
                <w:lang w:eastAsia="lv-LV"/>
              </w:rPr>
              <w:t xml:space="preserve">sistēmas </w:t>
            </w:r>
            <w:r w:rsidR="006D15E0" w:rsidRPr="008F428D">
              <w:rPr>
                <w:rFonts w:ascii="Times New Roman" w:hAnsi="Times New Roman" w:cs="Times New Roman"/>
                <w:sz w:val="24"/>
                <w:szCs w:val="24"/>
                <w:lang w:eastAsia="lv-LV"/>
              </w:rPr>
              <w:t>vienībām</w:t>
            </w:r>
            <w:r w:rsidR="006525D1" w:rsidRPr="00D83C67">
              <w:rPr>
                <w:rFonts w:ascii="Times New Roman" w:hAnsi="Times New Roman" w:cs="Times New Roman"/>
                <w:sz w:val="24"/>
                <w:szCs w:val="24"/>
                <w:lang w:eastAsia="lv-LV"/>
              </w:rPr>
              <w:t xml:space="preserve">, </w:t>
            </w:r>
            <w:r w:rsidRPr="00D83C67">
              <w:rPr>
                <w:rFonts w:ascii="Times New Roman" w:hAnsi="Times New Roman" w:cs="Times New Roman"/>
                <w:sz w:val="24"/>
                <w:szCs w:val="24"/>
                <w:lang w:eastAsia="lv-LV"/>
              </w:rPr>
              <w:t>t.</w:t>
            </w:r>
            <w:r w:rsidR="00D23F5F">
              <w:rPr>
                <w:rFonts w:ascii="Times New Roman" w:hAnsi="Times New Roman" w:cs="Times New Roman"/>
                <w:sz w:val="24"/>
                <w:szCs w:val="24"/>
                <w:lang w:eastAsia="lv-LV"/>
              </w:rPr>
              <w:t> </w:t>
            </w:r>
            <w:r w:rsidRPr="00D83C67">
              <w:rPr>
                <w:rFonts w:ascii="Times New Roman" w:hAnsi="Times New Roman" w:cs="Times New Roman"/>
                <w:sz w:val="24"/>
                <w:szCs w:val="24"/>
                <w:lang w:eastAsia="lv-LV"/>
              </w:rPr>
              <w:t xml:space="preserve">i., </w:t>
            </w:r>
            <w:r w:rsidR="006525D1" w:rsidRPr="00D83C67">
              <w:rPr>
                <w:rFonts w:ascii="Times New Roman" w:hAnsi="Times New Roman" w:cs="Times New Roman"/>
                <w:sz w:val="24"/>
                <w:szCs w:val="24"/>
                <w:lang w:eastAsia="lv-LV"/>
              </w:rPr>
              <w:t>tiek saglabāta</w:t>
            </w:r>
            <w:r w:rsidRPr="00D83C67">
              <w:rPr>
                <w:rFonts w:ascii="Times New Roman" w:hAnsi="Times New Roman" w:cs="Times New Roman"/>
                <w:sz w:val="24"/>
                <w:szCs w:val="24"/>
                <w:lang w:eastAsia="lv-LV"/>
              </w:rPr>
              <w:t>s</w:t>
            </w:r>
            <w:r w:rsidR="006525D1" w:rsidRPr="00D83C67">
              <w:rPr>
                <w:rFonts w:ascii="Times New Roman" w:hAnsi="Times New Roman" w:cs="Times New Roman"/>
                <w:sz w:val="24"/>
                <w:szCs w:val="24"/>
                <w:lang w:eastAsia="lv-LV"/>
              </w:rPr>
              <w:t xml:space="preserve"> līdzšinējā</w:t>
            </w:r>
            <w:r w:rsidRPr="00D83C67">
              <w:rPr>
                <w:rFonts w:ascii="Times New Roman" w:hAnsi="Times New Roman" w:cs="Times New Roman"/>
                <w:sz w:val="24"/>
                <w:szCs w:val="24"/>
                <w:lang w:eastAsia="lv-LV"/>
              </w:rPr>
              <w:t>s</w:t>
            </w:r>
            <w:r w:rsidR="006525D1" w:rsidRPr="00D83C67">
              <w:rPr>
                <w:rFonts w:ascii="Times New Roman" w:hAnsi="Times New Roman" w:cs="Times New Roman"/>
                <w:sz w:val="24"/>
                <w:szCs w:val="24"/>
                <w:lang w:eastAsia="lv-LV"/>
              </w:rPr>
              <w:t xml:space="preserve"> </w:t>
            </w:r>
            <w:r w:rsidRPr="00D83C67">
              <w:rPr>
                <w:rFonts w:ascii="Times New Roman" w:hAnsi="Times New Roman" w:cs="Times New Roman"/>
                <w:sz w:val="24"/>
                <w:szCs w:val="24"/>
                <w:lang w:eastAsia="lv-LV"/>
              </w:rPr>
              <w:t>Noteikumos Nr.</w:t>
            </w:r>
            <w:r w:rsidR="00937A4F">
              <w:rPr>
                <w:rFonts w:ascii="Times New Roman" w:hAnsi="Times New Roman" w:cs="Times New Roman"/>
                <w:sz w:val="24"/>
                <w:szCs w:val="24"/>
                <w:lang w:eastAsia="lv-LV"/>
              </w:rPr>
              <w:t> </w:t>
            </w:r>
            <w:r w:rsidRPr="00D83C67">
              <w:rPr>
                <w:rFonts w:ascii="Times New Roman" w:hAnsi="Times New Roman" w:cs="Times New Roman"/>
                <w:sz w:val="24"/>
                <w:szCs w:val="24"/>
                <w:lang w:eastAsia="lv-LV"/>
              </w:rPr>
              <w:t xml:space="preserve">109 iekļautās </w:t>
            </w:r>
            <w:r w:rsidR="008F759A" w:rsidRPr="00D83C67">
              <w:rPr>
                <w:rFonts w:ascii="Times New Roman" w:hAnsi="Times New Roman" w:cs="Times New Roman"/>
                <w:sz w:val="24"/>
                <w:szCs w:val="24"/>
                <w:lang w:eastAsia="lv-LV"/>
              </w:rPr>
              <w:t>prasības</w:t>
            </w:r>
            <w:r w:rsidR="00592C52">
              <w:rPr>
                <w:rFonts w:ascii="Times New Roman" w:hAnsi="Times New Roman" w:cs="Times New Roman"/>
                <w:sz w:val="24"/>
                <w:szCs w:val="24"/>
                <w:lang w:eastAsia="lv-LV"/>
              </w:rPr>
              <w:t>, veicot redakcionālus precizējumus</w:t>
            </w:r>
            <w:r w:rsidR="006525D1" w:rsidRPr="00D83C67">
              <w:rPr>
                <w:rFonts w:ascii="Times New Roman" w:hAnsi="Times New Roman" w:cs="Times New Roman"/>
                <w:sz w:val="24"/>
                <w:szCs w:val="24"/>
                <w:lang w:eastAsia="lv-LV"/>
              </w:rPr>
              <w:t xml:space="preserve">. </w:t>
            </w:r>
          </w:p>
        </w:tc>
      </w:tr>
      <w:tr w:rsidR="00A61684" w:rsidRPr="00A61684" w14:paraId="78453D7D" w14:textId="77777777" w:rsidTr="009B620B">
        <w:tc>
          <w:tcPr>
            <w:tcW w:w="1980" w:type="dxa"/>
          </w:tcPr>
          <w:p w14:paraId="5AF60CCD" w14:textId="23B3F531" w:rsidR="00ED3376" w:rsidRPr="00B40708" w:rsidRDefault="009E6A95" w:rsidP="00CB2ED4">
            <w:pPr>
              <w:jc w:val="both"/>
              <w:rPr>
                <w:rFonts w:ascii="Times New Roman" w:hAnsi="Times New Roman" w:cs="Times New Roman"/>
                <w:b/>
                <w:bCs/>
                <w:sz w:val="24"/>
                <w:szCs w:val="24"/>
              </w:rPr>
            </w:pPr>
            <w:r w:rsidRPr="00B40708">
              <w:rPr>
                <w:rFonts w:ascii="Times New Roman" w:hAnsi="Times New Roman" w:cs="Times New Roman"/>
                <w:b/>
                <w:bCs/>
                <w:sz w:val="24"/>
                <w:szCs w:val="24"/>
              </w:rPr>
              <w:t>Saistītie dokumenti</w:t>
            </w:r>
          </w:p>
        </w:tc>
        <w:tc>
          <w:tcPr>
            <w:tcW w:w="6379" w:type="dxa"/>
          </w:tcPr>
          <w:p w14:paraId="59E0D325" w14:textId="2239A35C" w:rsidR="002346B0" w:rsidRPr="00823C89" w:rsidRDefault="00F07888" w:rsidP="00F57A0E">
            <w:pPr>
              <w:tabs>
                <w:tab w:val="left" w:pos="310"/>
              </w:tabs>
              <w:ind w:left="37"/>
              <w:jc w:val="both"/>
              <w:rPr>
                <w:rStyle w:val="Hyperlink"/>
                <w:u w:val="none"/>
              </w:rPr>
            </w:pPr>
            <w:r w:rsidRPr="00F40540">
              <w:rPr>
                <w:rFonts w:ascii="Times New Roman" w:hAnsi="Times New Roman" w:cs="Times New Roman"/>
                <w:color w:val="0563C1"/>
                <w:sz w:val="24"/>
                <w:szCs w:val="24"/>
              </w:rPr>
              <w:t>1</w:t>
            </w:r>
            <w:r w:rsidR="007933F7">
              <w:rPr>
                <w:rFonts w:ascii="Times New Roman" w:hAnsi="Times New Roman" w:cs="Times New Roman"/>
                <w:color w:val="0563C1"/>
                <w:sz w:val="24"/>
                <w:szCs w:val="24"/>
              </w:rPr>
              <w:t>.</w:t>
            </w:r>
            <w:r w:rsidRPr="00F40540">
              <w:rPr>
                <w:rFonts w:ascii="Times New Roman" w:hAnsi="Times New Roman" w:cs="Times New Roman"/>
                <w:color w:val="0563C1"/>
                <w:sz w:val="24"/>
                <w:szCs w:val="24"/>
              </w:rPr>
              <w:t xml:space="preserve"> </w:t>
            </w:r>
            <w:hyperlink r:id="rId11" w:history="1">
              <w:r w:rsidR="002346B0" w:rsidRPr="00F40540">
                <w:rPr>
                  <w:rStyle w:val="Hyperlink"/>
                  <w:rFonts w:ascii="Times New Roman" w:hAnsi="Times New Roman" w:cs="Times New Roman"/>
                  <w:sz w:val="24"/>
                  <w:szCs w:val="24"/>
                </w:rPr>
                <w:t>Kredītiest</w:t>
              </w:r>
              <w:r w:rsidR="002346B0" w:rsidRPr="008F428D">
                <w:rPr>
                  <w:rStyle w:val="Hyperlink"/>
                  <w:rFonts w:ascii="Times New Roman" w:hAnsi="Times New Roman" w:cs="Times New Roman"/>
                  <w:sz w:val="24"/>
                  <w:szCs w:val="24"/>
                </w:rPr>
                <w:t>āžu likums</w:t>
              </w:r>
            </w:hyperlink>
            <w:r w:rsidR="00AD106D">
              <w:rPr>
                <w:rStyle w:val="Hyperlink"/>
                <w:rFonts w:ascii="Times New Roman" w:hAnsi="Times New Roman" w:cs="Times New Roman"/>
                <w:sz w:val="24"/>
                <w:szCs w:val="24"/>
                <w:u w:val="none"/>
              </w:rPr>
              <w:t>.</w:t>
            </w:r>
          </w:p>
          <w:p w14:paraId="237E6EC1" w14:textId="007C1FB6" w:rsidR="002346B0" w:rsidRPr="008F428D" w:rsidRDefault="00F07888" w:rsidP="00F57A0E">
            <w:pPr>
              <w:tabs>
                <w:tab w:val="left" w:pos="310"/>
              </w:tabs>
              <w:ind w:left="37"/>
              <w:jc w:val="both"/>
              <w:rPr>
                <w:rFonts w:ascii="Times New Roman" w:hAnsi="Times New Roman" w:cs="Times New Roman"/>
                <w:color w:val="0563C1"/>
                <w:sz w:val="24"/>
                <w:szCs w:val="24"/>
              </w:rPr>
            </w:pPr>
            <w:r w:rsidRPr="00F40540">
              <w:rPr>
                <w:rFonts w:ascii="Times New Roman" w:hAnsi="Times New Roman" w:cs="Times New Roman"/>
                <w:color w:val="0563C1"/>
                <w:sz w:val="24"/>
                <w:szCs w:val="24"/>
              </w:rPr>
              <w:t>2</w:t>
            </w:r>
            <w:r w:rsidR="007933F7">
              <w:rPr>
                <w:rFonts w:ascii="Times New Roman" w:hAnsi="Times New Roman" w:cs="Times New Roman"/>
                <w:color w:val="0563C1"/>
                <w:sz w:val="24"/>
                <w:szCs w:val="24"/>
              </w:rPr>
              <w:t>.</w:t>
            </w:r>
            <w:r w:rsidR="00F40540" w:rsidRPr="007933F7">
              <w:rPr>
                <w:rStyle w:val="Hyperlink"/>
                <w:rFonts w:ascii="Times New Roman" w:hAnsi="Times New Roman" w:cs="Times New Roman"/>
                <w:sz w:val="24"/>
                <w:szCs w:val="24"/>
                <w:u w:val="none"/>
              </w:rPr>
              <w:t xml:space="preserve"> </w:t>
            </w:r>
            <w:hyperlink r:id="rId12" w:history="1">
              <w:r w:rsidR="00F40540" w:rsidRPr="00F40540">
                <w:rPr>
                  <w:rStyle w:val="Hyperlink"/>
                  <w:rFonts w:ascii="Times New Roman" w:hAnsi="Times New Roman" w:cs="Times New Roman"/>
                  <w:sz w:val="24"/>
                  <w:szCs w:val="24"/>
                </w:rPr>
                <w:t>Noteikumi Nr. 109</w:t>
              </w:r>
            </w:hyperlink>
            <w:r w:rsidR="00AD106D">
              <w:rPr>
                <w:rStyle w:val="Hyperlink"/>
                <w:rFonts w:ascii="Times New Roman" w:hAnsi="Times New Roman" w:cs="Times New Roman"/>
                <w:sz w:val="24"/>
                <w:szCs w:val="24"/>
                <w:u w:val="none"/>
              </w:rPr>
              <w:t>.</w:t>
            </w:r>
          </w:p>
          <w:p w14:paraId="6824BD62" w14:textId="171996DF" w:rsidR="00651479" w:rsidRPr="00F40540" w:rsidRDefault="00F07888" w:rsidP="00F57A0E">
            <w:pPr>
              <w:tabs>
                <w:tab w:val="left" w:pos="310"/>
              </w:tabs>
              <w:ind w:left="37"/>
              <w:jc w:val="both"/>
              <w:rPr>
                <w:rStyle w:val="Hyperlink"/>
                <w:rFonts w:ascii="Times New Roman" w:hAnsi="Times New Roman" w:cs="Times New Roman"/>
                <w:sz w:val="24"/>
                <w:szCs w:val="24"/>
              </w:rPr>
            </w:pPr>
            <w:r w:rsidRPr="00F40540">
              <w:rPr>
                <w:rFonts w:ascii="Times New Roman" w:hAnsi="Times New Roman" w:cs="Times New Roman"/>
                <w:color w:val="0563C1"/>
                <w:sz w:val="24"/>
                <w:szCs w:val="24"/>
              </w:rPr>
              <w:t>3</w:t>
            </w:r>
            <w:r w:rsidR="007933F7">
              <w:rPr>
                <w:rFonts w:ascii="Times New Roman" w:hAnsi="Times New Roman" w:cs="Times New Roman"/>
                <w:color w:val="0563C1"/>
                <w:sz w:val="24"/>
                <w:szCs w:val="24"/>
              </w:rPr>
              <w:t>.</w:t>
            </w:r>
            <w:r w:rsidR="00F40540" w:rsidRPr="007933F7">
              <w:rPr>
                <w:rStyle w:val="Hyperlink"/>
                <w:rFonts w:ascii="Times New Roman" w:hAnsi="Times New Roman" w:cs="Times New Roman"/>
                <w:sz w:val="24"/>
                <w:szCs w:val="24"/>
                <w:u w:val="none"/>
              </w:rPr>
              <w:t xml:space="preserve"> </w:t>
            </w:r>
            <w:hyperlink r:id="rId13" w:history="1">
              <w:r w:rsidR="008F428D" w:rsidRPr="008F428D">
                <w:rPr>
                  <w:rStyle w:val="Hyperlink"/>
                  <w:rFonts w:ascii="Times New Roman" w:hAnsi="Times New Roman" w:cs="Times New Roman"/>
                  <w:sz w:val="24"/>
                  <w:szCs w:val="24"/>
                </w:rPr>
                <w:t>EBI Pamatnostādnes</w:t>
              </w:r>
            </w:hyperlink>
            <w:r w:rsidR="00AD106D">
              <w:rPr>
                <w:rStyle w:val="Hyperlink"/>
                <w:rFonts w:ascii="Times New Roman" w:hAnsi="Times New Roman" w:cs="Times New Roman"/>
                <w:sz w:val="24"/>
                <w:szCs w:val="24"/>
                <w:u w:val="none"/>
              </w:rPr>
              <w:t>.</w:t>
            </w:r>
          </w:p>
          <w:p w14:paraId="190B42D9" w14:textId="76A57903" w:rsidR="00913365" w:rsidRPr="00F40540" w:rsidRDefault="00913365" w:rsidP="00F57A0E">
            <w:pPr>
              <w:tabs>
                <w:tab w:val="left" w:pos="310"/>
              </w:tabs>
              <w:ind w:left="37"/>
              <w:jc w:val="both"/>
              <w:rPr>
                <w:rStyle w:val="Hyperlink"/>
                <w:rFonts w:ascii="Times New Roman" w:hAnsi="Times New Roman" w:cs="Times New Roman"/>
                <w:sz w:val="24"/>
                <w:szCs w:val="24"/>
              </w:rPr>
            </w:pPr>
            <w:r w:rsidRPr="007933F7">
              <w:rPr>
                <w:rStyle w:val="Hyperlink"/>
                <w:rFonts w:ascii="Times New Roman" w:hAnsi="Times New Roman" w:cs="Times New Roman"/>
                <w:sz w:val="24"/>
                <w:szCs w:val="24"/>
                <w:u w:val="none"/>
              </w:rPr>
              <w:lastRenderedPageBreak/>
              <w:t>4</w:t>
            </w:r>
            <w:r w:rsidR="007933F7" w:rsidRPr="007933F7">
              <w:rPr>
                <w:rStyle w:val="Hyperlink"/>
                <w:rFonts w:ascii="Times New Roman" w:hAnsi="Times New Roman" w:cs="Times New Roman"/>
                <w:sz w:val="24"/>
                <w:szCs w:val="24"/>
                <w:u w:val="none"/>
              </w:rPr>
              <w:t>.</w:t>
            </w:r>
            <w:r w:rsidR="00F40540" w:rsidRPr="007933F7">
              <w:rPr>
                <w:rStyle w:val="Hyperlink"/>
                <w:rFonts w:ascii="Times New Roman" w:hAnsi="Times New Roman" w:cs="Times New Roman"/>
                <w:sz w:val="24"/>
                <w:szCs w:val="24"/>
                <w:u w:val="none"/>
              </w:rPr>
              <w:t xml:space="preserve"> </w:t>
            </w:r>
            <w:hyperlink r:id="rId14" w:history="1">
              <w:r w:rsidR="00F40540" w:rsidRPr="00F40540">
                <w:rPr>
                  <w:rStyle w:val="Hyperlink"/>
                  <w:rFonts w:ascii="Times New Roman" w:hAnsi="Times New Roman" w:cs="Times New Roman"/>
                  <w:sz w:val="24"/>
                  <w:szCs w:val="24"/>
                </w:rPr>
                <w:t>Regula Nr. 2019/2033</w:t>
              </w:r>
            </w:hyperlink>
            <w:r w:rsidR="00AD106D">
              <w:rPr>
                <w:rStyle w:val="Hyperlink"/>
                <w:rFonts w:ascii="Times New Roman" w:hAnsi="Times New Roman" w:cs="Times New Roman"/>
                <w:sz w:val="24"/>
                <w:szCs w:val="24"/>
              </w:rPr>
              <w:t>.</w:t>
            </w:r>
          </w:p>
          <w:p w14:paraId="52501351" w14:textId="7D47D74A" w:rsidR="00130793" w:rsidRDefault="00913365" w:rsidP="00F40540">
            <w:pPr>
              <w:tabs>
                <w:tab w:val="left" w:pos="310"/>
              </w:tabs>
              <w:ind w:left="37"/>
              <w:jc w:val="both"/>
              <w:rPr>
                <w:rStyle w:val="Hyperlink"/>
                <w:rFonts w:ascii="Times New Roman" w:hAnsi="Times New Roman" w:cs="Times New Roman"/>
                <w:sz w:val="24"/>
                <w:szCs w:val="24"/>
              </w:rPr>
            </w:pPr>
            <w:r w:rsidRPr="00F40540">
              <w:rPr>
                <w:rStyle w:val="Hyperlink"/>
                <w:rFonts w:ascii="Times New Roman" w:hAnsi="Times New Roman" w:cs="Times New Roman"/>
                <w:sz w:val="24"/>
                <w:szCs w:val="24"/>
                <w:u w:val="none"/>
              </w:rPr>
              <w:t>5</w:t>
            </w:r>
            <w:r w:rsidR="007933F7">
              <w:rPr>
                <w:rStyle w:val="Hyperlink"/>
                <w:rFonts w:ascii="Times New Roman" w:hAnsi="Times New Roman" w:cs="Times New Roman"/>
                <w:sz w:val="24"/>
                <w:szCs w:val="24"/>
                <w:u w:val="none"/>
              </w:rPr>
              <w:t>.</w:t>
            </w:r>
            <w:r w:rsidR="00F40540" w:rsidRPr="00F40540">
              <w:rPr>
                <w:rFonts w:ascii="Times New Roman" w:hAnsi="Times New Roman" w:cs="Times New Roman"/>
                <w:color w:val="0563C1"/>
                <w:sz w:val="24"/>
                <w:szCs w:val="24"/>
              </w:rPr>
              <w:t xml:space="preserve"> </w:t>
            </w:r>
            <w:hyperlink r:id="rId15" w:history="1">
              <w:r w:rsidR="00F40540" w:rsidRPr="00F40540">
                <w:rPr>
                  <w:rStyle w:val="Hyperlink"/>
                  <w:rFonts w:ascii="Times New Roman" w:hAnsi="Times New Roman" w:cs="Times New Roman"/>
                  <w:sz w:val="24"/>
                  <w:szCs w:val="24"/>
                </w:rPr>
                <w:t>Ieguldījumu brokeru sabiedrību likums</w:t>
              </w:r>
            </w:hyperlink>
            <w:r w:rsidR="00AD106D">
              <w:rPr>
                <w:rStyle w:val="Hyperlink"/>
                <w:rFonts w:ascii="Times New Roman" w:hAnsi="Times New Roman" w:cs="Times New Roman"/>
                <w:sz w:val="24"/>
                <w:szCs w:val="24"/>
              </w:rPr>
              <w:t>.</w:t>
            </w:r>
          </w:p>
          <w:p w14:paraId="15128FCB" w14:textId="6FBFE70D" w:rsidR="00913365" w:rsidRDefault="00130793" w:rsidP="00F40540">
            <w:pPr>
              <w:tabs>
                <w:tab w:val="left" w:pos="310"/>
              </w:tabs>
              <w:ind w:left="37"/>
              <w:jc w:val="both"/>
              <w:rPr>
                <w:rStyle w:val="Hyperlink"/>
                <w:rFonts w:ascii="Times New Roman" w:hAnsi="Times New Roman" w:cs="Times New Roman"/>
                <w:sz w:val="24"/>
                <w:szCs w:val="24"/>
              </w:rPr>
            </w:pPr>
            <w:r w:rsidRPr="007933F7">
              <w:rPr>
                <w:rStyle w:val="Hyperlink"/>
                <w:rFonts w:ascii="Times New Roman" w:hAnsi="Times New Roman" w:cs="Times New Roman"/>
                <w:sz w:val="24"/>
                <w:szCs w:val="24"/>
                <w:u w:val="none"/>
              </w:rPr>
              <w:t>6</w:t>
            </w:r>
            <w:r w:rsidR="007933F7" w:rsidRPr="007933F7">
              <w:rPr>
                <w:rStyle w:val="Hyperlink"/>
                <w:rFonts w:ascii="Times New Roman" w:hAnsi="Times New Roman" w:cs="Times New Roman"/>
                <w:sz w:val="24"/>
                <w:szCs w:val="24"/>
                <w:u w:val="none"/>
              </w:rPr>
              <w:t>.</w:t>
            </w:r>
            <w:r w:rsidRPr="007933F7">
              <w:rPr>
                <w:color w:val="4472C4" w:themeColor="accent1"/>
              </w:rPr>
              <w:t xml:space="preserve"> </w:t>
            </w:r>
            <w:hyperlink r:id="rId16" w:history="1">
              <w:r w:rsidRPr="00130793">
                <w:rPr>
                  <w:rStyle w:val="Hyperlink"/>
                  <w:rFonts w:ascii="Times New Roman" w:hAnsi="Times New Roman" w:cs="Times New Roman"/>
                  <w:sz w:val="24"/>
                  <w:szCs w:val="24"/>
                </w:rPr>
                <w:t xml:space="preserve">Komisijas </w:t>
              </w:r>
              <w:r w:rsidR="008875CF" w:rsidRPr="008875CF">
                <w:rPr>
                  <w:rStyle w:val="Hyperlink"/>
                  <w:rFonts w:ascii="Times New Roman" w:hAnsi="Times New Roman" w:cs="Times New Roman"/>
                  <w:sz w:val="24"/>
                  <w:szCs w:val="24"/>
                </w:rPr>
                <w:t>2023.</w:t>
              </w:r>
              <w:r w:rsidR="008875CF">
                <w:rPr>
                  <w:rStyle w:val="Hyperlink"/>
                  <w:rFonts w:ascii="Times New Roman" w:hAnsi="Times New Roman" w:cs="Times New Roman"/>
                  <w:sz w:val="24"/>
                  <w:szCs w:val="24"/>
                </w:rPr>
                <w:t> </w:t>
              </w:r>
              <w:r w:rsidR="008875CF" w:rsidRPr="008875CF">
                <w:rPr>
                  <w:rStyle w:val="Hyperlink"/>
                  <w:rFonts w:ascii="Times New Roman" w:hAnsi="Times New Roman" w:cs="Times New Roman"/>
                  <w:sz w:val="24"/>
                  <w:szCs w:val="24"/>
                </w:rPr>
                <w:t>gada 6.</w:t>
              </w:r>
              <w:r w:rsidR="008875CF">
                <w:rPr>
                  <w:rStyle w:val="Hyperlink"/>
                  <w:rFonts w:ascii="Times New Roman" w:hAnsi="Times New Roman" w:cs="Times New Roman"/>
                  <w:sz w:val="24"/>
                  <w:szCs w:val="24"/>
                </w:rPr>
                <w:t> </w:t>
              </w:r>
              <w:r w:rsidR="008875CF" w:rsidRPr="008875CF">
                <w:rPr>
                  <w:rStyle w:val="Hyperlink"/>
                  <w:rFonts w:ascii="Times New Roman" w:hAnsi="Times New Roman" w:cs="Times New Roman"/>
                  <w:sz w:val="24"/>
                  <w:szCs w:val="24"/>
                </w:rPr>
                <w:t>septembr</w:t>
              </w:r>
              <w:r w:rsidR="008875CF">
                <w:rPr>
                  <w:rStyle w:val="Hyperlink"/>
                  <w:rFonts w:ascii="Times New Roman" w:hAnsi="Times New Roman" w:cs="Times New Roman"/>
                  <w:sz w:val="24"/>
                  <w:szCs w:val="24"/>
                </w:rPr>
                <w:t xml:space="preserve">a </w:t>
              </w:r>
              <w:r w:rsidR="00A5715C" w:rsidRPr="00130793">
                <w:rPr>
                  <w:rStyle w:val="Hyperlink"/>
                  <w:rFonts w:ascii="Times New Roman" w:hAnsi="Times New Roman" w:cs="Times New Roman"/>
                  <w:sz w:val="24"/>
                  <w:szCs w:val="24"/>
                </w:rPr>
                <w:t xml:space="preserve">deleģētā </w:t>
              </w:r>
              <w:r w:rsidRPr="00130793">
                <w:rPr>
                  <w:rStyle w:val="Hyperlink"/>
                  <w:rFonts w:ascii="Times New Roman" w:hAnsi="Times New Roman" w:cs="Times New Roman"/>
                  <w:sz w:val="24"/>
                  <w:szCs w:val="24"/>
                </w:rPr>
                <w:t>regula (ES)</w:t>
              </w:r>
              <w:r w:rsidR="00A5715C">
                <w:rPr>
                  <w:rStyle w:val="Hyperlink"/>
                  <w:rFonts w:ascii="Times New Roman" w:hAnsi="Times New Roman" w:cs="Times New Roman"/>
                  <w:sz w:val="24"/>
                  <w:szCs w:val="24"/>
                </w:rPr>
                <w:t> </w:t>
              </w:r>
              <w:r w:rsidRPr="00130793">
                <w:rPr>
                  <w:rStyle w:val="Hyperlink"/>
                  <w:rFonts w:ascii="Times New Roman" w:hAnsi="Times New Roman" w:cs="Times New Roman"/>
                  <w:sz w:val="24"/>
                  <w:szCs w:val="24"/>
                </w:rPr>
                <w:t xml:space="preserve">2023/2779, ar ko Eiropas Parlamenta un Padomes </w:t>
              </w:r>
              <w:r w:rsidR="00A5715C" w:rsidRPr="00130793">
                <w:rPr>
                  <w:rStyle w:val="Hyperlink"/>
                  <w:rFonts w:ascii="Times New Roman" w:hAnsi="Times New Roman" w:cs="Times New Roman"/>
                  <w:sz w:val="24"/>
                  <w:szCs w:val="24"/>
                </w:rPr>
                <w:t xml:space="preserve">regulu </w:t>
              </w:r>
              <w:r w:rsidRPr="00130793">
                <w:rPr>
                  <w:rStyle w:val="Hyperlink"/>
                  <w:rFonts w:ascii="Times New Roman" w:hAnsi="Times New Roman" w:cs="Times New Roman"/>
                  <w:sz w:val="24"/>
                  <w:szCs w:val="24"/>
                </w:rPr>
                <w:t>(ES) Nr.</w:t>
              </w:r>
              <w:r w:rsidR="00937A4F">
                <w:rPr>
                  <w:rStyle w:val="Hyperlink"/>
                  <w:rFonts w:ascii="Times New Roman" w:hAnsi="Times New Roman" w:cs="Times New Roman"/>
                  <w:sz w:val="24"/>
                  <w:szCs w:val="24"/>
                </w:rPr>
                <w:t> </w:t>
              </w:r>
              <w:r w:rsidRPr="00130793">
                <w:rPr>
                  <w:rStyle w:val="Hyperlink"/>
                  <w:rFonts w:ascii="Times New Roman" w:hAnsi="Times New Roman" w:cs="Times New Roman"/>
                  <w:sz w:val="24"/>
                  <w:szCs w:val="24"/>
                </w:rPr>
                <w:t xml:space="preserve">575/2013 papildina attiecībā uz regulatīvajiem tehniskajiem standartiem, ar kuriem precizē kritērijus </w:t>
              </w:r>
              <w:r w:rsidR="00A5715C" w:rsidRPr="00130793">
                <w:rPr>
                  <w:rStyle w:val="Hyperlink"/>
                  <w:rFonts w:ascii="Times New Roman" w:hAnsi="Times New Roman" w:cs="Times New Roman"/>
                  <w:sz w:val="24"/>
                  <w:szCs w:val="24"/>
                </w:rPr>
                <w:t xml:space="preserve">regulas </w:t>
              </w:r>
              <w:r w:rsidRPr="00130793">
                <w:rPr>
                  <w:rStyle w:val="Hyperlink"/>
                  <w:rFonts w:ascii="Times New Roman" w:hAnsi="Times New Roman" w:cs="Times New Roman"/>
                  <w:sz w:val="24"/>
                  <w:szCs w:val="24"/>
                </w:rPr>
                <w:t>(ES) Nr.</w:t>
              </w:r>
              <w:r w:rsidR="00937A4F">
                <w:rPr>
                  <w:rStyle w:val="Hyperlink"/>
                  <w:rFonts w:ascii="Times New Roman" w:hAnsi="Times New Roman" w:cs="Times New Roman"/>
                  <w:sz w:val="24"/>
                  <w:szCs w:val="24"/>
                </w:rPr>
                <w:t> </w:t>
              </w:r>
              <w:r w:rsidRPr="00130793">
                <w:rPr>
                  <w:rStyle w:val="Hyperlink"/>
                  <w:rFonts w:ascii="Times New Roman" w:hAnsi="Times New Roman" w:cs="Times New Roman"/>
                  <w:sz w:val="24"/>
                  <w:szCs w:val="24"/>
                </w:rPr>
                <w:t>575/2013 394.</w:t>
              </w:r>
              <w:r w:rsidR="00937A4F">
                <w:rPr>
                  <w:rStyle w:val="Hyperlink"/>
                  <w:rFonts w:ascii="Times New Roman" w:hAnsi="Times New Roman" w:cs="Times New Roman"/>
                  <w:sz w:val="24"/>
                  <w:szCs w:val="24"/>
                </w:rPr>
                <w:t> </w:t>
              </w:r>
              <w:r w:rsidRPr="00130793">
                <w:rPr>
                  <w:rStyle w:val="Hyperlink"/>
                  <w:rFonts w:ascii="Times New Roman" w:hAnsi="Times New Roman" w:cs="Times New Roman"/>
                  <w:sz w:val="24"/>
                  <w:szCs w:val="24"/>
                </w:rPr>
                <w:t>panta 2.</w:t>
              </w:r>
              <w:r w:rsidR="00937A4F">
                <w:rPr>
                  <w:rStyle w:val="Hyperlink"/>
                  <w:rFonts w:ascii="Times New Roman" w:hAnsi="Times New Roman" w:cs="Times New Roman"/>
                  <w:sz w:val="24"/>
                  <w:szCs w:val="24"/>
                </w:rPr>
                <w:t> </w:t>
              </w:r>
              <w:r w:rsidRPr="00130793">
                <w:rPr>
                  <w:rStyle w:val="Hyperlink"/>
                  <w:rFonts w:ascii="Times New Roman" w:hAnsi="Times New Roman" w:cs="Times New Roman"/>
                  <w:sz w:val="24"/>
                  <w:szCs w:val="24"/>
                </w:rPr>
                <w:t>punktā minēto paralēlās banku sistēmas vienību identificēšanai</w:t>
              </w:r>
            </w:hyperlink>
            <w:r w:rsidR="00AD106D">
              <w:rPr>
                <w:rStyle w:val="Hyperlink"/>
                <w:rFonts w:ascii="Times New Roman" w:hAnsi="Times New Roman" w:cs="Times New Roman"/>
                <w:sz w:val="24"/>
                <w:szCs w:val="24"/>
              </w:rPr>
              <w:t>.</w:t>
            </w:r>
          </w:p>
          <w:p w14:paraId="2C55F282" w14:textId="643FDEFC" w:rsidR="00717322" w:rsidRPr="00717322" w:rsidRDefault="00717322" w:rsidP="00F40540">
            <w:pPr>
              <w:tabs>
                <w:tab w:val="left" w:pos="310"/>
              </w:tabs>
              <w:ind w:left="37"/>
              <w:jc w:val="both"/>
              <w:rPr>
                <w:rFonts w:ascii="Times New Roman" w:hAnsi="Times New Roman" w:cs="Times New Roman"/>
                <w:sz w:val="24"/>
                <w:szCs w:val="24"/>
              </w:rPr>
            </w:pPr>
            <w:r w:rsidRPr="00717322">
              <w:rPr>
                <w:rStyle w:val="Hyperlink"/>
                <w:rFonts w:ascii="Times New Roman" w:hAnsi="Times New Roman" w:cs="Times New Roman"/>
                <w:sz w:val="24"/>
                <w:szCs w:val="24"/>
              </w:rPr>
              <w:t xml:space="preserve">7. </w:t>
            </w:r>
            <w:hyperlink r:id="rId17" w:history="1">
              <w:r w:rsidRPr="00717322">
                <w:rPr>
                  <w:rStyle w:val="Hyperlink"/>
                  <w:rFonts w:ascii="Times New Roman" w:hAnsi="Times New Roman" w:cs="Times New Roman"/>
                  <w:sz w:val="24"/>
                  <w:szCs w:val="24"/>
                </w:rPr>
                <w:t>Regula Nr.</w:t>
              </w:r>
              <w:r>
                <w:rPr>
                  <w:rStyle w:val="Hyperlink"/>
                  <w:rFonts w:ascii="Times New Roman" w:hAnsi="Times New Roman" w:cs="Times New Roman"/>
                  <w:sz w:val="24"/>
                  <w:szCs w:val="24"/>
                </w:rPr>
                <w:t> </w:t>
              </w:r>
              <w:r w:rsidRPr="00717322">
                <w:rPr>
                  <w:rStyle w:val="Hyperlink"/>
                  <w:rFonts w:ascii="Times New Roman" w:hAnsi="Times New Roman" w:cs="Times New Roman"/>
                  <w:sz w:val="24"/>
                  <w:szCs w:val="24"/>
                </w:rPr>
                <w:t>575/2013</w:t>
              </w:r>
            </w:hyperlink>
            <w:r>
              <w:rPr>
                <w:rStyle w:val="Hyperlink"/>
                <w:rFonts w:ascii="Times New Roman" w:hAnsi="Times New Roman" w:cs="Times New Roman"/>
                <w:sz w:val="24"/>
                <w:szCs w:val="24"/>
              </w:rPr>
              <w:t>.</w:t>
            </w:r>
          </w:p>
        </w:tc>
      </w:tr>
      <w:tr w:rsidR="00A61684" w:rsidRPr="00A61684" w14:paraId="6E8D0230" w14:textId="77777777" w:rsidTr="009B620B">
        <w:tc>
          <w:tcPr>
            <w:tcW w:w="1980" w:type="dxa"/>
          </w:tcPr>
          <w:p w14:paraId="36731D0A" w14:textId="167D4F7E" w:rsidR="00ED3376" w:rsidRPr="00A202C9" w:rsidRDefault="009E6A95" w:rsidP="00D53B05">
            <w:pPr>
              <w:rPr>
                <w:rFonts w:ascii="Times New Roman" w:hAnsi="Times New Roman" w:cs="Times New Roman"/>
                <w:b/>
                <w:bCs/>
                <w:sz w:val="24"/>
                <w:szCs w:val="24"/>
              </w:rPr>
            </w:pPr>
            <w:r w:rsidRPr="00A202C9">
              <w:rPr>
                <w:rFonts w:ascii="Times New Roman" w:hAnsi="Times New Roman" w:cs="Times New Roman"/>
                <w:b/>
                <w:bCs/>
                <w:sz w:val="24"/>
                <w:szCs w:val="24"/>
              </w:rPr>
              <w:lastRenderedPageBreak/>
              <w:t>Saskaņošana ar Eiropas Centrālo banku</w:t>
            </w:r>
          </w:p>
        </w:tc>
        <w:tc>
          <w:tcPr>
            <w:tcW w:w="6379" w:type="dxa"/>
          </w:tcPr>
          <w:p w14:paraId="792DD68E" w14:textId="06AFD14D" w:rsidR="009E6A95" w:rsidRPr="00B40708" w:rsidRDefault="003A7C34" w:rsidP="00CB2ED4">
            <w:pPr>
              <w:jc w:val="both"/>
              <w:rPr>
                <w:rFonts w:ascii="Times New Roman" w:hAnsi="Times New Roman" w:cs="Times New Roman"/>
                <w:sz w:val="24"/>
                <w:szCs w:val="24"/>
              </w:rPr>
            </w:pPr>
            <w:r w:rsidRPr="00B40708">
              <w:rPr>
                <w:rFonts w:ascii="Times New Roman" w:hAnsi="Times New Roman" w:cs="Times New Roman"/>
                <w:sz w:val="24"/>
                <w:szCs w:val="24"/>
              </w:rPr>
              <w:t>Noteikumu</w:t>
            </w:r>
            <w:r w:rsidR="009E6A95" w:rsidRPr="00B40708">
              <w:rPr>
                <w:rFonts w:ascii="Times New Roman" w:hAnsi="Times New Roman" w:cs="Times New Roman"/>
                <w:sz w:val="24"/>
                <w:szCs w:val="24"/>
              </w:rPr>
              <w:t xml:space="preserve"> </w:t>
            </w:r>
            <w:r w:rsidR="00E01603" w:rsidRPr="00B40708">
              <w:rPr>
                <w:rFonts w:ascii="Times New Roman" w:hAnsi="Times New Roman" w:cs="Times New Roman"/>
                <w:sz w:val="24"/>
                <w:szCs w:val="24"/>
              </w:rPr>
              <w:t xml:space="preserve">projekts </w:t>
            </w:r>
            <w:r w:rsidR="009E6A95" w:rsidRPr="00B40708">
              <w:rPr>
                <w:rFonts w:ascii="Times New Roman" w:hAnsi="Times New Roman" w:cs="Times New Roman"/>
                <w:sz w:val="24"/>
                <w:szCs w:val="24"/>
              </w:rPr>
              <w:t xml:space="preserve">nav </w:t>
            </w:r>
            <w:r w:rsidR="00952874" w:rsidRPr="00B40708">
              <w:rPr>
                <w:rFonts w:ascii="Times New Roman" w:hAnsi="Times New Roman" w:cs="Times New Roman"/>
                <w:sz w:val="24"/>
                <w:szCs w:val="24"/>
              </w:rPr>
              <w:t>jā</w:t>
            </w:r>
            <w:r w:rsidR="009E6A95" w:rsidRPr="00B40708">
              <w:rPr>
                <w:rFonts w:ascii="Times New Roman" w:hAnsi="Times New Roman" w:cs="Times New Roman"/>
                <w:sz w:val="24"/>
                <w:szCs w:val="24"/>
              </w:rPr>
              <w:t>saskaņo ar Eiropas Centrālo banku.</w:t>
            </w:r>
          </w:p>
        </w:tc>
      </w:tr>
      <w:tr w:rsidR="00A61684" w:rsidRPr="00A61684" w14:paraId="48DDCC66" w14:textId="77777777" w:rsidTr="009B620B">
        <w:tc>
          <w:tcPr>
            <w:tcW w:w="1980" w:type="dxa"/>
          </w:tcPr>
          <w:p w14:paraId="58FC4ACD" w14:textId="4767453D" w:rsidR="00ED3376" w:rsidRPr="00A202C9" w:rsidRDefault="009E6A95" w:rsidP="00D53B05">
            <w:pPr>
              <w:rPr>
                <w:rFonts w:ascii="Times New Roman" w:hAnsi="Times New Roman" w:cs="Times New Roman"/>
                <w:b/>
                <w:bCs/>
                <w:sz w:val="24"/>
                <w:szCs w:val="24"/>
              </w:rPr>
            </w:pPr>
            <w:r w:rsidRPr="00A202C9">
              <w:rPr>
                <w:rFonts w:ascii="Times New Roman" w:hAnsi="Times New Roman" w:cs="Times New Roman"/>
                <w:b/>
                <w:bCs/>
                <w:sz w:val="24"/>
                <w:szCs w:val="24"/>
              </w:rPr>
              <w:t>Saskaņošana ar citām publiskām un privātām personām</w:t>
            </w:r>
          </w:p>
        </w:tc>
        <w:tc>
          <w:tcPr>
            <w:tcW w:w="6379" w:type="dxa"/>
          </w:tcPr>
          <w:p w14:paraId="339AEE8D" w14:textId="32C603A3" w:rsidR="00595003" w:rsidRPr="003A60A9" w:rsidRDefault="00EA0CC6" w:rsidP="00EA0CC6">
            <w:pPr>
              <w:jc w:val="both"/>
              <w:rPr>
                <w:rFonts w:ascii="Times New Roman" w:hAnsi="Times New Roman" w:cs="Times New Roman"/>
                <w:sz w:val="24"/>
                <w:szCs w:val="24"/>
              </w:rPr>
            </w:pPr>
            <w:r w:rsidRPr="003A60A9">
              <w:rPr>
                <w:rFonts w:ascii="Times New Roman" w:hAnsi="Times New Roman" w:cs="Times New Roman"/>
                <w:sz w:val="24"/>
                <w:szCs w:val="24"/>
              </w:rPr>
              <w:t xml:space="preserve">Noteikumu projekts </w:t>
            </w:r>
            <w:r w:rsidR="003A60A9" w:rsidRPr="003A60A9">
              <w:rPr>
                <w:rFonts w:ascii="Times New Roman" w:hAnsi="Times New Roman" w:cs="Times New Roman"/>
                <w:sz w:val="24"/>
                <w:szCs w:val="24"/>
              </w:rPr>
              <w:t xml:space="preserve">2024. gada 3. aprīlī tika </w:t>
            </w:r>
            <w:r w:rsidRPr="003A60A9">
              <w:rPr>
                <w:rFonts w:ascii="Times New Roman" w:hAnsi="Times New Roman" w:cs="Times New Roman"/>
                <w:sz w:val="24"/>
                <w:szCs w:val="24"/>
              </w:rPr>
              <w:t xml:space="preserve">publicēts Latvijas Bankas tīmekļvietnes </w:t>
            </w:r>
            <w:hyperlink r:id="rId18" w:history="1">
              <w:r w:rsidR="00130793" w:rsidRPr="003A60A9">
                <w:rPr>
                  <w:rStyle w:val="Hyperlink"/>
                  <w:rFonts w:ascii="Times New Roman" w:hAnsi="Times New Roman" w:cs="Times New Roman"/>
                  <w:sz w:val="24"/>
                  <w:szCs w:val="24"/>
                </w:rPr>
                <w:t>www.bank.lv</w:t>
              </w:r>
            </w:hyperlink>
            <w:r w:rsidR="00741AE8" w:rsidRPr="003A60A9">
              <w:rPr>
                <w:rFonts w:ascii="Times New Roman" w:hAnsi="Times New Roman" w:cs="Times New Roman"/>
                <w:sz w:val="24"/>
                <w:szCs w:val="24"/>
              </w:rPr>
              <w:t xml:space="preserve"> </w:t>
            </w:r>
            <w:r w:rsidR="00A66484" w:rsidRPr="003A60A9">
              <w:rPr>
                <w:rFonts w:ascii="Times New Roman" w:hAnsi="Times New Roman" w:cs="Times New Roman"/>
                <w:sz w:val="24"/>
                <w:szCs w:val="24"/>
              </w:rPr>
              <w:t xml:space="preserve">sadaļas "Tiesību akti" </w:t>
            </w:r>
            <w:proofErr w:type="spellStart"/>
            <w:r w:rsidR="00A66484" w:rsidRPr="003A60A9">
              <w:rPr>
                <w:rFonts w:ascii="Times New Roman" w:hAnsi="Times New Roman" w:cs="Times New Roman"/>
                <w:sz w:val="24"/>
                <w:szCs w:val="24"/>
              </w:rPr>
              <w:t>apakšsadaļā</w:t>
            </w:r>
            <w:proofErr w:type="spellEnd"/>
            <w:r w:rsidR="00A66484" w:rsidRPr="003A60A9">
              <w:rPr>
                <w:rFonts w:ascii="Times New Roman" w:hAnsi="Times New Roman" w:cs="Times New Roman"/>
                <w:sz w:val="24"/>
                <w:szCs w:val="24"/>
              </w:rPr>
              <w:t xml:space="preserve"> </w:t>
            </w:r>
            <w:r w:rsidRPr="003A60A9">
              <w:rPr>
                <w:rFonts w:ascii="Times New Roman" w:hAnsi="Times New Roman" w:cs="Times New Roman"/>
                <w:sz w:val="24"/>
                <w:szCs w:val="24"/>
              </w:rPr>
              <w:t xml:space="preserve">"Sabiedrības līdzdalība", un </w:t>
            </w:r>
            <w:r w:rsidR="003A60A9" w:rsidRPr="003A60A9">
              <w:rPr>
                <w:rFonts w:ascii="Times New Roman" w:hAnsi="Times New Roman" w:cs="Times New Roman"/>
                <w:sz w:val="24"/>
                <w:szCs w:val="24"/>
              </w:rPr>
              <w:t>līdz 2024.</w:t>
            </w:r>
            <w:r w:rsidR="003A60A9">
              <w:rPr>
                <w:rFonts w:ascii="Times New Roman" w:hAnsi="Times New Roman" w:cs="Times New Roman"/>
                <w:sz w:val="24"/>
                <w:szCs w:val="24"/>
              </w:rPr>
              <w:t> </w:t>
            </w:r>
            <w:r w:rsidR="003A60A9" w:rsidRPr="003A60A9">
              <w:rPr>
                <w:rFonts w:ascii="Times New Roman" w:hAnsi="Times New Roman" w:cs="Times New Roman"/>
                <w:sz w:val="24"/>
                <w:szCs w:val="24"/>
              </w:rPr>
              <w:t>gada 17.</w:t>
            </w:r>
            <w:r w:rsidR="003A60A9">
              <w:rPr>
                <w:rFonts w:ascii="Times New Roman" w:hAnsi="Times New Roman" w:cs="Times New Roman"/>
                <w:sz w:val="24"/>
                <w:szCs w:val="24"/>
              </w:rPr>
              <w:t> </w:t>
            </w:r>
            <w:r w:rsidR="003A60A9" w:rsidRPr="003A60A9">
              <w:rPr>
                <w:rFonts w:ascii="Times New Roman" w:hAnsi="Times New Roman" w:cs="Times New Roman"/>
                <w:sz w:val="24"/>
                <w:szCs w:val="24"/>
              </w:rPr>
              <w:t>aprīlim sabiedrībai bija iespēja iesaistīties tā apspriešanā.</w:t>
            </w:r>
          </w:p>
          <w:p w14:paraId="2F2F40D6" w14:textId="77777777" w:rsidR="007933F7" w:rsidRPr="003A60A9" w:rsidRDefault="007933F7" w:rsidP="00EA0CC6">
            <w:pPr>
              <w:jc w:val="both"/>
              <w:rPr>
                <w:rFonts w:ascii="Times New Roman" w:hAnsi="Times New Roman" w:cs="Times New Roman"/>
                <w:sz w:val="24"/>
                <w:szCs w:val="24"/>
              </w:rPr>
            </w:pPr>
          </w:p>
          <w:p w14:paraId="61CE77FB" w14:textId="75F543C8" w:rsidR="00905FAA" w:rsidRPr="003A60A9" w:rsidRDefault="00EA0CC6" w:rsidP="00EA0CC6">
            <w:pPr>
              <w:jc w:val="both"/>
              <w:rPr>
                <w:rFonts w:ascii="Times New Roman" w:hAnsi="Times New Roman" w:cs="Times New Roman"/>
                <w:sz w:val="24"/>
                <w:szCs w:val="24"/>
              </w:rPr>
            </w:pPr>
            <w:r w:rsidRPr="003A60A9">
              <w:rPr>
                <w:rFonts w:ascii="Times New Roman" w:hAnsi="Times New Roman" w:cs="Times New Roman"/>
                <w:sz w:val="24"/>
                <w:szCs w:val="24"/>
              </w:rPr>
              <w:t xml:space="preserve">Vienlaikus par </w:t>
            </w:r>
            <w:r w:rsidR="00914B51" w:rsidRPr="003A60A9">
              <w:rPr>
                <w:rFonts w:ascii="Times New Roman" w:hAnsi="Times New Roman" w:cs="Times New Roman"/>
                <w:sz w:val="24"/>
                <w:szCs w:val="24"/>
              </w:rPr>
              <w:t>n</w:t>
            </w:r>
            <w:r w:rsidRPr="003A60A9">
              <w:rPr>
                <w:rFonts w:ascii="Times New Roman" w:hAnsi="Times New Roman" w:cs="Times New Roman"/>
                <w:sz w:val="24"/>
                <w:szCs w:val="24"/>
              </w:rPr>
              <w:t xml:space="preserve">oteikumu projektu un notiekošo sabiedrības līdzdalību individuāli </w:t>
            </w:r>
            <w:r w:rsidR="003A60A9" w:rsidRPr="003A60A9">
              <w:rPr>
                <w:rFonts w:ascii="Times New Roman" w:hAnsi="Times New Roman" w:cs="Times New Roman"/>
                <w:sz w:val="24"/>
                <w:szCs w:val="24"/>
              </w:rPr>
              <w:t xml:space="preserve">tika </w:t>
            </w:r>
            <w:r w:rsidRPr="003A60A9">
              <w:rPr>
                <w:rFonts w:ascii="Times New Roman" w:hAnsi="Times New Roman" w:cs="Times New Roman"/>
                <w:sz w:val="24"/>
                <w:szCs w:val="24"/>
              </w:rPr>
              <w:t>informēta Latvijas Finanšu nozares asociācija</w:t>
            </w:r>
            <w:r w:rsidR="00905FAA" w:rsidRPr="003A60A9">
              <w:rPr>
                <w:rFonts w:ascii="Times New Roman" w:hAnsi="Times New Roman" w:cs="Times New Roman"/>
                <w:sz w:val="24"/>
                <w:szCs w:val="24"/>
              </w:rPr>
              <w:t xml:space="preserve"> un</w:t>
            </w:r>
            <w:r w:rsidRPr="003A60A9">
              <w:rPr>
                <w:rFonts w:ascii="Times New Roman" w:hAnsi="Times New Roman" w:cs="Times New Roman"/>
                <w:sz w:val="24"/>
                <w:szCs w:val="24"/>
              </w:rPr>
              <w:t xml:space="preserve"> </w:t>
            </w:r>
            <w:r w:rsidR="003A7C34" w:rsidRPr="003A60A9">
              <w:rPr>
                <w:rFonts w:ascii="Times New Roman" w:hAnsi="Times New Roman" w:cs="Times New Roman"/>
                <w:sz w:val="24"/>
                <w:szCs w:val="24"/>
              </w:rPr>
              <w:t>kredītiestādes, k</w:t>
            </w:r>
            <w:r w:rsidR="00D23F5F" w:rsidRPr="003A60A9">
              <w:rPr>
                <w:rFonts w:ascii="Times New Roman" w:hAnsi="Times New Roman" w:cs="Times New Roman"/>
                <w:sz w:val="24"/>
                <w:szCs w:val="24"/>
              </w:rPr>
              <w:t>ur</w:t>
            </w:r>
            <w:r w:rsidR="003A7C34" w:rsidRPr="003A60A9">
              <w:rPr>
                <w:rFonts w:ascii="Times New Roman" w:hAnsi="Times New Roman" w:cs="Times New Roman"/>
                <w:sz w:val="24"/>
                <w:szCs w:val="24"/>
              </w:rPr>
              <w:t>as nav Latvijas Finanšu nozares asociācijas biedr</w:t>
            </w:r>
            <w:r w:rsidR="00595003" w:rsidRPr="003A60A9">
              <w:rPr>
                <w:rFonts w:ascii="Times New Roman" w:hAnsi="Times New Roman" w:cs="Times New Roman"/>
                <w:sz w:val="24"/>
                <w:szCs w:val="24"/>
              </w:rPr>
              <w:t>es</w:t>
            </w:r>
            <w:r w:rsidRPr="003A60A9">
              <w:rPr>
                <w:rFonts w:ascii="Times New Roman" w:hAnsi="Times New Roman" w:cs="Times New Roman"/>
                <w:sz w:val="24"/>
                <w:szCs w:val="24"/>
              </w:rPr>
              <w:t>.</w:t>
            </w:r>
          </w:p>
        </w:tc>
      </w:tr>
      <w:tr w:rsidR="00FC38CB" w:rsidRPr="00A61684" w14:paraId="69C6D010" w14:textId="77777777" w:rsidTr="009B620B">
        <w:tc>
          <w:tcPr>
            <w:tcW w:w="1980" w:type="dxa"/>
          </w:tcPr>
          <w:p w14:paraId="19ED627F" w14:textId="0049A799" w:rsidR="00ED3376" w:rsidRPr="003A7C34" w:rsidRDefault="00FC38CB" w:rsidP="00FC38CB">
            <w:pPr>
              <w:jc w:val="both"/>
              <w:rPr>
                <w:rFonts w:ascii="Times New Roman" w:hAnsi="Times New Roman" w:cs="Times New Roman"/>
                <w:sz w:val="24"/>
                <w:szCs w:val="24"/>
              </w:rPr>
            </w:pPr>
            <w:r w:rsidRPr="00A202C9">
              <w:rPr>
                <w:rFonts w:ascii="Times New Roman" w:eastAsia="Times New Roman" w:hAnsi="Times New Roman" w:cs="Times New Roman"/>
                <w:b/>
                <w:bCs/>
                <w:sz w:val="24"/>
                <w:szCs w:val="24"/>
                <w:lang w:eastAsia="lv-LV"/>
              </w:rPr>
              <w:t>Saskaņošanas</w:t>
            </w:r>
            <w:r w:rsidRPr="003A7C34">
              <w:rPr>
                <w:rFonts w:ascii="Times New Roman" w:eastAsia="Times New Roman" w:hAnsi="Times New Roman" w:cs="Times New Roman"/>
                <w:sz w:val="24"/>
                <w:szCs w:val="24"/>
                <w:lang w:eastAsia="lv-LV"/>
              </w:rPr>
              <w:t xml:space="preserve"> </w:t>
            </w:r>
            <w:r w:rsidRPr="00A202C9">
              <w:rPr>
                <w:rFonts w:ascii="Times New Roman" w:eastAsia="Times New Roman" w:hAnsi="Times New Roman" w:cs="Times New Roman"/>
                <w:b/>
                <w:bCs/>
                <w:sz w:val="24"/>
                <w:szCs w:val="24"/>
                <w:lang w:eastAsia="lv-LV"/>
              </w:rPr>
              <w:t>rezultāti</w:t>
            </w:r>
          </w:p>
        </w:tc>
        <w:tc>
          <w:tcPr>
            <w:tcW w:w="6379" w:type="dxa"/>
          </w:tcPr>
          <w:p w14:paraId="42E86DBD" w14:textId="769E3C2B" w:rsidR="00FC38CB" w:rsidRPr="003227FD" w:rsidRDefault="003227FD" w:rsidP="00FC38CB">
            <w:pPr>
              <w:jc w:val="both"/>
              <w:rPr>
                <w:rFonts w:ascii="Times New Roman" w:hAnsi="Times New Roman" w:cs="Times New Roman"/>
                <w:sz w:val="24"/>
                <w:szCs w:val="24"/>
                <w:highlight w:val="yellow"/>
              </w:rPr>
            </w:pPr>
            <w:r w:rsidRPr="003227FD">
              <w:rPr>
                <w:rFonts w:ascii="Times New Roman" w:eastAsia="Times New Roman" w:hAnsi="Times New Roman" w:cs="Times New Roman"/>
                <w:bCs/>
                <w:sz w:val="24"/>
                <w:szCs w:val="24"/>
                <w:lang w:eastAsia="lv-LV"/>
              </w:rPr>
              <w:t>Sabiedrības līdzdalības rezultātā par noteikumu projektu netika saņemti priekšlikumi vai iebildumi. Līdz ar to noteikumu projekts ir saskaņots bez priekšlikumiem vai iebildumiem.</w:t>
            </w:r>
          </w:p>
        </w:tc>
      </w:tr>
    </w:tbl>
    <w:p w14:paraId="37E2A4CD" w14:textId="40409C4A" w:rsidR="004D7D20" w:rsidRPr="00741AE8" w:rsidRDefault="004D7D20" w:rsidP="00CB2ED4">
      <w:pPr>
        <w:jc w:val="both"/>
      </w:pPr>
    </w:p>
    <w:sectPr w:rsidR="004D7D20" w:rsidRPr="00741AE8" w:rsidSect="00F55EC3">
      <w:headerReference w:type="default" r:id="rId1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A1A02" w14:textId="77777777" w:rsidR="00963458" w:rsidRDefault="00963458" w:rsidP="004D7D20">
      <w:pPr>
        <w:spacing w:after="0" w:line="240" w:lineRule="auto"/>
      </w:pPr>
      <w:r>
        <w:separator/>
      </w:r>
    </w:p>
  </w:endnote>
  <w:endnote w:type="continuationSeparator" w:id="0">
    <w:p w14:paraId="00E78E62" w14:textId="77777777" w:rsidR="00963458" w:rsidRDefault="00963458"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600EB" w14:textId="77777777" w:rsidR="00963458" w:rsidRDefault="00963458" w:rsidP="004D7D20">
      <w:pPr>
        <w:spacing w:after="0" w:line="240" w:lineRule="auto"/>
      </w:pPr>
      <w:r>
        <w:separator/>
      </w:r>
    </w:p>
  </w:footnote>
  <w:footnote w:type="continuationSeparator" w:id="0">
    <w:p w14:paraId="4BA31C8E" w14:textId="77777777" w:rsidR="00963458" w:rsidRDefault="00963458"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Header"/>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1E5"/>
    <w:multiLevelType w:val="hybridMultilevel"/>
    <w:tmpl w:val="B3568EFE"/>
    <w:lvl w:ilvl="0" w:tplc="3F96AF28">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D97DA4"/>
    <w:multiLevelType w:val="hybridMultilevel"/>
    <w:tmpl w:val="7E1C7CC2"/>
    <w:lvl w:ilvl="0" w:tplc="7BF4D016">
      <w:start w:val="1"/>
      <w:numFmt w:val="decimal"/>
      <w:lvlText w:val="%1)"/>
      <w:lvlJc w:val="left"/>
      <w:pPr>
        <w:ind w:left="730" w:hanging="3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FD113C"/>
    <w:multiLevelType w:val="hybridMultilevel"/>
    <w:tmpl w:val="2334DF7C"/>
    <w:lvl w:ilvl="0" w:tplc="4980012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B014AD"/>
    <w:multiLevelType w:val="hybridMultilevel"/>
    <w:tmpl w:val="91C6EC74"/>
    <w:lvl w:ilvl="0" w:tplc="5FCCAC6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0EC1126"/>
    <w:multiLevelType w:val="hybridMultilevel"/>
    <w:tmpl w:val="B0A40654"/>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2564912"/>
    <w:multiLevelType w:val="hybridMultilevel"/>
    <w:tmpl w:val="05D6270A"/>
    <w:lvl w:ilvl="0" w:tplc="EC947CEA">
      <w:start w:val="1"/>
      <w:numFmt w:val="decimal"/>
      <w:lvlText w:val="%1)"/>
      <w:lvlJc w:val="left"/>
      <w:pPr>
        <w:ind w:left="720" w:hanging="360"/>
      </w:pPr>
    </w:lvl>
    <w:lvl w:ilvl="1" w:tplc="831A1694">
      <w:start w:val="1"/>
      <w:numFmt w:val="decimal"/>
      <w:lvlText w:val="%2)"/>
      <w:lvlJc w:val="left"/>
      <w:pPr>
        <w:ind w:left="720" w:hanging="360"/>
      </w:pPr>
    </w:lvl>
    <w:lvl w:ilvl="2" w:tplc="B434C43C">
      <w:start w:val="1"/>
      <w:numFmt w:val="decimal"/>
      <w:lvlText w:val="%3)"/>
      <w:lvlJc w:val="left"/>
      <w:pPr>
        <w:ind w:left="720" w:hanging="360"/>
      </w:pPr>
    </w:lvl>
    <w:lvl w:ilvl="3" w:tplc="D7904E48">
      <w:start w:val="1"/>
      <w:numFmt w:val="decimal"/>
      <w:lvlText w:val="%4)"/>
      <w:lvlJc w:val="left"/>
      <w:pPr>
        <w:ind w:left="720" w:hanging="360"/>
      </w:pPr>
    </w:lvl>
    <w:lvl w:ilvl="4" w:tplc="847E651C">
      <w:start w:val="1"/>
      <w:numFmt w:val="decimal"/>
      <w:lvlText w:val="%5)"/>
      <w:lvlJc w:val="left"/>
      <w:pPr>
        <w:ind w:left="720" w:hanging="360"/>
      </w:pPr>
    </w:lvl>
    <w:lvl w:ilvl="5" w:tplc="4C4C9740">
      <w:start w:val="1"/>
      <w:numFmt w:val="decimal"/>
      <w:lvlText w:val="%6)"/>
      <w:lvlJc w:val="left"/>
      <w:pPr>
        <w:ind w:left="720" w:hanging="360"/>
      </w:pPr>
    </w:lvl>
    <w:lvl w:ilvl="6" w:tplc="03E494DA">
      <w:start w:val="1"/>
      <w:numFmt w:val="decimal"/>
      <w:lvlText w:val="%7)"/>
      <w:lvlJc w:val="left"/>
      <w:pPr>
        <w:ind w:left="720" w:hanging="360"/>
      </w:pPr>
    </w:lvl>
    <w:lvl w:ilvl="7" w:tplc="1674E760">
      <w:start w:val="1"/>
      <w:numFmt w:val="decimal"/>
      <w:lvlText w:val="%8)"/>
      <w:lvlJc w:val="left"/>
      <w:pPr>
        <w:ind w:left="720" w:hanging="360"/>
      </w:pPr>
    </w:lvl>
    <w:lvl w:ilvl="8" w:tplc="E892F004">
      <w:start w:val="1"/>
      <w:numFmt w:val="decimal"/>
      <w:lvlText w:val="%9)"/>
      <w:lvlJc w:val="left"/>
      <w:pPr>
        <w:ind w:left="720" w:hanging="360"/>
      </w:pPr>
    </w:lvl>
  </w:abstractNum>
  <w:abstractNum w:abstractNumId="10" w15:restartNumberingAfterBreak="0">
    <w:nsid w:val="666E45F6"/>
    <w:multiLevelType w:val="hybridMultilevel"/>
    <w:tmpl w:val="14043DCC"/>
    <w:lvl w:ilvl="0" w:tplc="B0A06E3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A7D72E1"/>
    <w:multiLevelType w:val="hybridMultilevel"/>
    <w:tmpl w:val="7B668A70"/>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20741383">
    <w:abstractNumId w:val="5"/>
  </w:num>
  <w:num w:numId="2" w16cid:durableId="219558385">
    <w:abstractNumId w:val="4"/>
  </w:num>
  <w:num w:numId="3" w16cid:durableId="253784293">
    <w:abstractNumId w:val="7"/>
  </w:num>
  <w:num w:numId="4" w16cid:durableId="1561595583">
    <w:abstractNumId w:val="6"/>
  </w:num>
  <w:num w:numId="5" w16cid:durableId="1733966821">
    <w:abstractNumId w:val="2"/>
  </w:num>
  <w:num w:numId="6" w16cid:durableId="479614518">
    <w:abstractNumId w:val="8"/>
  </w:num>
  <w:num w:numId="7" w16cid:durableId="680812784">
    <w:abstractNumId w:val="9"/>
  </w:num>
  <w:num w:numId="8" w16cid:durableId="1325476210">
    <w:abstractNumId w:val="1"/>
  </w:num>
  <w:num w:numId="9" w16cid:durableId="879898212">
    <w:abstractNumId w:val="0"/>
  </w:num>
  <w:num w:numId="10" w16cid:durableId="66807346">
    <w:abstractNumId w:val="11"/>
  </w:num>
  <w:num w:numId="11" w16cid:durableId="1330987611">
    <w:abstractNumId w:val="10"/>
  </w:num>
  <w:num w:numId="12" w16cid:durableId="8123303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13443"/>
    <w:rsid w:val="000151B7"/>
    <w:rsid w:val="00024967"/>
    <w:rsid w:val="000302A5"/>
    <w:rsid w:val="0003523B"/>
    <w:rsid w:val="0003590D"/>
    <w:rsid w:val="000375CF"/>
    <w:rsid w:val="000434F8"/>
    <w:rsid w:val="00052B8F"/>
    <w:rsid w:val="000620CA"/>
    <w:rsid w:val="00066059"/>
    <w:rsid w:val="00070518"/>
    <w:rsid w:val="000711B5"/>
    <w:rsid w:val="000721E1"/>
    <w:rsid w:val="000754BB"/>
    <w:rsid w:val="00077024"/>
    <w:rsid w:val="00083B07"/>
    <w:rsid w:val="00084683"/>
    <w:rsid w:val="00093104"/>
    <w:rsid w:val="00094025"/>
    <w:rsid w:val="000A0EE9"/>
    <w:rsid w:val="000A360D"/>
    <w:rsid w:val="000A49BC"/>
    <w:rsid w:val="000B0418"/>
    <w:rsid w:val="000B0F0C"/>
    <w:rsid w:val="000B18AB"/>
    <w:rsid w:val="000B1C7D"/>
    <w:rsid w:val="000B491E"/>
    <w:rsid w:val="000B4A2E"/>
    <w:rsid w:val="000B4B85"/>
    <w:rsid w:val="000C4902"/>
    <w:rsid w:val="000C76AC"/>
    <w:rsid w:val="000D1B33"/>
    <w:rsid w:val="000D6E98"/>
    <w:rsid w:val="000D7B1E"/>
    <w:rsid w:val="000E1D27"/>
    <w:rsid w:val="000E325F"/>
    <w:rsid w:val="000E5859"/>
    <w:rsid w:val="000E6700"/>
    <w:rsid w:val="00100A93"/>
    <w:rsid w:val="0010496E"/>
    <w:rsid w:val="00110603"/>
    <w:rsid w:val="0011303F"/>
    <w:rsid w:val="001133A1"/>
    <w:rsid w:val="00123692"/>
    <w:rsid w:val="00130793"/>
    <w:rsid w:val="00135993"/>
    <w:rsid w:val="00147132"/>
    <w:rsid w:val="00147622"/>
    <w:rsid w:val="00150193"/>
    <w:rsid w:val="0015367A"/>
    <w:rsid w:val="00155775"/>
    <w:rsid w:val="00161FB8"/>
    <w:rsid w:val="00170221"/>
    <w:rsid w:val="00171022"/>
    <w:rsid w:val="00176C6E"/>
    <w:rsid w:val="0018184F"/>
    <w:rsid w:val="001827C1"/>
    <w:rsid w:val="0019598C"/>
    <w:rsid w:val="00195C8F"/>
    <w:rsid w:val="001A2F7D"/>
    <w:rsid w:val="001A77AD"/>
    <w:rsid w:val="001B4534"/>
    <w:rsid w:val="001B64D4"/>
    <w:rsid w:val="001B681C"/>
    <w:rsid w:val="001C03E8"/>
    <w:rsid w:val="001D0779"/>
    <w:rsid w:val="001E0325"/>
    <w:rsid w:val="001E045D"/>
    <w:rsid w:val="001E0BB0"/>
    <w:rsid w:val="001E34F2"/>
    <w:rsid w:val="001E701B"/>
    <w:rsid w:val="001F4EF1"/>
    <w:rsid w:val="001F60BD"/>
    <w:rsid w:val="001F61C1"/>
    <w:rsid w:val="001F6CE3"/>
    <w:rsid w:val="0020468E"/>
    <w:rsid w:val="00210B1F"/>
    <w:rsid w:val="002113FD"/>
    <w:rsid w:val="00211D34"/>
    <w:rsid w:val="002126D1"/>
    <w:rsid w:val="00212A26"/>
    <w:rsid w:val="0021670E"/>
    <w:rsid w:val="00220B6E"/>
    <w:rsid w:val="00220EB4"/>
    <w:rsid w:val="0022165C"/>
    <w:rsid w:val="0022614E"/>
    <w:rsid w:val="0023270E"/>
    <w:rsid w:val="002346B0"/>
    <w:rsid w:val="002408A7"/>
    <w:rsid w:val="00242E4C"/>
    <w:rsid w:val="0024470D"/>
    <w:rsid w:val="00251046"/>
    <w:rsid w:val="00251781"/>
    <w:rsid w:val="00255F29"/>
    <w:rsid w:val="002621A4"/>
    <w:rsid w:val="00262A34"/>
    <w:rsid w:val="0027276E"/>
    <w:rsid w:val="00272819"/>
    <w:rsid w:val="00283B21"/>
    <w:rsid w:val="00283D41"/>
    <w:rsid w:val="00291BE1"/>
    <w:rsid w:val="002963A3"/>
    <w:rsid w:val="00296CC5"/>
    <w:rsid w:val="002A6CA2"/>
    <w:rsid w:val="002B2E47"/>
    <w:rsid w:val="002C6295"/>
    <w:rsid w:val="002D3FFE"/>
    <w:rsid w:val="002D4A37"/>
    <w:rsid w:val="002E1327"/>
    <w:rsid w:val="002E5FC9"/>
    <w:rsid w:val="002E635F"/>
    <w:rsid w:val="002F10D7"/>
    <w:rsid w:val="002F1C0C"/>
    <w:rsid w:val="002F2A40"/>
    <w:rsid w:val="002F6633"/>
    <w:rsid w:val="00300178"/>
    <w:rsid w:val="00304AD5"/>
    <w:rsid w:val="0030749C"/>
    <w:rsid w:val="00312CED"/>
    <w:rsid w:val="00313DCA"/>
    <w:rsid w:val="00316B11"/>
    <w:rsid w:val="00317F16"/>
    <w:rsid w:val="00321062"/>
    <w:rsid w:val="003227FD"/>
    <w:rsid w:val="00324765"/>
    <w:rsid w:val="003260EC"/>
    <w:rsid w:val="00326F2F"/>
    <w:rsid w:val="003311CD"/>
    <w:rsid w:val="00331694"/>
    <w:rsid w:val="003340A7"/>
    <w:rsid w:val="00343634"/>
    <w:rsid w:val="003442A2"/>
    <w:rsid w:val="003502E8"/>
    <w:rsid w:val="003514E7"/>
    <w:rsid w:val="003528D3"/>
    <w:rsid w:val="003569D0"/>
    <w:rsid w:val="003604DF"/>
    <w:rsid w:val="00361DD9"/>
    <w:rsid w:val="0036658F"/>
    <w:rsid w:val="00366CC3"/>
    <w:rsid w:val="00371040"/>
    <w:rsid w:val="0037135D"/>
    <w:rsid w:val="003770FF"/>
    <w:rsid w:val="003876A6"/>
    <w:rsid w:val="003912A6"/>
    <w:rsid w:val="003934A3"/>
    <w:rsid w:val="003A1547"/>
    <w:rsid w:val="003A60A9"/>
    <w:rsid w:val="003A7C34"/>
    <w:rsid w:val="003B01FF"/>
    <w:rsid w:val="003B0F31"/>
    <w:rsid w:val="003B17E3"/>
    <w:rsid w:val="003B33BA"/>
    <w:rsid w:val="003B5C31"/>
    <w:rsid w:val="003B5DE1"/>
    <w:rsid w:val="003B7C70"/>
    <w:rsid w:val="003C0EE6"/>
    <w:rsid w:val="003C2B3E"/>
    <w:rsid w:val="003D1C04"/>
    <w:rsid w:val="003E0020"/>
    <w:rsid w:val="003E04EB"/>
    <w:rsid w:val="003E559F"/>
    <w:rsid w:val="003F20B8"/>
    <w:rsid w:val="003F2BDA"/>
    <w:rsid w:val="003F4D46"/>
    <w:rsid w:val="0040095C"/>
    <w:rsid w:val="00404CD6"/>
    <w:rsid w:val="0041058E"/>
    <w:rsid w:val="00422A7C"/>
    <w:rsid w:val="00426B2C"/>
    <w:rsid w:val="00430443"/>
    <w:rsid w:val="00430A44"/>
    <w:rsid w:val="004322E3"/>
    <w:rsid w:val="00437266"/>
    <w:rsid w:val="00441B3E"/>
    <w:rsid w:val="00442D8A"/>
    <w:rsid w:val="0044564D"/>
    <w:rsid w:val="004463D3"/>
    <w:rsid w:val="0045084D"/>
    <w:rsid w:val="00450C86"/>
    <w:rsid w:val="00456FAA"/>
    <w:rsid w:val="0046451C"/>
    <w:rsid w:val="00465DD0"/>
    <w:rsid w:val="00472FFC"/>
    <w:rsid w:val="004772FB"/>
    <w:rsid w:val="004816A5"/>
    <w:rsid w:val="00483FEF"/>
    <w:rsid w:val="00494F09"/>
    <w:rsid w:val="004A5D40"/>
    <w:rsid w:val="004A6880"/>
    <w:rsid w:val="004A6F4E"/>
    <w:rsid w:val="004B3BBE"/>
    <w:rsid w:val="004B6B4B"/>
    <w:rsid w:val="004D1EB8"/>
    <w:rsid w:val="004D5218"/>
    <w:rsid w:val="004D63C1"/>
    <w:rsid w:val="004D7821"/>
    <w:rsid w:val="004D7D20"/>
    <w:rsid w:val="004E0F0D"/>
    <w:rsid w:val="004E638F"/>
    <w:rsid w:val="004F068C"/>
    <w:rsid w:val="004F0FE1"/>
    <w:rsid w:val="004F226D"/>
    <w:rsid w:val="004F4693"/>
    <w:rsid w:val="004F5C09"/>
    <w:rsid w:val="005028D8"/>
    <w:rsid w:val="0050352A"/>
    <w:rsid w:val="00516E44"/>
    <w:rsid w:val="00520B95"/>
    <w:rsid w:val="005322CF"/>
    <w:rsid w:val="00533A17"/>
    <w:rsid w:val="00533C38"/>
    <w:rsid w:val="005364B7"/>
    <w:rsid w:val="00536901"/>
    <w:rsid w:val="00542010"/>
    <w:rsid w:val="0055187E"/>
    <w:rsid w:val="00561840"/>
    <w:rsid w:val="00563073"/>
    <w:rsid w:val="005673EC"/>
    <w:rsid w:val="00567DEF"/>
    <w:rsid w:val="00571F5D"/>
    <w:rsid w:val="005721A2"/>
    <w:rsid w:val="00577222"/>
    <w:rsid w:val="00580783"/>
    <w:rsid w:val="0059070B"/>
    <w:rsid w:val="00590EF4"/>
    <w:rsid w:val="00591091"/>
    <w:rsid w:val="00592C52"/>
    <w:rsid w:val="00592E64"/>
    <w:rsid w:val="00593C7F"/>
    <w:rsid w:val="00593EB6"/>
    <w:rsid w:val="005945BA"/>
    <w:rsid w:val="00595003"/>
    <w:rsid w:val="005A2587"/>
    <w:rsid w:val="005A2AB1"/>
    <w:rsid w:val="005A371C"/>
    <w:rsid w:val="005B0D79"/>
    <w:rsid w:val="005B38B3"/>
    <w:rsid w:val="005B73FE"/>
    <w:rsid w:val="005B7F87"/>
    <w:rsid w:val="005C3130"/>
    <w:rsid w:val="005C6F27"/>
    <w:rsid w:val="005C7A4E"/>
    <w:rsid w:val="005E2284"/>
    <w:rsid w:val="005E3527"/>
    <w:rsid w:val="005E3B80"/>
    <w:rsid w:val="005E64B3"/>
    <w:rsid w:val="005F36CC"/>
    <w:rsid w:val="005F6090"/>
    <w:rsid w:val="00601D56"/>
    <w:rsid w:val="00603D98"/>
    <w:rsid w:val="006057EE"/>
    <w:rsid w:val="00606810"/>
    <w:rsid w:val="00606FCF"/>
    <w:rsid w:val="00621B68"/>
    <w:rsid w:val="00624CE8"/>
    <w:rsid w:val="00626732"/>
    <w:rsid w:val="006307A1"/>
    <w:rsid w:val="00630FA7"/>
    <w:rsid w:val="00633269"/>
    <w:rsid w:val="00633E46"/>
    <w:rsid w:val="0063607A"/>
    <w:rsid w:val="00642BC4"/>
    <w:rsid w:val="00644EBB"/>
    <w:rsid w:val="0064657E"/>
    <w:rsid w:val="00650410"/>
    <w:rsid w:val="00651479"/>
    <w:rsid w:val="006525D1"/>
    <w:rsid w:val="00653039"/>
    <w:rsid w:val="00653960"/>
    <w:rsid w:val="00656FF8"/>
    <w:rsid w:val="00657769"/>
    <w:rsid w:val="00665CAD"/>
    <w:rsid w:val="00672C45"/>
    <w:rsid w:val="00673281"/>
    <w:rsid w:val="00680E40"/>
    <w:rsid w:val="0068263E"/>
    <w:rsid w:val="006827F2"/>
    <w:rsid w:val="0068372E"/>
    <w:rsid w:val="0068380B"/>
    <w:rsid w:val="00685A05"/>
    <w:rsid w:val="00686149"/>
    <w:rsid w:val="00686B6E"/>
    <w:rsid w:val="00690E9C"/>
    <w:rsid w:val="006A3B94"/>
    <w:rsid w:val="006A4445"/>
    <w:rsid w:val="006A6073"/>
    <w:rsid w:val="006C564A"/>
    <w:rsid w:val="006D077B"/>
    <w:rsid w:val="006D0C5C"/>
    <w:rsid w:val="006D15E0"/>
    <w:rsid w:val="006D1626"/>
    <w:rsid w:val="006D1A02"/>
    <w:rsid w:val="006D5F36"/>
    <w:rsid w:val="006D6D82"/>
    <w:rsid w:val="006F5239"/>
    <w:rsid w:val="007048E4"/>
    <w:rsid w:val="00710686"/>
    <w:rsid w:val="0071625E"/>
    <w:rsid w:val="00717322"/>
    <w:rsid w:val="0071733C"/>
    <w:rsid w:val="007200D7"/>
    <w:rsid w:val="00721BEA"/>
    <w:rsid w:val="00731A18"/>
    <w:rsid w:val="0073254C"/>
    <w:rsid w:val="00736400"/>
    <w:rsid w:val="00736D49"/>
    <w:rsid w:val="00737059"/>
    <w:rsid w:val="00741AE8"/>
    <w:rsid w:val="007437A8"/>
    <w:rsid w:val="007442E2"/>
    <w:rsid w:val="00745C0D"/>
    <w:rsid w:val="007467C2"/>
    <w:rsid w:val="007539DC"/>
    <w:rsid w:val="00760EAA"/>
    <w:rsid w:val="0076100E"/>
    <w:rsid w:val="007657EB"/>
    <w:rsid w:val="007719B2"/>
    <w:rsid w:val="007747FE"/>
    <w:rsid w:val="007824EB"/>
    <w:rsid w:val="00786B14"/>
    <w:rsid w:val="00787487"/>
    <w:rsid w:val="007933F7"/>
    <w:rsid w:val="00797204"/>
    <w:rsid w:val="00797917"/>
    <w:rsid w:val="007A4EB3"/>
    <w:rsid w:val="007C3713"/>
    <w:rsid w:val="007C60B7"/>
    <w:rsid w:val="007D3FB7"/>
    <w:rsid w:val="007E15C8"/>
    <w:rsid w:val="007E4E5C"/>
    <w:rsid w:val="00800B4C"/>
    <w:rsid w:val="008051E4"/>
    <w:rsid w:val="008061DF"/>
    <w:rsid w:val="008112CA"/>
    <w:rsid w:val="00817418"/>
    <w:rsid w:val="00821405"/>
    <w:rsid w:val="00822E71"/>
    <w:rsid w:val="00823C89"/>
    <w:rsid w:val="00825D1F"/>
    <w:rsid w:val="00830037"/>
    <w:rsid w:val="0083376C"/>
    <w:rsid w:val="00834471"/>
    <w:rsid w:val="00835821"/>
    <w:rsid w:val="00835D81"/>
    <w:rsid w:val="00836D64"/>
    <w:rsid w:val="0084323D"/>
    <w:rsid w:val="00845440"/>
    <w:rsid w:val="00851C5D"/>
    <w:rsid w:val="00853301"/>
    <w:rsid w:val="00854E07"/>
    <w:rsid w:val="00861A27"/>
    <w:rsid w:val="0086383F"/>
    <w:rsid w:val="008642EF"/>
    <w:rsid w:val="00866469"/>
    <w:rsid w:val="00871F76"/>
    <w:rsid w:val="008740A8"/>
    <w:rsid w:val="00877C44"/>
    <w:rsid w:val="00883734"/>
    <w:rsid w:val="008839BC"/>
    <w:rsid w:val="008875CF"/>
    <w:rsid w:val="0089023F"/>
    <w:rsid w:val="00894B59"/>
    <w:rsid w:val="008950CA"/>
    <w:rsid w:val="00895362"/>
    <w:rsid w:val="008B03F7"/>
    <w:rsid w:val="008B4C29"/>
    <w:rsid w:val="008B56E6"/>
    <w:rsid w:val="008B75D0"/>
    <w:rsid w:val="008B7C5A"/>
    <w:rsid w:val="008C0B17"/>
    <w:rsid w:val="008C18C8"/>
    <w:rsid w:val="008C500E"/>
    <w:rsid w:val="008D0C81"/>
    <w:rsid w:val="008D1AFB"/>
    <w:rsid w:val="008D76DE"/>
    <w:rsid w:val="008E09D5"/>
    <w:rsid w:val="008E292D"/>
    <w:rsid w:val="008F10D3"/>
    <w:rsid w:val="008F15D4"/>
    <w:rsid w:val="008F428D"/>
    <w:rsid w:val="008F7432"/>
    <w:rsid w:val="008F759A"/>
    <w:rsid w:val="0090010A"/>
    <w:rsid w:val="009051B9"/>
    <w:rsid w:val="00905C0A"/>
    <w:rsid w:val="00905FAA"/>
    <w:rsid w:val="009063AF"/>
    <w:rsid w:val="00906B10"/>
    <w:rsid w:val="00910227"/>
    <w:rsid w:val="00912565"/>
    <w:rsid w:val="009127FC"/>
    <w:rsid w:val="00913365"/>
    <w:rsid w:val="0091404B"/>
    <w:rsid w:val="00914189"/>
    <w:rsid w:val="00914420"/>
    <w:rsid w:val="00914B51"/>
    <w:rsid w:val="00914D5A"/>
    <w:rsid w:val="00927070"/>
    <w:rsid w:val="00931484"/>
    <w:rsid w:val="009335D5"/>
    <w:rsid w:val="00937A4F"/>
    <w:rsid w:val="009500E7"/>
    <w:rsid w:val="0095203D"/>
    <w:rsid w:val="00952874"/>
    <w:rsid w:val="00954061"/>
    <w:rsid w:val="00963458"/>
    <w:rsid w:val="0096351E"/>
    <w:rsid w:val="00964FB9"/>
    <w:rsid w:val="00965373"/>
    <w:rsid w:val="00977615"/>
    <w:rsid w:val="009822D4"/>
    <w:rsid w:val="00987987"/>
    <w:rsid w:val="0099611F"/>
    <w:rsid w:val="00996D7D"/>
    <w:rsid w:val="009A0657"/>
    <w:rsid w:val="009A5CC3"/>
    <w:rsid w:val="009B0544"/>
    <w:rsid w:val="009B1075"/>
    <w:rsid w:val="009B4AC9"/>
    <w:rsid w:val="009B6162"/>
    <w:rsid w:val="009B620B"/>
    <w:rsid w:val="009C3525"/>
    <w:rsid w:val="009C3909"/>
    <w:rsid w:val="009D1970"/>
    <w:rsid w:val="009D53DE"/>
    <w:rsid w:val="009E425D"/>
    <w:rsid w:val="009E6A95"/>
    <w:rsid w:val="009F2D2F"/>
    <w:rsid w:val="009F5A05"/>
    <w:rsid w:val="00A11EBC"/>
    <w:rsid w:val="00A16630"/>
    <w:rsid w:val="00A202C9"/>
    <w:rsid w:val="00A23583"/>
    <w:rsid w:val="00A325E3"/>
    <w:rsid w:val="00A4254A"/>
    <w:rsid w:val="00A46015"/>
    <w:rsid w:val="00A46872"/>
    <w:rsid w:val="00A551E7"/>
    <w:rsid w:val="00A5715C"/>
    <w:rsid w:val="00A61684"/>
    <w:rsid w:val="00A66484"/>
    <w:rsid w:val="00A77246"/>
    <w:rsid w:val="00A85BEA"/>
    <w:rsid w:val="00A969C9"/>
    <w:rsid w:val="00A9721F"/>
    <w:rsid w:val="00AA195C"/>
    <w:rsid w:val="00AB3B6E"/>
    <w:rsid w:val="00AB4AF8"/>
    <w:rsid w:val="00AC2934"/>
    <w:rsid w:val="00AC77DE"/>
    <w:rsid w:val="00AD106D"/>
    <w:rsid w:val="00AD2183"/>
    <w:rsid w:val="00AD392C"/>
    <w:rsid w:val="00AE1C96"/>
    <w:rsid w:val="00AF06BE"/>
    <w:rsid w:val="00AF3B0F"/>
    <w:rsid w:val="00AF5404"/>
    <w:rsid w:val="00AF7C4C"/>
    <w:rsid w:val="00B01E24"/>
    <w:rsid w:val="00B124CD"/>
    <w:rsid w:val="00B13592"/>
    <w:rsid w:val="00B2040A"/>
    <w:rsid w:val="00B20F58"/>
    <w:rsid w:val="00B21111"/>
    <w:rsid w:val="00B305D2"/>
    <w:rsid w:val="00B30615"/>
    <w:rsid w:val="00B32AF1"/>
    <w:rsid w:val="00B353B7"/>
    <w:rsid w:val="00B35D22"/>
    <w:rsid w:val="00B3777E"/>
    <w:rsid w:val="00B40708"/>
    <w:rsid w:val="00B431A8"/>
    <w:rsid w:val="00B43E2A"/>
    <w:rsid w:val="00B5670E"/>
    <w:rsid w:val="00B626DA"/>
    <w:rsid w:val="00B821A5"/>
    <w:rsid w:val="00B82618"/>
    <w:rsid w:val="00B84167"/>
    <w:rsid w:val="00B87BDC"/>
    <w:rsid w:val="00B90C07"/>
    <w:rsid w:val="00B91AFC"/>
    <w:rsid w:val="00B91D57"/>
    <w:rsid w:val="00B922C6"/>
    <w:rsid w:val="00B93ACD"/>
    <w:rsid w:val="00BA3686"/>
    <w:rsid w:val="00BA64F9"/>
    <w:rsid w:val="00BB6E66"/>
    <w:rsid w:val="00BC0110"/>
    <w:rsid w:val="00BC3468"/>
    <w:rsid w:val="00BC411D"/>
    <w:rsid w:val="00BE22D3"/>
    <w:rsid w:val="00BE3D09"/>
    <w:rsid w:val="00BE7A81"/>
    <w:rsid w:val="00BF0AFB"/>
    <w:rsid w:val="00BF2932"/>
    <w:rsid w:val="00BF5BB6"/>
    <w:rsid w:val="00C011BC"/>
    <w:rsid w:val="00C07599"/>
    <w:rsid w:val="00C079C4"/>
    <w:rsid w:val="00C11DFC"/>
    <w:rsid w:val="00C12CF8"/>
    <w:rsid w:val="00C17300"/>
    <w:rsid w:val="00C1739D"/>
    <w:rsid w:val="00C217B9"/>
    <w:rsid w:val="00C246CB"/>
    <w:rsid w:val="00C253C7"/>
    <w:rsid w:val="00C3120B"/>
    <w:rsid w:val="00C31C47"/>
    <w:rsid w:val="00C36164"/>
    <w:rsid w:val="00C36F5E"/>
    <w:rsid w:val="00C41B8C"/>
    <w:rsid w:val="00C519B1"/>
    <w:rsid w:val="00C52D72"/>
    <w:rsid w:val="00C56AB3"/>
    <w:rsid w:val="00C57D77"/>
    <w:rsid w:val="00C61E53"/>
    <w:rsid w:val="00C6671C"/>
    <w:rsid w:val="00C774DB"/>
    <w:rsid w:val="00C77D1C"/>
    <w:rsid w:val="00C833B0"/>
    <w:rsid w:val="00C91B92"/>
    <w:rsid w:val="00C9333A"/>
    <w:rsid w:val="00C94171"/>
    <w:rsid w:val="00C95193"/>
    <w:rsid w:val="00C952EC"/>
    <w:rsid w:val="00CA0E4F"/>
    <w:rsid w:val="00CA3C0C"/>
    <w:rsid w:val="00CA4A7A"/>
    <w:rsid w:val="00CA4E9E"/>
    <w:rsid w:val="00CA5AD7"/>
    <w:rsid w:val="00CA6589"/>
    <w:rsid w:val="00CA67B3"/>
    <w:rsid w:val="00CA7D59"/>
    <w:rsid w:val="00CB29D1"/>
    <w:rsid w:val="00CB2ED4"/>
    <w:rsid w:val="00CB36F6"/>
    <w:rsid w:val="00CB5D37"/>
    <w:rsid w:val="00CB67BA"/>
    <w:rsid w:val="00CC035C"/>
    <w:rsid w:val="00CC4A55"/>
    <w:rsid w:val="00CC70C1"/>
    <w:rsid w:val="00CD37E5"/>
    <w:rsid w:val="00CE18CE"/>
    <w:rsid w:val="00CE4B02"/>
    <w:rsid w:val="00CF1BA0"/>
    <w:rsid w:val="00CF6ED5"/>
    <w:rsid w:val="00D05249"/>
    <w:rsid w:val="00D06984"/>
    <w:rsid w:val="00D10CD9"/>
    <w:rsid w:val="00D23F5F"/>
    <w:rsid w:val="00D25B16"/>
    <w:rsid w:val="00D34E4F"/>
    <w:rsid w:val="00D417CA"/>
    <w:rsid w:val="00D430B7"/>
    <w:rsid w:val="00D53004"/>
    <w:rsid w:val="00D53B05"/>
    <w:rsid w:val="00D57B18"/>
    <w:rsid w:val="00D67D2E"/>
    <w:rsid w:val="00D70FDF"/>
    <w:rsid w:val="00D71FB4"/>
    <w:rsid w:val="00D720FB"/>
    <w:rsid w:val="00D738B1"/>
    <w:rsid w:val="00D83C67"/>
    <w:rsid w:val="00D84FB8"/>
    <w:rsid w:val="00D87F65"/>
    <w:rsid w:val="00D90B21"/>
    <w:rsid w:val="00D91C56"/>
    <w:rsid w:val="00D96AA6"/>
    <w:rsid w:val="00DA2007"/>
    <w:rsid w:val="00DA32E6"/>
    <w:rsid w:val="00DC0200"/>
    <w:rsid w:val="00DC0682"/>
    <w:rsid w:val="00DC329B"/>
    <w:rsid w:val="00DC58C2"/>
    <w:rsid w:val="00DD59EA"/>
    <w:rsid w:val="00DE1D4F"/>
    <w:rsid w:val="00DE5181"/>
    <w:rsid w:val="00DE54D0"/>
    <w:rsid w:val="00DE5710"/>
    <w:rsid w:val="00DF13E6"/>
    <w:rsid w:val="00DF2AF1"/>
    <w:rsid w:val="00DF425D"/>
    <w:rsid w:val="00DF769D"/>
    <w:rsid w:val="00E01603"/>
    <w:rsid w:val="00E02C21"/>
    <w:rsid w:val="00E0471F"/>
    <w:rsid w:val="00E0655E"/>
    <w:rsid w:val="00E1178C"/>
    <w:rsid w:val="00E20DE8"/>
    <w:rsid w:val="00E22880"/>
    <w:rsid w:val="00E2293F"/>
    <w:rsid w:val="00E2509D"/>
    <w:rsid w:val="00E337E7"/>
    <w:rsid w:val="00E349E3"/>
    <w:rsid w:val="00E366A0"/>
    <w:rsid w:val="00E4484D"/>
    <w:rsid w:val="00E47C44"/>
    <w:rsid w:val="00E55349"/>
    <w:rsid w:val="00E63B84"/>
    <w:rsid w:val="00E657DE"/>
    <w:rsid w:val="00E660A6"/>
    <w:rsid w:val="00E67036"/>
    <w:rsid w:val="00E67EA0"/>
    <w:rsid w:val="00E737AC"/>
    <w:rsid w:val="00E73DEF"/>
    <w:rsid w:val="00E82790"/>
    <w:rsid w:val="00E829A1"/>
    <w:rsid w:val="00E83B23"/>
    <w:rsid w:val="00E85A18"/>
    <w:rsid w:val="00E87461"/>
    <w:rsid w:val="00E9559F"/>
    <w:rsid w:val="00E97E14"/>
    <w:rsid w:val="00EA061E"/>
    <w:rsid w:val="00EA0CC6"/>
    <w:rsid w:val="00EA2EB2"/>
    <w:rsid w:val="00EA3C17"/>
    <w:rsid w:val="00EB6818"/>
    <w:rsid w:val="00EC27B8"/>
    <w:rsid w:val="00EC34DC"/>
    <w:rsid w:val="00EC44FD"/>
    <w:rsid w:val="00ED3376"/>
    <w:rsid w:val="00EE014A"/>
    <w:rsid w:val="00EE426C"/>
    <w:rsid w:val="00EE4CA3"/>
    <w:rsid w:val="00EE61B4"/>
    <w:rsid w:val="00EF2B72"/>
    <w:rsid w:val="00EF64CC"/>
    <w:rsid w:val="00EF78EF"/>
    <w:rsid w:val="00F00555"/>
    <w:rsid w:val="00F0440B"/>
    <w:rsid w:val="00F07888"/>
    <w:rsid w:val="00F11EC5"/>
    <w:rsid w:val="00F1508E"/>
    <w:rsid w:val="00F22887"/>
    <w:rsid w:val="00F235E3"/>
    <w:rsid w:val="00F23FE0"/>
    <w:rsid w:val="00F24CF6"/>
    <w:rsid w:val="00F254B3"/>
    <w:rsid w:val="00F26E81"/>
    <w:rsid w:val="00F2777F"/>
    <w:rsid w:val="00F31808"/>
    <w:rsid w:val="00F32B6E"/>
    <w:rsid w:val="00F3350F"/>
    <w:rsid w:val="00F36222"/>
    <w:rsid w:val="00F40540"/>
    <w:rsid w:val="00F40D1D"/>
    <w:rsid w:val="00F41E0D"/>
    <w:rsid w:val="00F51E6A"/>
    <w:rsid w:val="00F52256"/>
    <w:rsid w:val="00F55EC3"/>
    <w:rsid w:val="00F575D8"/>
    <w:rsid w:val="00F57A0E"/>
    <w:rsid w:val="00F60D95"/>
    <w:rsid w:val="00F622F3"/>
    <w:rsid w:val="00F6715F"/>
    <w:rsid w:val="00F701EA"/>
    <w:rsid w:val="00F84A4C"/>
    <w:rsid w:val="00F85D18"/>
    <w:rsid w:val="00F86FFC"/>
    <w:rsid w:val="00F910CC"/>
    <w:rsid w:val="00F96036"/>
    <w:rsid w:val="00F96434"/>
    <w:rsid w:val="00F96A4F"/>
    <w:rsid w:val="00FA0D6A"/>
    <w:rsid w:val="00FA3BAB"/>
    <w:rsid w:val="00FA57FC"/>
    <w:rsid w:val="00FB112C"/>
    <w:rsid w:val="00FB465B"/>
    <w:rsid w:val="00FB56D4"/>
    <w:rsid w:val="00FB5B9A"/>
    <w:rsid w:val="00FC0BBE"/>
    <w:rsid w:val="00FC0EB4"/>
    <w:rsid w:val="00FC1BCE"/>
    <w:rsid w:val="00FC2E36"/>
    <w:rsid w:val="00FC38CB"/>
    <w:rsid w:val="00FC4C67"/>
    <w:rsid w:val="00FC692D"/>
    <w:rsid w:val="00FC6B3E"/>
    <w:rsid w:val="00FD0CE5"/>
    <w:rsid w:val="00FD3D93"/>
    <w:rsid w:val="00FF05EA"/>
    <w:rsid w:val="00FF13B2"/>
    <w:rsid w:val="00FF19C3"/>
    <w:rsid w:val="00FF1CBC"/>
    <w:rsid w:val="00FF345E"/>
    <w:rsid w:val="00FF5AA2"/>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914B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4B51"/>
  </w:style>
  <w:style w:type="paragraph" w:styleId="Footer">
    <w:name w:val="footer"/>
    <w:basedOn w:val="Normal"/>
    <w:link w:val="FooterChar"/>
    <w:uiPriority w:val="99"/>
    <w:unhideWhenUsed/>
    <w:rsid w:val="00914B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4B51"/>
  </w:style>
  <w:style w:type="character" w:styleId="FollowedHyperlink">
    <w:name w:val="FollowedHyperlink"/>
    <w:basedOn w:val="DefaultParagraphFont"/>
    <w:uiPriority w:val="99"/>
    <w:semiHidden/>
    <w:unhideWhenUsed/>
    <w:rsid w:val="002346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7841569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xtranet.eba.europa.eu/sites/default/documents/files/documents/10180/1482770/f7639fa6-4c8c-4879-904c-cfa08ae24778/EBA-GL-2015-20%20GLs%20on%20Shadow%20Banking%20Entities_LV.pdf?retry=1" TargetMode="External"/><Relationship Id="rId18" Type="http://schemas.openxmlformats.org/officeDocument/2006/relationships/hyperlink" Target="http://www.bank.l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kumi.lv/ta/id/316374-ierobezojumu-riska-darijumiem-ar-paralelas-kreditiestazu-sistemas-iestadem-noteiksanas-normativie-noteikumi" TargetMode="External"/><Relationship Id="rId17" Type="http://schemas.openxmlformats.org/officeDocument/2006/relationships/hyperlink" Target="https://eur-lex.europa.eu/legal-content/LV/TXT/PDF/?uri=CELEX:02013R0575-20240101" TargetMode="External"/><Relationship Id="rId2" Type="http://schemas.openxmlformats.org/officeDocument/2006/relationships/customXml" Target="../customXml/item2.xml"/><Relationship Id="rId16" Type="http://schemas.openxmlformats.org/officeDocument/2006/relationships/hyperlink" Target="https://eur-lex.europa.eu/eli/reg_del/2023/277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7426-kreditiestazu-likums" TargetMode="External"/><Relationship Id="rId5" Type="http://schemas.openxmlformats.org/officeDocument/2006/relationships/numbering" Target="numbering.xml"/><Relationship Id="rId15" Type="http://schemas.openxmlformats.org/officeDocument/2006/relationships/hyperlink" Target="https://likumi.lv/ta/id/332418-ieguldijumu-brokeru-sabiedribu-likum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eli/reg/2019/2033/oj/?locale=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4.xml><?xml version="1.0" encoding="utf-8"?>
<ds:datastoreItem xmlns:ds="http://schemas.openxmlformats.org/officeDocument/2006/customXml" ds:itemID="{26E1010F-DB22-44E1-A48B-7B8376DB2A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7672</Words>
  <Characters>4374</Characters>
  <Application>Microsoft Office Word</Application>
  <DocSecurity>0</DocSecurity>
  <Lines>36</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Inga Jermoloviča</cp:lastModifiedBy>
  <cp:revision>7</cp:revision>
  <cp:lastPrinted>2023-11-14T10:41:00Z</cp:lastPrinted>
  <dcterms:created xsi:type="dcterms:W3CDTF">2024-04-29T06:44:00Z</dcterms:created>
  <dcterms:modified xsi:type="dcterms:W3CDTF">2024-04-29T08:23:00Z</dcterms:modified>
</cp:coreProperties>
</file>