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96F1CE" w14:textId="4409132A" w:rsidR="00317A94" w:rsidRPr="003A7AD9" w:rsidRDefault="00CA28AB" w:rsidP="00365394">
      <w:pPr>
        <w:spacing w:after="0" w:line="240" w:lineRule="auto"/>
        <w:jc w:val="center"/>
        <w:rPr>
          <w:rFonts w:ascii="Times New Roman" w:hAnsi="Times New Roman" w:cs="Times New Roman"/>
          <w:b/>
          <w:bCs/>
          <w:sz w:val="24"/>
          <w:szCs w:val="24"/>
        </w:rPr>
      </w:pPr>
      <w:bookmarkStart w:id="0" w:name="_Hlk127968955"/>
      <w:r w:rsidRPr="003A7AD9">
        <w:rPr>
          <w:rFonts w:ascii="Times New Roman" w:hAnsi="Times New Roman" w:cs="Times New Roman"/>
          <w:b/>
          <w:bCs/>
          <w:sz w:val="24"/>
          <w:szCs w:val="24"/>
        </w:rPr>
        <w:t xml:space="preserve">Latvijas Bankas noteikumu projekta </w:t>
      </w:r>
    </w:p>
    <w:p w14:paraId="2B6A3D35" w14:textId="56438FC8" w:rsidR="003B481B" w:rsidRPr="001719D0" w:rsidRDefault="00AE6A9B" w:rsidP="002F6D79">
      <w:pPr>
        <w:spacing w:after="0" w:line="240" w:lineRule="auto"/>
        <w:jc w:val="center"/>
        <w:rPr>
          <w:rFonts w:ascii="Times New Roman" w:hAnsi="Times New Roman" w:cs="Times New Roman"/>
          <w:sz w:val="24"/>
          <w:szCs w:val="24"/>
        </w:rPr>
      </w:pPr>
      <w:sdt>
        <w:sdtPr>
          <w:rPr>
            <w:rFonts w:ascii="Times New Roman" w:hAnsi="Times New Roman" w:cs="Times New Roman"/>
            <w:b/>
            <w:bCs/>
            <w:sz w:val="24"/>
            <w:szCs w:val="24"/>
          </w:rPr>
          <w:alias w:val="Nosaukums"/>
          <w:tag w:val="Nosaukums"/>
          <w:id w:val="25447728"/>
          <w:placeholder>
            <w:docPart w:val="BC93B20695F34D039CA36F89A6BEC935"/>
          </w:placeholder>
        </w:sdtPr>
        <w:sdtEndPr/>
        <w:sdtContent>
          <w:r w:rsidR="00317A94" w:rsidRPr="003A7AD9">
            <w:rPr>
              <w:rFonts w:ascii="Times New Roman" w:hAnsi="Times New Roman" w:cs="Times New Roman"/>
              <w:b/>
              <w:bCs/>
              <w:sz w:val="24"/>
              <w:szCs w:val="24"/>
            </w:rPr>
            <w:t>"</w:t>
          </w:r>
          <w:r w:rsidR="003140CC" w:rsidRPr="003140CC">
            <w:rPr>
              <w:rFonts w:ascii="Times New Roman" w:hAnsi="Times New Roman" w:cs="Times New Roman"/>
              <w:b/>
              <w:bCs/>
              <w:sz w:val="24"/>
              <w:szCs w:val="24"/>
            </w:rPr>
            <w:t>Kredītiestāžu pārvaldības sistēmas noteikumi</w:t>
          </w:r>
          <w:r w:rsidR="00F03930" w:rsidRPr="00F03930">
            <w:rPr>
              <w:rFonts w:ascii="Times New Roman" w:hAnsi="Times New Roman" w:cs="Times New Roman"/>
              <w:b/>
              <w:bCs/>
              <w:sz w:val="24"/>
              <w:szCs w:val="24"/>
            </w:rPr>
            <w:t>"</w:t>
          </w:r>
        </w:sdtContent>
      </w:sdt>
      <w:r w:rsidR="002B29EC">
        <w:rPr>
          <w:rFonts w:ascii="Times New Roman" w:hAnsi="Times New Roman" w:cs="Times New Roman"/>
          <w:b/>
          <w:bCs/>
          <w:sz w:val="24"/>
          <w:szCs w:val="24"/>
        </w:rPr>
        <w:t xml:space="preserve"> </w:t>
      </w:r>
      <w:bookmarkEnd w:id="0"/>
      <w:r w:rsidR="00387C23">
        <w:rPr>
          <w:rFonts w:ascii="Times New Roman" w:hAnsi="Times New Roman" w:cs="Times New Roman"/>
          <w:b/>
          <w:bCs/>
          <w:sz w:val="24"/>
          <w:szCs w:val="24"/>
        </w:rPr>
        <w:t>anotācija</w:t>
      </w:r>
    </w:p>
    <w:p w14:paraId="0CB236BE" w14:textId="77777777" w:rsidR="003B481B" w:rsidRPr="000B4E0A" w:rsidRDefault="003B481B" w:rsidP="00365394">
      <w:pPr>
        <w:spacing w:after="0" w:line="240" w:lineRule="auto"/>
        <w:rPr>
          <w:rFonts w:ascii="Times New Roman" w:hAnsi="Times New Roman" w:cs="Times New Roman"/>
          <w:sz w:val="24"/>
          <w:szCs w:val="24"/>
        </w:rPr>
      </w:pP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6518"/>
      </w:tblGrid>
      <w:tr w:rsidR="000B4E0A" w:rsidRPr="000B4E0A" w14:paraId="075756D3" w14:textId="77777777" w:rsidTr="00115CFD">
        <w:trPr>
          <w:trHeight w:val="567"/>
        </w:trPr>
        <w:tc>
          <w:tcPr>
            <w:tcW w:w="1405" w:type="pct"/>
            <w:shd w:val="clear" w:color="auto" w:fill="auto"/>
            <w:hideMark/>
          </w:tcPr>
          <w:p w14:paraId="11AED29D" w14:textId="77777777" w:rsidR="00A42788" w:rsidRPr="00E253DA" w:rsidRDefault="00A42788" w:rsidP="00365394">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Nosaukums</w:t>
            </w:r>
          </w:p>
          <w:p w14:paraId="6C10B54A" w14:textId="056F1615" w:rsidR="00CA28AB" w:rsidRPr="00E253DA" w:rsidRDefault="00CA28AB" w:rsidP="00365394">
            <w:pPr>
              <w:spacing w:after="0" w:line="240" w:lineRule="auto"/>
              <w:rPr>
                <w:rFonts w:ascii="Times New Roman" w:eastAsia="Times New Roman" w:hAnsi="Times New Roman" w:cs="Times New Roman"/>
                <w:b/>
                <w:bCs/>
                <w:sz w:val="24"/>
                <w:szCs w:val="24"/>
                <w:lang w:eastAsia="lv-LV"/>
              </w:rPr>
            </w:pPr>
          </w:p>
        </w:tc>
        <w:tc>
          <w:tcPr>
            <w:tcW w:w="3595" w:type="pct"/>
            <w:shd w:val="clear" w:color="auto" w:fill="auto"/>
          </w:tcPr>
          <w:p w14:paraId="5807C367" w14:textId="0EAD1EA5" w:rsidR="0029352D" w:rsidRPr="009B27BE" w:rsidRDefault="003140CC" w:rsidP="006B649E">
            <w:pPr>
              <w:spacing w:after="120" w:line="240" w:lineRule="auto"/>
              <w:rPr>
                <w:rFonts w:ascii="Times New Roman" w:eastAsia="Times New Roman" w:hAnsi="Times New Roman" w:cs="Times New Roman"/>
                <w:i/>
                <w:iCs/>
                <w:sz w:val="24"/>
                <w:szCs w:val="24"/>
                <w:lang w:eastAsia="lv-LV"/>
              </w:rPr>
            </w:pPr>
            <w:bookmarkStart w:id="1" w:name="_Hlk149228739"/>
            <w:r w:rsidRPr="003140CC">
              <w:rPr>
                <w:rFonts w:ascii="Times New Roman" w:eastAsia="Times New Roman" w:hAnsi="Times New Roman" w:cs="Times New Roman"/>
                <w:sz w:val="24"/>
                <w:szCs w:val="24"/>
                <w:lang w:eastAsia="lv-LV"/>
              </w:rPr>
              <w:t>Kredītiestāžu pārvaldības sistēmas noteikumi</w:t>
            </w:r>
            <w:bookmarkEnd w:id="1"/>
          </w:p>
        </w:tc>
      </w:tr>
      <w:tr w:rsidR="000B4E0A" w:rsidRPr="000B4E0A" w14:paraId="79017AD3" w14:textId="77777777" w:rsidTr="00115CFD">
        <w:trPr>
          <w:trHeight w:val="555"/>
        </w:trPr>
        <w:tc>
          <w:tcPr>
            <w:tcW w:w="1405" w:type="pct"/>
            <w:shd w:val="clear" w:color="auto" w:fill="auto"/>
            <w:hideMark/>
          </w:tcPr>
          <w:p w14:paraId="788E8EA1" w14:textId="77777777" w:rsidR="00A42788" w:rsidRPr="00E253DA" w:rsidRDefault="00A42788" w:rsidP="00365394">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Dokumenta veids</w:t>
            </w:r>
          </w:p>
          <w:p w14:paraId="3CAA80CE" w14:textId="7AD2803D" w:rsidR="00CA28AB" w:rsidRPr="00E253DA" w:rsidRDefault="00CA28AB" w:rsidP="00365394">
            <w:pPr>
              <w:spacing w:after="0" w:line="240" w:lineRule="auto"/>
              <w:rPr>
                <w:rFonts w:ascii="Times New Roman" w:eastAsia="Times New Roman" w:hAnsi="Times New Roman" w:cs="Times New Roman"/>
                <w:b/>
                <w:bCs/>
                <w:sz w:val="24"/>
                <w:szCs w:val="24"/>
                <w:lang w:eastAsia="lv-LV"/>
              </w:rPr>
            </w:pPr>
          </w:p>
        </w:tc>
        <w:tc>
          <w:tcPr>
            <w:tcW w:w="3595" w:type="pct"/>
            <w:shd w:val="clear" w:color="auto" w:fill="auto"/>
          </w:tcPr>
          <w:p w14:paraId="741C3E1B" w14:textId="71D4F970" w:rsidR="00E53DE9" w:rsidRPr="00317A94" w:rsidRDefault="00D07C8C" w:rsidP="006B649E">
            <w:pPr>
              <w:spacing w:after="120" w:line="240" w:lineRule="auto"/>
              <w:rPr>
                <w:rFonts w:ascii="Times New Roman" w:eastAsia="Times New Roman" w:hAnsi="Times New Roman" w:cs="Times New Roman"/>
                <w:sz w:val="24"/>
                <w:szCs w:val="24"/>
                <w:lang w:eastAsia="lv-LV"/>
              </w:rPr>
            </w:pPr>
            <w:r w:rsidRPr="00D07C8C">
              <w:rPr>
                <w:rFonts w:ascii="Times New Roman" w:eastAsia="Times New Roman" w:hAnsi="Times New Roman" w:cs="Times New Roman"/>
                <w:sz w:val="24"/>
                <w:szCs w:val="24"/>
                <w:lang w:eastAsia="lv-LV"/>
              </w:rPr>
              <w:t>Latvijas Bankas noteikumi</w:t>
            </w:r>
          </w:p>
        </w:tc>
      </w:tr>
      <w:tr w:rsidR="000B4E0A" w:rsidRPr="000B4E0A" w14:paraId="382B475A" w14:textId="77777777" w:rsidTr="00115CFD">
        <w:trPr>
          <w:trHeight w:val="567"/>
        </w:trPr>
        <w:tc>
          <w:tcPr>
            <w:tcW w:w="1405" w:type="pct"/>
            <w:shd w:val="clear" w:color="auto" w:fill="auto"/>
            <w:hideMark/>
          </w:tcPr>
          <w:p w14:paraId="53CE2E8C" w14:textId="359E3DB9" w:rsidR="00A42788" w:rsidRPr="00E253DA" w:rsidRDefault="00A42788" w:rsidP="00365394">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Izdošanas pamatojums</w:t>
            </w:r>
          </w:p>
          <w:p w14:paraId="65BC8074" w14:textId="1002BB0A" w:rsidR="00CA28AB" w:rsidRPr="00E253DA" w:rsidRDefault="00CA28AB" w:rsidP="00365394">
            <w:pPr>
              <w:spacing w:after="0" w:line="240" w:lineRule="auto"/>
              <w:rPr>
                <w:rFonts w:ascii="Times New Roman" w:eastAsia="Times New Roman" w:hAnsi="Times New Roman" w:cs="Times New Roman"/>
                <w:b/>
                <w:bCs/>
                <w:sz w:val="24"/>
                <w:szCs w:val="24"/>
                <w:lang w:eastAsia="lv-LV"/>
              </w:rPr>
            </w:pPr>
          </w:p>
        </w:tc>
        <w:tc>
          <w:tcPr>
            <w:tcW w:w="3595" w:type="pct"/>
            <w:shd w:val="clear" w:color="auto" w:fill="auto"/>
          </w:tcPr>
          <w:p w14:paraId="0B98D083" w14:textId="546456F9" w:rsidR="00CA0DE3" w:rsidRPr="00317A94" w:rsidRDefault="003140CC" w:rsidP="003140CC">
            <w:pPr>
              <w:spacing w:after="120" w:line="240" w:lineRule="auto"/>
              <w:jc w:val="both"/>
              <w:rPr>
                <w:rFonts w:ascii="Times New Roman" w:eastAsia="Times New Roman" w:hAnsi="Times New Roman" w:cs="Times New Roman"/>
                <w:sz w:val="24"/>
                <w:szCs w:val="24"/>
                <w:lang w:eastAsia="lv-LV"/>
              </w:rPr>
            </w:pPr>
            <w:r w:rsidRPr="003140CC">
              <w:rPr>
                <w:rFonts w:ascii="Times New Roman" w:eastAsia="Times New Roman" w:hAnsi="Times New Roman" w:cs="Times New Roman"/>
                <w:sz w:val="24"/>
                <w:szCs w:val="24"/>
                <w:lang w:eastAsia="lv-LV"/>
              </w:rPr>
              <w:t>Kredītiestāžu likuma 34.</w:t>
            </w:r>
            <w:r w:rsidRPr="003140CC">
              <w:rPr>
                <w:rFonts w:ascii="Times New Roman" w:eastAsia="Times New Roman" w:hAnsi="Times New Roman" w:cs="Times New Roman"/>
                <w:sz w:val="24"/>
                <w:szCs w:val="24"/>
                <w:vertAlign w:val="superscript"/>
                <w:lang w:eastAsia="lv-LV"/>
              </w:rPr>
              <w:t>1</w:t>
            </w:r>
            <w:r w:rsidR="00235E50">
              <w:rPr>
                <w:rFonts w:ascii="Times New Roman" w:eastAsia="Times New Roman" w:hAnsi="Times New Roman" w:cs="Times New Roman"/>
                <w:sz w:val="24"/>
                <w:szCs w:val="24"/>
                <w:vertAlign w:val="superscript"/>
                <w:lang w:eastAsia="lv-LV"/>
              </w:rPr>
              <w:t> </w:t>
            </w:r>
            <w:r w:rsidRPr="003140CC">
              <w:rPr>
                <w:rFonts w:ascii="Times New Roman" w:eastAsia="Times New Roman" w:hAnsi="Times New Roman" w:cs="Times New Roman"/>
                <w:sz w:val="24"/>
                <w:szCs w:val="24"/>
                <w:lang w:eastAsia="lv-LV"/>
              </w:rPr>
              <w:t>panta otr</w:t>
            </w:r>
            <w:r>
              <w:rPr>
                <w:rFonts w:ascii="Times New Roman" w:eastAsia="Times New Roman" w:hAnsi="Times New Roman" w:cs="Times New Roman"/>
                <w:sz w:val="24"/>
                <w:szCs w:val="24"/>
                <w:lang w:eastAsia="lv-LV"/>
              </w:rPr>
              <w:t>ā</w:t>
            </w:r>
            <w:r w:rsidRPr="003140CC">
              <w:rPr>
                <w:rFonts w:ascii="Times New Roman" w:eastAsia="Times New Roman" w:hAnsi="Times New Roman" w:cs="Times New Roman"/>
                <w:sz w:val="24"/>
                <w:szCs w:val="24"/>
                <w:lang w:eastAsia="lv-LV"/>
              </w:rPr>
              <w:t xml:space="preserve"> daļ</w:t>
            </w:r>
            <w:r>
              <w:rPr>
                <w:rFonts w:ascii="Times New Roman" w:eastAsia="Times New Roman" w:hAnsi="Times New Roman" w:cs="Times New Roman"/>
                <w:sz w:val="24"/>
                <w:szCs w:val="24"/>
                <w:lang w:eastAsia="lv-LV"/>
              </w:rPr>
              <w:t>a</w:t>
            </w:r>
            <w:r w:rsidRPr="003140CC">
              <w:rPr>
                <w:rFonts w:ascii="Times New Roman" w:eastAsia="Times New Roman" w:hAnsi="Times New Roman" w:cs="Times New Roman"/>
                <w:sz w:val="24"/>
                <w:szCs w:val="24"/>
                <w:lang w:eastAsia="lv-LV"/>
              </w:rPr>
              <w:t>, 34.</w:t>
            </w:r>
            <w:r w:rsidRPr="003140CC">
              <w:rPr>
                <w:rFonts w:ascii="Times New Roman" w:eastAsia="Times New Roman" w:hAnsi="Times New Roman" w:cs="Times New Roman"/>
                <w:sz w:val="24"/>
                <w:szCs w:val="24"/>
                <w:vertAlign w:val="superscript"/>
                <w:lang w:eastAsia="lv-LV"/>
              </w:rPr>
              <w:t>2</w:t>
            </w:r>
            <w:r w:rsidR="00235E50">
              <w:rPr>
                <w:rFonts w:ascii="Times New Roman" w:eastAsia="Times New Roman" w:hAnsi="Times New Roman" w:cs="Times New Roman"/>
                <w:sz w:val="24"/>
                <w:szCs w:val="24"/>
                <w:vertAlign w:val="superscript"/>
                <w:lang w:eastAsia="lv-LV"/>
              </w:rPr>
              <w:t> </w:t>
            </w:r>
            <w:r w:rsidRPr="003140CC">
              <w:rPr>
                <w:rFonts w:ascii="Times New Roman" w:eastAsia="Times New Roman" w:hAnsi="Times New Roman" w:cs="Times New Roman"/>
                <w:sz w:val="24"/>
                <w:szCs w:val="24"/>
                <w:lang w:eastAsia="lv-LV"/>
              </w:rPr>
              <w:t>panta ceturt</w:t>
            </w:r>
            <w:r>
              <w:rPr>
                <w:rFonts w:ascii="Times New Roman" w:eastAsia="Times New Roman" w:hAnsi="Times New Roman" w:cs="Times New Roman"/>
                <w:sz w:val="24"/>
                <w:szCs w:val="24"/>
                <w:lang w:eastAsia="lv-LV"/>
              </w:rPr>
              <w:t>ā</w:t>
            </w:r>
            <w:r w:rsidRPr="003140CC">
              <w:rPr>
                <w:rFonts w:ascii="Times New Roman" w:eastAsia="Times New Roman" w:hAnsi="Times New Roman" w:cs="Times New Roman"/>
                <w:sz w:val="24"/>
                <w:szCs w:val="24"/>
                <w:lang w:eastAsia="lv-LV"/>
              </w:rPr>
              <w:t xml:space="preserve"> daļ</w:t>
            </w:r>
            <w:r>
              <w:rPr>
                <w:rFonts w:ascii="Times New Roman" w:eastAsia="Times New Roman" w:hAnsi="Times New Roman" w:cs="Times New Roman"/>
                <w:sz w:val="24"/>
                <w:szCs w:val="24"/>
                <w:lang w:eastAsia="lv-LV"/>
              </w:rPr>
              <w:t>a</w:t>
            </w:r>
            <w:r w:rsidRPr="003140CC">
              <w:rPr>
                <w:rFonts w:ascii="Times New Roman" w:eastAsia="Times New Roman" w:hAnsi="Times New Roman" w:cs="Times New Roman"/>
                <w:sz w:val="24"/>
                <w:szCs w:val="24"/>
                <w:lang w:eastAsia="lv-LV"/>
              </w:rPr>
              <w:t xml:space="preserve"> un 50.</w:t>
            </w:r>
            <w:r w:rsidR="00235E50">
              <w:rPr>
                <w:rFonts w:ascii="Times New Roman" w:eastAsia="Times New Roman" w:hAnsi="Times New Roman" w:cs="Times New Roman"/>
                <w:sz w:val="24"/>
                <w:szCs w:val="24"/>
                <w:lang w:eastAsia="lv-LV"/>
              </w:rPr>
              <w:t> </w:t>
            </w:r>
            <w:r w:rsidRPr="003140CC">
              <w:rPr>
                <w:rFonts w:ascii="Times New Roman" w:eastAsia="Times New Roman" w:hAnsi="Times New Roman" w:cs="Times New Roman"/>
                <w:sz w:val="24"/>
                <w:szCs w:val="24"/>
                <w:lang w:eastAsia="lv-LV"/>
              </w:rPr>
              <w:t>panta otr</w:t>
            </w:r>
            <w:r>
              <w:rPr>
                <w:rFonts w:ascii="Times New Roman" w:eastAsia="Times New Roman" w:hAnsi="Times New Roman" w:cs="Times New Roman"/>
                <w:sz w:val="24"/>
                <w:szCs w:val="24"/>
                <w:lang w:eastAsia="lv-LV"/>
              </w:rPr>
              <w:t>ā</w:t>
            </w:r>
            <w:r w:rsidRPr="003140CC">
              <w:rPr>
                <w:rFonts w:ascii="Times New Roman" w:eastAsia="Times New Roman" w:hAnsi="Times New Roman" w:cs="Times New Roman"/>
                <w:sz w:val="24"/>
                <w:szCs w:val="24"/>
                <w:lang w:eastAsia="lv-LV"/>
              </w:rPr>
              <w:t xml:space="preserve"> daļ</w:t>
            </w:r>
            <w:r>
              <w:rPr>
                <w:rFonts w:ascii="Times New Roman" w:eastAsia="Times New Roman" w:hAnsi="Times New Roman" w:cs="Times New Roman"/>
                <w:sz w:val="24"/>
                <w:szCs w:val="24"/>
                <w:lang w:eastAsia="lv-LV"/>
              </w:rPr>
              <w:t>a</w:t>
            </w:r>
          </w:p>
        </w:tc>
      </w:tr>
      <w:tr w:rsidR="000B4E0A" w:rsidRPr="000B4E0A" w14:paraId="037D3A75" w14:textId="77777777" w:rsidTr="00115CFD">
        <w:trPr>
          <w:trHeight w:val="567"/>
        </w:trPr>
        <w:tc>
          <w:tcPr>
            <w:tcW w:w="1405" w:type="pct"/>
            <w:shd w:val="clear" w:color="auto" w:fill="auto"/>
            <w:hideMark/>
          </w:tcPr>
          <w:p w14:paraId="5268AAB5" w14:textId="77777777" w:rsidR="00A42788" w:rsidRPr="00E253DA" w:rsidRDefault="00A42788" w:rsidP="00365394">
            <w:pPr>
              <w:spacing w:after="0" w:line="240" w:lineRule="auto"/>
              <w:rPr>
                <w:rFonts w:ascii="Times New Roman" w:eastAsia="Times New Roman" w:hAnsi="Times New Roman" w:cs="Times New Roman"/>
                <w:b/>
                <w:bCs/>
                <w:sz w:val="24"/>
                <w:szCs w:val="24"/>
                <w:lang w:eastAsia="lv-LV"/>
              </w:rPr>
            </w:pPr>
            <w:bookmarkStart w:id="2" w:name="_Hlk178239692"/>
            <w:r w:rsidRPr="00E253DA">
              <w:rPr>
                <w:rFonts w:ascii="Times New Roman" w:eastAsia="Times New Roman" w:hAnsi="Times New Roman" w:cs="Times New Roman"/>
                <w:b/>
                <w:bCs/>
                <w:sz w:val="24"/>
                <w:szCs w:val="24"/>
                <w:lang w:eastAsia="lv-LV"/>
              </w:rPr>
              <w:t>Mērķis un būtība</w:t>
            </w:r>
          </w:p>
          <w:p w14:paraId="6F5D11F2" w14:textId="27DC8861" w:rsidR="00CA28AB" w:rsidRPr="00E253DA" w:rsidRDefault="00CA28AB" w:rsidP="00365394">
            <w:pPr>
              <w:spacing w:after="0" w:line="240" w:lineRule="auto"/>
              <w:rPr>
                <w:rFonts w:ascii="Times New Roman" w:eastAsia="Times New Roman" w:hAnsi="Times New Roman" w:cs="Times New Roman"/>
                <w:b/>
                <w:bCs/>
                <w:sz w:val="24"/>
                <w:szCs w:val="24"/>
                <w:lang w:eastAsia="lv-LV"/>
              </w:rPr>
            </w:pPr>
          </w:p>
        </w:tc>
        <w:tc>
          <w:tcPr>
            <w:tcW w:w="3595" w:type="pct"/>
            <w:shd w:val="clear" w:color="auto" w:fill="auto"/>
          </w:tcPr>
          <w:p w14:paraId="6BD3BAFC" w14:textId="77777777" w:rsidR="008A0512" w:rsidRDefault="008A0512" w:rsidP="006B649E">
            <w:pPr>
              <w:spacing w:after="120" w:line="240" w:lineRule="auto"/>
              <w:jc w:val="both"/>
              <w:rPr>
                <w:rFonts w:ascii="Times New Roman" w:eastAsia="Times New Roman" w:hAnsi="Times New Roman" w:cs="Times New Roman"/>
                <w:sz w:val="24"/>
                <w:szCs w:val="24"/>
                <w:lang w:eastAsia="lv-LV"/>
              </w:rPr>
            </w:pPr>
            <w:r w:rsidRPr="008A0512">
              <w:rPr>
                <w:rFonts w:ascii="Times New Roman" w:eastAsia="Times New Roman" w:hAnsi="Times New Roman" w:cs="Times New Roman"/>
                <w:sz w:val="24"/>
                <w:szCs w:val="24"/>
                <w:lang w:eastAsia="lv-LV"/>
              </w:rPr>
              <w:t>Saskaņā ar Latvijas Bankas likuma pārejas noteikumu 3. punktu Latvijas Bankas un Finanšu un kapitāla tirgus komisijas līdz šā likuma spēkā stāšanās dienai izdotie ārējie normatīvie akti, vadlīnijas un ieteikumi piemērojami līdz dienai, kad stājas spēkā attiecīgie Latvijas Bankas ārējie normatīvie akti, vadlīnijas vai ieteikumi, bet ne ilgāk kā līdz 2024. gada 31. decembrim.</w:t>
            </w:r>
          </w:p>
          <w:p w14:paraId="34B94AD0" w14:textId="1DCF1996" w:rsidR="008A0512" w:rsidRDefault="008A0512" w:rsidP="009F1F08">
            <w:pPr>
              <w:spacing w:after="120" w:line="240" w:lineRule="auto"/>
              <w:jc w:val="both"/>
              <w:rPr>
                <w:rFonts w:ascii="Times New Roman" w:eastAsia="Times New Roman" w:hAnsi="Times New Roman" w:cs="Times New Roman"/>
                <w:sz w:val="24"/>
                <w:szCs w:val="24"/>
                <w:lang w:eastAsia="lv-LV"/>
              </w:rPr>
            </w:pPr>
            <w:r w:rsidRPr="008A0512">
              <w:rPr>
                <w:rFonts w:ascii="Times New Roman" w:eastAsia="Times New Roman" w:hAnsi="Times New Roman" w:cs="Times New Roman"/>
                <w:sz w:val="24"/>
                <w:szCs w:val="24"/>
                <w:lang w:eastAsia="lv-LV"/>
              </w:rPr>
              <w:t>Ņemot vērā minēto, Latvijas Banka ir izstrādājusi noteikumu projektu "</w:t>
            </w:r>
            <w:r w:rsidR="003140CC" w:rsidRPr="003140CC">
              <w:rPr>
                <w:rFonts w:ascii="Times New Roman" w:eastAsia="Times New Roman" w:hAnsi="Times New Roman" w:cs="Times New Roman"/>
                <w:sz w:val="24"/>
                <w:szCs w:val="24"/>
                <w:lang w:eastAsia="lv-LV"/>
              </w:rPr>
              <w:t>Kredītiestāžu pārvaldības sistēmas noteikumi</w:t>
            </w:r>
            <w:r w:rsidRPr="008A0512">
              <w:rPr>
                <w:rFonts w:ascii="Times New Roman" w:eastAsia="Times New Roman" w:hAnsi="Times New Roman" w:cs="Times New Roman"/>
                <w:sz w:val="24"/>
                <w:szCs w:val="24"/>
                <w:lang w:eastAsia="lv-LV"/>
              </w:rPr>
              <w:t xml:space="preserve">" (turpmāk – noteikumu projekts), kas aizstās </w:t>
            </w:r>
            <w:r w:rsidR="00387C23" w:rsidRPr="00387C23">
              <w:rPr>
                <w:rFonts w:ascii="Times New Roman" w:eastAsia="Times New Roman" w:hAnsi="Times New Roman" w:cs="Times New Roman"/>
                <w:sz w:val="24"/>
                <w:szCs w:val="24"/>
                <w:lang w:eastAsia="lv-LV"/>
              </w:rPr>
              <w:t xml:space="preserve">Finanšu un kapitāla tirgus komisijas </w:t>
            </w:r>
            <w:r w:rsidR="003140CC" w:rsidRPr="003140CC">
              <w:rPr>
                <w:rFonts w:ascii="Times New Roman" w:eastAsia="Times New Roman" w:hAnsi="Times New Roman" w:cs="Times New Roman"/>
                <w:sz w:val="24"/>
                <w:szCs w:val="24"/>
                <w:lang w:eastAsia="lv-LV"/>
              </w:rPr>
              <w:t>2020.</w:t>
            </w:r>
            <w:r w:rsidR="00235E50">
              <w:rPr>
                <w:rFonts w:ascii="Times New Roman" w:eastAsia="Times New Roman" w:hAnsi="Times New Roman" w:cs="Times New Roman"/>
                <w:sz w:val="24"/>
                <w:szCs w:val="24"/>
                <w:lang w:eastAsia="lv-LV"/>
              </w:rPr>
              <w:t> </w:t>
            </w:r>
            <w:r w:rsidR="003140CC" w:rsidRPr="003140CC">
              <w:rPr>
                <w:rFonts w:ascii="Times New Roman" w:eastAsia="Times New Roman" w:hAnsi="Times New Roman" w:cs="Times New Roman"/>
                <w:sz w:val="24"/>
                <w:szCs w:val="24"/>
                <w:lang w:eastAsia="lv-LV"/>
              </w:rPr>
              <w:t>gada 1.</w:t>
            </w:r>
            <w:r w:rsidR="00235E50">
              <w:rPr>
                <w:rFonts w:ascii="Times New Roman" w:eastAsia="Times New Roman" w:hAnsi="Times New Roman" w:cs="Times New Roman"/>
                <w:sz w:val="24"/>
                <w:szCs w:val="24"/>
                <w:lang w:eastAsia="lv-LV"/>
              </w:rPr>
              <w:t> </w:t>
            </w:r>
            <w:r w:rsidR="003140CC" w:rsidRPr="003140CC">
              <w:rPr>
                <w:rFonts w:ascii="Times New Roman" w:eastAsia="Times New Roman" w:hAnsi="Times New Roman" w:cs="Times New Roman"/>
                <w:sz w:val="24"/>
                <w:szCs w:val="24"/>
                <w:lang w:eastAsia="lv-LV"/>
              </w:rPr>
              <w:t>decembra normatīvos noteikumus Nr.</w:t>
            </w:r>
            <w:r w:rsidR="00AB6525">
              <w:rPr>
                <w:rFonts w:ascii="Times New Roman" w:eastAsia="Times New Roman" w:hAnsi="Times New Roman" w:cs="Times New Roman"/>
                <w:sz w:val="24"/>
                <w:szCs w:val="24"/>
                <w:lang w:eastAsia="lv-LV"/>
              </w:rPr>
              <w:t> </w:t>
            </w:r>
            <w:r w:rsidR="003140CC" w:rsidRPr="003140CC">
              <w:rPr>
                <w:rFonts w:ascii="Times New Roman" w:eastAsia="Times New Roman" w:hAnsi="Times New Roman" w:cs="Times New Roman"/>
                <w:sz w:val="24"/>
                <w:szCs w:val="24"/>
                <w:lang w:eastAsia="lv-LV"/>
              </w:rPr>
              <w:t>227</w:t>
            </w:r>
            <w:r w:rsidR="00235E50">
              <w:rPr>
                <w:rFonts w:ascii="Times New Roman" w:eastAsia="Times New Roman" w:hAnsi="Times New Roman" w:cs="Times New Roman"/>
                <w:sz w:val="24"/>
                <w:szCs w:val="24"/>
                <w:lang w:eastAsia="lv-LV"/>
              </w:rPr>
              <w:t xml:space="preserve"> </w:t>
            </w:r>
            <w:r w:rsidR="003140CC" w:rsidRPr="003140CC">
              <w:rPr>
                <w:rFonts w:ascii="Times New Roman" w:eastAsia="Times New Roman" w:hAnsi="Times New Roman" w:cs="Times New Roman"/>
                <w:sz w:val="24"/>
                <w:szCs w:val="24"/>
                <w:lang w:eastAsia="lv-LV"/>
              </w:rPr>
              <w:t xml:space="preserve">"Iekšējās kontroles sistēmas izveides normatīvie noteikumi" </w:t>
            </w:r>
            <w:r w:rsidR="004408E4">
              <w:rPr>
                <w:rFonts w:ascii="Times New Roman" w:eastAsia="Times New Roman" w:hAnsi="Times New Roman" w:cs="Times New Roman"/>
                <w:sz w:val="24"/>
                <w:szCs w:val="24"/>
                <w:lang w:eastAsia="lv-LV"/>
              </w:rPr>
              <w:t>(turpmāk</w:t>
            </w:r>
            <w:r w:rsidR="00235E50">
              <w:rPr>
                <w:rFonts w:ascii="Times New Roman" w:eastAsia="Times New Roman" w:hAnsi="Times New Roman" w:cs="Times New Roman"/>
                <w:sz w:val="24"/>
                <w:szCs w:val="24"/>
                <w:lang w:eastAsia="lv-LV"/>
              </w:rPr>
              <w:t> </w:t>
            </w:r>
            <w:r w:rsidR="004408E4">
              <w:rPr>
                <w:rFonts w:ascii="Times New Roman" w:eastAsia="Times New Roman" w:hAnsi="Times New Roman" w:cs="Times New Roman"/>
                <w:sz w:val="24"/>
                <w:szCs w:val="24"/>
                <w:lang w:eastAsia="lv-LV"/>
              </w:rPr>
              <w:t>– Noteikumi Nr.</w:t>
            </w:r>
            <w:r w:rsidR="00AB6525">
              <w:rPr>
                <w:rFonts w:ascii="Times New Roman" w:eastAsia="Times New Roman" w:hAnsi="Times New Roman" w:cs="Times New Roman"/>
                <w:sz w:val="24"/>
                <w:szCs w:val="24"/>
                <w:lang w:eastAsia="lv-LV"/>
              </w:rPr>
              <w:t> </w:t>
            </w:r>
            <w:r w:rsidR="004408E4">
              <w:rPr>
                <w:rFonts w:ascii="Times New Roman" w:eastAsia="Times New Roman" w:hAnsi="Times New Roman" w:cs="Times New Roman"/>
                <w:sz w:val="24"/>
                <w:szCs w:val="24"/>
                <w:lang w:eastAsia="lv-LV"/>
              </w:rPr>
              <w:t>2</w:t>
            </w:r>
            <w:r w:rsidR="003140CC">
              <w:rPr>
                <w:rFonts w:ascii="Times New Roman" w:eastAsia="Times New Roman" w:hAnsi="Times New Roman" w:cs="Times New Roman"/>
                <w:sz w:val="24"/>
                <w:szCs w:val="24"/>
                <w:lang w:eastAsia="lv-LV"/>
              </w:rPr>
              <w:t>27</w:t>
            </w:r>
            <w:r w:rsidR="004408E4">
              <w:rPr>
                <w:rFonts w:ascii="Times New Roman" w:eastAsia="Times New Roman" w:hAnsi="Times New Roman" w:cs="Times New Roman"/>
                <w:sz w:val="24"/>
                <w:szCs w:val="24"/>
                <w:lang w:eastAsia="lv-LV"/>
              </w:rPr>
              <w:t>)</w:t>
            </w:r>
            <w:r w:rsidR="00754106">
              <w:rPr>
                <w:rFonts w:ascii="Times New Roman" w:eastAsia="Times New Roman" w:hAnsi="Times New Roman" w:cs="Times New Roman"/>
                <w:sz w:val="24"/>
                <w:szCs w:val="24"/>
                <w:lang w:eastAsia="lv-LV"/>
              </w:rPr>
              <w:t>,</w:t>
            </w:r>
            <w:r w:rsidR="001F6098">
              <w:rPr>
                <w:rFonts w:ascii="Times New Roman" w:eastAsia="Times New Roman" w:hAnsi="Times New Roman" w:cs="Times New Roman"/>
                <w:sz w:val="24"/>
                <w:szCs w:val="24"/>
                <w:lang w:eastAsia="lv-LV"/>
              </w:rPr>
              <w:t xml:space="preserve"> </w:t>
            </w:r>
            <w:r w:rsidR="009F1F08" w:rsidRPr="009F1F08">
              <w:rPr>
                <w:rFonts w:ascii="Times New Roman" w:eastAsia="Times New Roman" w:hAnsi="Times New Roman" w:cs="Times New Roman"/>
                <w:sz w:val="24"/>
                <w:szCs w:val="24"/>
                <w:lang w:eastAsia="lv-LV"/>
              </w:rPr>
              <w:t>un tāpat kā pašreiz spēkā</w:t>
            </w:r>
            <w:r w:rsidR="009F1F08">
              <w:rPr>
                <w:rFonts w:ascii="Times New Roman" w:eastAsia="Times New Roman" w:hAnsi="Times New Roman" w:cs="Times New Roman"/>
                <w:sz w:val="24"/>
                <w:szCs w:val="24"/>
                <w:lang w:eastAsia="lv-LV"/>
              </w:rPr>
              <w:t xml:space="preserve"> </w:t>
            </w:r>
            <w:r w:rsidR="009F1F08" w:rsidRPr="009F1F08">
              <w:rPr>
                <w:rFonts w:ascii="Times New Roman" w:eastAsia="Times New Roman" w:hAnsi="Times New Roman" w:cs="Times New Roman"/>
                <w:sz w:val="24"/>
                <w:szCs w:val="24"/>
                <w:lang w:eastAsia="lv-LV"/>
              </w:rPr>
              <w:t xml:space="preserve">esošie </w:t>
            </w:r>
            <w:r w:rsidR="003B1163" w:rsidRPr="009F1F08">
              <w:rPr>
                <w:rFonts w:ascii="Times New Roman" w:eastAsia="Times New Roman" w:hAnsi="Times New Roman" w:cs="Times New Roman"/>
                <w:sz w:val="24"/>
                <w:szCs w:val="24"/>
                <w:lang w:eastAsia="lv-LV"/>
              </w:rPr>
              <w:t xml:space="preserve">Noteikumi </w:t>
            </w:r>
            <w:r w:rsidR="009F1F08" w:rsidRPr="009F1F08">
              <w:rPr>
                <w:rFonts w:ascii="Times New Roman" w:eastAsia="Times New Roman" w:hAnsi="Times New Roman" w:cs="Times New Roman"/>
                <w:sz w:val="24"/>
                <w:szCs w:val="24"/>
                <w:lang w:eastAsia="lv-LV"/>
              </w:rPr>
              <w:t>Nr.</w:t>
            </w:r>
            <w:r w:rsidR="00235E50">
              <w:rPr>
                <w:rFonts w:ascii="Times New Roman" w:eastAsia="Times New Roman" w:hAnsi="Times New Roman" w:cs="Times New Roman"/>
                <w:sz w:val="24"/>
                <w:szCs w:val="24"/>
                <w:lang w:eastAsia="lv-LV"/>
              </w:rPr>
              <w:t> </w:t>
            </w:r>
            <w:r w:rsidR="009F1F08">
              <w:rPr>
                <w:rFonts w:ascii="Times New Roman" w:eastAsia="Times New Roman" w:hAnsi="Times New Roman" w:cs="Times New Roman"/>
                <w:sz w:val="24"/>
                <w:szCs w:val="24"/>
                <w:lang w:eastAsia="lv-LV"/>
              </w:rPr>
              <w:t>227</w:t>
            </w:r>
            <w:r w:rsidR="009F1F08" w:rsidRPr="009F1F08">
              <w:rPr>
                <w:rFonts w:ascii="Times New Roman" w:eastAsia="Times New Roman" w:hAnsi="Times New Roman" w:cs="Times New Roman"/>
                <w:sz w:val="24"/>
                <w:szCs w:val="24"/>
                <w:lang w:eastAsia="lv-LV"/>
              </w:rPr>
              <w:t xml:space="preserve"> noteikumu projekta prasības būs saistošas</w:t>
            </w:r>
            <w:r w:rsidR="009F1F08">
              <w:rPr>
                <w:rFonts w:ascii="Times New Roman" w:eastAsia="Times New Roman" w:hAnsi="Times New Roman" w:cs="Times New Roman"/>
                <w:sz w:val="24"/>
                <w:szCs w:val="24"/>
                <w:lang w:eastAsia="lv-LV"/>
              </w:rPr>
              <w:t xml:space="preserve"> </w:t>
            </w:r>
            <w:r w:rsidR="009F1F08" w:rsidRPr="009F1F08">
              <w:rPr>
                <w:rFonts w:ascii="Times New Roman" w:eastAsia="Times New Roman" w:hAnsi="Times New Roman" w:cs="Times New Roman"/>
                <w:sz w:val="24"/>
                <w:szCs w:val="24"/>
                <w:lang w:eastAsia="lv-LV"/>
              </w:rPr>
              <w:t>šādiem finanšu tirgus dalībniekiem (turpmāk</w:t>
            </w:r>
            <w:r w:rsidR="00235E50">
              <w:rPr>
                <w:rFonts w:ascii="Times New Roman" w:eastAsia="Times New Roman" w:hAnsi="Times New Roman" w:cs="Times New Roman"/>
                <w:sz w:val="24"/>
                <w:szCs w:val="24"/>
                <w:lang w:eastAsia="lv-LV"/>
              </w:rPr>
              <w:t> </w:t>
            </w:r>
            <w:r w:rsidR="009F1F08" w:rsidRPr="009F1F08">
              <w:rPr>
                <w:rFonts w:ascii="Times New Roman" w:eastAsia="Times New Roman" w:hAnsi="Times New Roman" w:cs="Times New Roman"/>
                <w:sz w:val="24"/>
                <w:szCs w:val="24"/>
                <w:lang w:eastAsia="lv-LV"/>
              </w:rPr>
              <w:t>– iestāde):</w:t>
            </w:r>
          </w:p>
          <w:p w14:paraId="43430197" w14:textId="331847ED" w:rsidR="009F1F08" w:rsidRDefault="00235E50" w:rsidP="006B649E">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w:t>
            </w:r>
            <w:r w:rsidR="009F1F08" w:rsidRPr="009F1F08">
              <w:rPr>
                <w:rFonts w:ascii="Times New Roman" w:eastAsia="Times New Roman" w:hAnsi="Times New Roman" w:cs="Times New Roman"/>
                <w:sz w:val="24"/>
                <w:szCs w:val="24"/>
                <w:lang w:eastAsia="lv-LV"/>
              </w:rPr>
              <w:t>Latvijas Republikā reģistrētām kredītiestādēm;</w:t>
            </w:r>
          </w:p>
          <w:p w14:paraId="4DEDB97A" w14:textId="15603F4A" w:rsidR="009F1F08" w:rsidRDefault="00235E50" w:rsidP="006B649E">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w:t>
            </w:r>
            <w:r w:rsidR="009F1F08" w:rsidRPr="009F1F08">
              <w:rPr>
                <w:rFonts w:ascii="Times New Roman" w:eastAsia="Times New Roman" w:hAnsi="Times New Roman" w:cs="Times New Roman"/>
                <w:sz w:val="24"/>
                <w:szCs w:val="24"/>
                <w:lang w:eastAsia="lv-LV"/>
              </w:rPr>
              <w:t>Kredītiestāžu likuma 4.</w:t>
            </w:r>
            <w:r w:rsidR="009F1F08" w:rsidRPr="001F6098">
              <w:rPr>
                <w:rFonts w:ascii="Times New Roman" w:eastAsia="Times New Roman" w:hAnsi="Times New Roman" w:cs="Times New Roman"/>
                <w:sz w:val="24"/>
                <w:szCs w:val="24"/>
                <w:vertAlign w:val="superscript"/>
                <w:lang w:eastAsia="lv-LV"/>
              </w:rPr>
              <w:t>1</w:t>
            </w:r>
            <w:r>
              <w:rPr>
                <w:rFonts w:ascii="Times New Roman" w:eastAsia="Times New Roman" w:hAnsi="Times New Roman" w:cs="Times New Roman"/>
                <w:sz w:val="24"/>
                <w:szCs w:val="24"/>
                <w:vertAlign w:val="superscript"/>
                <w:lang w:eastAsia="lv-LV"/>
              </w:rPr>
              <w:t> </w:t>
            </w:r>
            <w:r w:rsidR="009F1F08" w:rsidRPr="009F1F08">
              <w:rPr>
                <w:rFonts w:ascii="Times New Roman" w:eastAsia="Times New Roman" w:hAnsi="Times New Roman" w:cs="Times New Roman"/>
                <w:sz w:val="24"/>
                <w:szCs w:val="24"/>
                <w:lang w:eastAsia="lv-LV"/>
              </w:rPr>
              <w:t>pantā minētajām sabiedrībām, pamatojoties uz Kredītiestāžu likuma 4.</w:t>
            </w:r>
            <w:r w:rsidR="009F1F08" w:rsidRPr="001F6098">
              <w:rPr>
                <w:rFonts w:ascii="Times New Roman" w:eastAsia="Times New Roman" w:hAnsi="Times New Roman" w:cs="Times New Roman"/>
                <w:sz w:val="24"/>
                <w:szCs w:val="24"/>
                <w:vertAlign w:val="superscript"/>
                <w:lang w:eastAsia="lv-LV"/>
              </w:rPr>
              <w:t>1</w:t>
            </w:r>
            <w:r>
              <w:rPr>
                <w:rFonts w:ascii="Times New Roman" w:eastAsia="Times New Roman" w:hAnsi="Times New Roman" w:cs="Times New Roman"/>
                <w:sz w:val="24"/>
                <w:szCs w:val="24"/>
                <w:vertAlign w:val="superscript"/>
                <w:lang w:eastAsia="lv-LV"/>
              </w:rPr>
              <w:t> </w:t>
            </w:r>
            <w:r w:rsidR="009F1F08" w:rsidRPr="009F1F08">
              <w:rPr>
                <w:rFonts w:ascii="Times New Roman" w:eastAsia="Times New Roman" w:hAnsi="Times New Roman" w:cs="Times New Roman"/>
                <w:sz w:val="24"/>
                <w:szCs w:val="24"/>
                <w:lang w:eastAsia="lv-LV"/>
              </w:rPr>
              <w:t>pantā ietverto regulējumu;</w:t>
            </w:r>
          </w:p>
          <w:p w14:paraId="3837FED7" w14:textId="2E266E31" w:rsidR="009F1F08" w:rsidRDefault="00235E50" w:rsidP="006B649E">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w:t>
            </w:r>
            <w:r w:rsidR="009F1F08" w:rsidRPr="009F1F08">
              <w:rPr>
                <w:rFonts w:ascii="Times New Roman" w:eastAsia="Times New Roman" w:hAnsi="Times New Roman" w:cs="Times New Roman"/>
                <w:sz w:val="24"/>
                <w:szCs w:val="24"/>
                <w:lang w:eastAsia="lv-LV"/>
              </w:rPr>
              <w:t>ārvalstu kredītiestāžu filiālēm, pamatojoties uz Kredītiestāžu likuma 6.</w:t>
            </w:r>
            <w:r>
              <w:rPr>
                <w:rFonts w:ascii="Times New Roman" w:eastAsia="Times New Roman" w:hAnsi="Times New Roman" w:cs="Times New Roman"/>
                <w:sz w:val="24"/>
                <w:szCs w:val="24"/>
                <w:lang w:eastAsia="lv-LV"/>
              </w:rPr>
              <w:t> </w:t>
            </w:r>
            <w:r w:rsidR="009F1F08" w:rsidRPr="009F1F08">
              <w:rPr>
                <w:rFonts w:ascii="Times New Roman" w:eastAsia="Times New Roman" w:hAnsi="Times New Roman" w:cs="Times New Roman"/>
                <w:sz w:val="24"/>
                <w:szCs w:val="24"/>
                <w:lang w:eastAsia="lv-LV"/>
              </w:rPr>
              <w:t>panta pirmo daļu;</w:t>
            </w:r>
          </w:p>
          <w:p w14:paraId="6FFC9310" w14:textId="4FB4DE17" w:rsidR="009F1F08" w:rsidRDefault="00235E50" w:rsidP="006B649E">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w:t>
            </w:r>
            <w:r w:rsidR="009F1F08" w:rsidRPr="009F1F08">
              <w:rPr>
                <w:rFonts w:ascii="Times New Roman" w:eastAsia="Times New Roman" w:hAnsi="Times New Roman" w:cs="Times New Roman"/>
                <w:sz w:val="24"/>
                <w:szCs w:val="24"/>
                <w:lang w:eastAsia="lv-LV"/>
              </w:rPr>
              <w:t>Kredītiestāžu likuma 11.</w:t>
            </w:r>
            <w:r w:rsidR="009F1F08" w:rsidRPr="001F6098">
              <w:rPr>
                <w:rFonts w:ascii="Times New Roman" w:eastAsia="Times New Roman" w:hAnsi="Times New Roman" w:cs="Times New Roman"/>
                <w:sz w:val="24"/>
                <w:szCs w:val="24"/>
                <w:vertAlign w:val="superscript"/>
                <w:lang w:eastAsia="lv-LV"/>
              </w:rPr>
              <w:t>2</w:t>
            </w:r>
            <w:r>
              <w:rPr>
                <w:rFonts w:ascii="Times New Roman" w:eastAsia="Times New Roman" w:hAnsi="Times New Roman" w:cs="Times New Roman"/>
                <w:sz w:val="24"/>
                <w:szCs w:val="24"/>
                <w:vertAlign w:val="superscript"/>
                <w:lang w:eastAsia="lv-LV"/>
              </w:rPr>
              <w:t> </w:t>
            </w:r>
            <w:r w:rsidR="009F1F08" w:rsidRPr="009F1F08">
              <w:rPr>
                <w:rFonts w:ascii="Times New Roman" w:eastAsia="Times New Roman" w:hAnsi="Times New Roman" w:cs="Times New Roman"/>
                <w:sz w:val="24"/>
                <w:szCs w:val="24"/>
                <w:lang w:eastAsia="lv-LV"/>
              </w:rPr>
              <w:t>pantā minētajām ieguldījumu brokeru sabiedrībām, respektīvi, 1.</w:t>
            </w:r>
            <w:r>
              <w:rPr>
                <w:rFonts w:ascii="Times New Roman" w:eastAsia="Times New Roman" w:hAnsi="Times New Roman" w:cs="Times New Roman"/>
                <w:sz w:val="24"/>
                <w:szCs w:val="24"/>
                <w:lang w:eastAsia="lv-LV"/>
              </w:rPr>
              <w:t> </w:t>
            </w:r>
            <w:r w:rsidR="009F1F08" w:rsidRPr="009F1F08">
              <w:rPr>
                <w:rFonts w:ascii="Times New Roman" w:eastAsia="Times New Roman" w:hAnsi="Times New Roman" w:cs="Times New Roman"/>
                <w:sz w:val="24"/>
                <w:szCs w:val="24"/>
                <w:lang w:eastAsia="lv-LV"/>
              </w:rPr>
              <w:t>klases ieguldījumu brokeru sabiedrībām, un tām ieguldījumu brokeru sabiedrībām, kas minētas Eiropas Parlamenta un Padomes 2019.</w:t>
            </w:r>
            <w:r>
              <w:rPr>
                <w:rFonts w:ascii="Times New Roman" w:eastAsia="Times New Roman" w:hAnsi="Times New Roman" w:cs="Times New Roman"/>
                <w:sz w:val="24"/>
                <w:szCs w:val="24"/>
                <w:lang w:eastAsia="lv-LV"/>
              </w:rPr>
              <w:t> </w:t>
            </w:r>
            <w:r w:rsidR="009F1F08" w:rsidRPr="009F1F08">
              <w:rPr>
                <w:rFonts w:ascii="Times New Roman" w:eastAsia="Times New Roman" w:hAnsi="Times New Roman" w:cs="Times New Roman"/>
                <w:sz w:val="24"/>
                <w:szCs w:val="24"/>
                <w:lang w:eastAsia="lv-LV"/>
              </w:rPr>
              <w:t>gada 27.</w:t>
            </w:r>
            <w:r>
              <w:rPr>
                <w:rFonts w:ascii="Times New Roman" w:eastAsia="Times New Roman" w:hAnsi="Times New Roman" w:cs="Times New Roman"/>
                <w:sz w:val="24"/>
                <w:szCs w:val="24"/>
                <w:lang w:eastAsia="lv-LV"/>
              </w:rPr>
              <w:t> </w:t>
            </w:r>
            <w:r w:rsidR="009F1F08" w:rsidRPr="009F1F08">
              <w:rPr>
                <w:rFonts w:ascii="Times New Roman" w:eastAsia="Times New Roman" w:hAnsi="Times New Roman" w:cs="Times New Roman"/>
                <w:sz w:val="24"/>
                <w:szCs w:val="24"/>
                <w:lang w:eastAsia="lv-LV"/>
              </w:rPr>
              <w:t>novembra regulas (ES)</w:t>
            </w:r>
            <w:r>
              <w:rPr>
                <w:rFonts w:ascii="Times New Roman" w:eastAsia="Times New Roman" w:hAnsi="Times New Roman" w:cs="Times New Roman"/>
                <w:sz w:val="24"/>
                <w:szCs w:val="24"/>
                <w:lang w:eastAsia="lv-LV"/>
              </w:rPr>
              <w:t> </w:t>
            </w:r>
            <w:r w:rsidR="009F1F08" w:rsidRPr="009F1F08">
              <w:rPr>
                <w:rFonts w:ascii="Times New Roman" w:eastAsia="Times New Roman" w:hAnsi="Times New Roman" w:cs="Times New Roman"/>
                <w:sz w:val="24"/>
                <w:szCs w:val="24"/>
                <w:lang w:eastAsia="lv-LV"/>
              </w:rPr>
              <w:t xml:space="preserve">2019/2033 par </w:t>
            </w:r>
            <w:proofErr w:type="spellStart"/>
            <w:r w:rsidR="009F1F08" w:rsidRPr="009F1F08">
              <w:rPr>
                <w:rFonts w:ascii="Times New Roman" w:eastAsia="Times New Roman" w:hAnsi="Times New Roman" w:cs="Times New Roman"/>
                <w:sz w:val="24"/>
                <w:szCs w:val="24"/>
                <w:lang w:eastAsia="lv-LV"/>
              </w:rPr>
              <w:t>prudenciālajām</w:t>
            </w:r>
            <w:proofErr w:type="spellEnd"/>
            <w:r w:rsidR="009F1F08" w:rsidRPr="009F1F08">
              <w:rPr>
                <w:rFonts w:ascii="Times New Roman" w:eastAsia="Times New Roman" w:hAnsi="Times New Roman" w:cs="Times New Roman"/>
                <w:sz w:val="24"/>
                <w:szCs w:val="24"/>
                <w:lang w:eastAsia="lv-LV"/>
              </w:rPr>
              <w:t xml:space="preserve"> prasībām ieguldījumu brokeru sabiedrībām un ar ko groza regulas (ES) Nr.</w:t>
            </w:r>
            <w:r>
              <w:rPr>
                <w:rFonts w:ascii="Times New Roman" w:eastAsia="Times New Roman" w:hAnsi="Times New Roman" w:cs="Times New Roman"/>
                <w:sz w:val="24"/>
                <w:szCs w:val="24"/>
                <w:lang w:eastAsia="lv-LV"/>
              </w:rPr>
              <w:t> </w:t>
            </w:r>
            <w:r w:rsidR="009F1F08" w:rsidRPr="009F1F08">
              <w:rPr>
                <w:rFonts w:ascii="Times New Roman" w:eastAsia="Times New Roman" w:hAnsi="Times New Roman" w:cs="Times New Roman"/>
                <w:sz w:val="24"/>
                <w:szCs w:val="24"/>
                <w:lang w:eastAsia="lv-LV"/>
              </w:rPr>
              <w:t>1093/2010, (ES) Nr.</w:t>
            </w:r>
            <w:r>
              <w:rPr>
                <w:rFonts w:ascii="Times New Roman" w:eastAsia="Times New Roman" w:hAnsi="Times New Roman" w:cs="Times New Roman"/>
                <w:sz w:val="24"/>
                <w:szCs w:val="24"/>
                <w:lang w:eastAsia="lv-LV"/>
              </w:rPr>
              <w:t> </w:t>
            </w:r>
            <w:r w:rsidR="009F1F08" w:rsidRPr="009F1F08">
              <w:rPr>
                <w:rFonts w:ascii="Times New Roman" w:eastAsia="Times New Roman" w:hAnsi="Times New Roman" w:cs="Times New Roman"/>
                <w:sz w:val="24"/>
                <w:szCs w:val="24"/>
                <w:lang w:eastAsia="lv-LV"/>
              </w:rPr>
              <w:t>575/2013, (ES) Nr.</w:t>
            </w:r>
            <w:r>
              <w:rPr>
                <w:rFonts w:ascii="Times New Roman" w:eastAsia="Times New Roman" w:hAnsi="Times New Roman" w:cs="Times New Roman"/>
                <w:sz w:val="24"/>
                <w:szCs w:val="24"/>
                <w:lang w:eastAsia="lv-LV"/>
              </w:rPr>
              <w:t> </w:t>
            </w:r>
            <w:r w:rsidR="009F1F08" w:rsidRPr="009F1F08">
              <w:rPr>
                <w:rFonts w:ascii="Times New Roman" w:eastAsia="Times New Roman" w:hAnsi="Times New Roman" w:cs="Times New Roman"/>
                <w:sz w:val="24"/>
                <w:szCs w:val="24"/>
                <w:lang w:eastAsia="lv-LV"/>
              </w:rPr>
              <w:t>600/2014 un (ES) Nr.</w:t>
            </w:r>
            <w:r>
              <w:rPr>
                <w:rFonts w:ascii="Times New Roman" w:eastAsia="Times New Roman" w:hAnsi="Times New Roman" w:cs="Times New Roman"/>
                <w:sz w:val="24"/>
                <w:szCs w:val="24"/>
                <w:lang w:eastAsia="lv-LV"/>
              </w:rPr>
              <w:t> </w:t>
            </w:r>
            <w:r w:rsidR="009F1F08" w:rsidRPr="009F1F08">
              <w:rPr>
                <w:rFonts w:ascii="Times New Roman" w:eastAsia="Times New Roman" w:hAnsi="Times New Roman" w:cs="Times New Roman"/>
                <w:sz w:val="24"/>
                <w:szCs w:val="24"/>
                <w:lang w:eastAsia="lv-LV"/>
              </w:rPr>
              <w:t>806/2014 1.</w:t>
            </w:r>
            <w:r>
              <w:rPr>
                <w:rFonts w:ascii="Times New Roman" w:eastAsia="Times New Roman" w:hAnsi="Times New Roman" w:cs="Times New Roman"/>
                <w:sz w:val="24"/>
                <w:szCs w:val="24"/>
                <w:lang w:eastAsia="lv-LV"/>
              </w:rPr>
              <w:t> </w:t>
            </w:r>
            <w:r w:rsidR="009F1F08" w:rsidRPr="009F1F08">
              <w:rPr>
                <w:rFonts w:ascii="Times New Roman" w:eastAsia="Times New Roman" w:hAnsi="Times New Roman" w:cs="Times New Roman"/>
                <w:sz w:val="24"/>
                <w:szCs w:val="24"/>
                <w:lang w:eastAsia="lv-LV"/>
              </w:rPr>
              <w:t>panta 2. un 5.</w:t>
            </w:r>
            <w:r>
              <w:rPr>
                <w:rFonts w:ascii="Times New Roman" w:eastAsia="Times New Roman" w:hAnsi="Times New Roman" w:cs="Times New Roman"/>
                <w:sz w:val="24"/>
                <w:szCs w:val="24"/>
                <w:lang w:eastAsia="lv-LV"/>
              </w:rPr>
              <w:t> </w:t>
            </w:r>
            <w:r w:rsidR="009F1F08" w:rsidRPr="009F1F08">
              <w:rPr>
                <w:rFonts w:ascii="Times New Roman" w:eastAsia="Times New Roman" w:hAnsi="Times New Roman" w:cs="Times New Roman"/>
                <w:sz w:val="24"/>
                <w:szCs w:val="24"/>
                <w:lang w:eastAsia="lv-LV"/>
              </w:rPr>
              <w:t>punktā, respektīvi, 1."–" klases ieguldījumu brokeru sabiedrībām, pamatojoties uz Ieguldījumu brokeru sabiedrību likuma 3.</w:t>
            </w:r>
            <w:r>
              <w:rPr>
                <w:rFonts w:ascii="Times New Roman" w:eastAsia="Times New Roman" w:hAnsi="Times New Roman" w:cs="Times New Roman"/>
                <w:sz w:val="24"/>
                <w:szCs w:val="24"/>
                <w:lang w:eastAsia="lv-LV"/>
              </w:rPr>
              <w:t> </w:t>
            </w:r>
            <w:r w:rsidR="009F1F08" w:rsidRPr="009F1F08">
              <w:rPr>
                <w:rFonts w:ascii="Times New Roman" w:eastAsia="Times New Roman" w:hAnsi="Times New Roman" w:cs="Times New Roman"/>
                <w:sz w:val="24"/>
                <w:szCs w:val="24"/>
                <w:lang w:eastAsia="lv-LV"/>
              </w:rPr>
              <w:t xml:space="preserve">panta trešo un ceturto daļu. </w:t>
            </w:r>
          </w:p>
          <w:p w14:paraId="5923CF34" w14:textId="2F179E3E" w:rsidR="009F1F08" w:rsidRPr="008A0512" w:rsidRDefault="009F1F08" w:rsidP="006B649E">
            <w:pPr>
              <w:spacing w:after="120" w:line="240" w:lineRule="auto"/>
              <w:jc w:val="both"/>
              <w:rPr>
                <w:rFonts w:ascii="Times New Roman" w:eastAsia="Times New Roman" w:hAnsi="Times New Roman" w:cs="Times New Roman"/>
                <w:sz w:val="24"/>
                <w:szCs w:val="24"/>
                <w:lang w:eastAsia="lv-LV"/>
              </w:rPr>
            </w:pPr>
            <w:r w:rsidRPr="009F1F08">
              <w:rPr>
                <w:rFonts w:ascii="Times New Roman" w:eastAsia="Times New Roman" w:hAnsi="Times New Roman" w:cs="Times New Roman"/>
                <w:sz w:val="24"/>
                <w:szCs w:val="24"/>
                <w:lang w:eastAsia="lv-LV"/>
              </w:rPr>
              <w:t>Šobrīd nav tādu Latvijas Republikā reģistrētu ārvalstu kredītiestāžu filiāļu, kā arī ieguldījumu brokeru sabiedrību, kuras norādītas Kredītiestāžu likuma 11.</w:t>
            </w:r>
            <w:r w:rsidRPr="001F6098">
              <w:rPr>
                <w:rFonts w:ascii="Times New Roman" w:eastAsia="Times New Roman" w:hAnsi="Times New Roman" w:cs="Times New Roman"/>
                <w:sz w:val="24"/>
                <w:szCs w:val="24"/>
                <w:vertAlign w:val="superscript"/>
                <w:lang w:eastAsia="lv-LV"/>
              </w:rPr>
              <w:t>2</w:t>
            </w:r>
            <w:r w:rsidR="00235E50">
              <w:rPr>
                <w:rFonts w:ascii="Times New Roman" w:eastAsia="Times New Roman" w:hAnsi="Times New Roman" w:cs="Times New Roman"/>
                <w:sz w:val="24"/>
                <w:szCs w:val="24"/>
                <w:vertAlign w:val="superscript"/>
                <w:lang w:eastAsia="lv-LV"/>
              </w:rPr>
              <w:t> </w:t>
            </w:r>
            <w:r w:rsidRPr="009F1F08">
              <w:rPr>
                <w:rFonts w:ascii="Times New Roman" w:eastAsia="Times New Roman" w:hAnsi="Times New Roman" w:cs="Times New Roman"/>
                <w:sz w:val="24"/>
                <w:szCs w:val="24"/>
                <w:lang w:eastAsia="lv-LV"/>
              </w:rPr>
              <w:t>pantā un minētās regulas (ES)</w:t>
            </w:r>
            <w:r w:rsidR="00235E50">
              <w:rPr>
                <w:rFonts w:ascii="Times New Roman" w:eastAsia="Times New Roman" w:hAnsi="Times New Roman" w:cs="Times New Roman"/>
                <w:sz w:val="24"/>
                <w:szCs w:val="24"/>
                <w:lang w:eastAsia="lv-LV"/>
              </w:rPr>
              <w:t> </w:t>
            </w:r>
            <w:r w:rsidRPr="009F1F08">
              <w:rPr>
                <w:rFonts w:ascii="Times New Roman" w:eastAsia="Times New Roman" w:hAnsi="Times New Roman" w:cs="Times New Roman"/>
                <w:sz w:val="24"/>
                <w:szCs w:val="24"/>
                <w:lang w:eastAsia="lv-LV"/>
              </w:rPr>
              <w:t>2019/2033 1.</w:t>
            </w:r>
            <w:r w:rsidR="00235E50">
              <w:rPr>
                <w:rFonts w:ascii="Times New Roman" w:eastAsia="Times New Roman" w:hAnsi="Times New Roman" w:cs="Times New Roman"/>
                <w:sz w:val="24"/>
                <w:szCs w:val="24"/>
                <w:lang w:eastAsia="lv-LV"/>
              </w:rPr>
              <w:t> </w:t>
            </w:r>
            <w:r w:rsidRPr="009F1F08">
              <w:rPr>
                <w:rFonts w:ascii="Times New Roman" w:eastAsia="Times New Roman" w:hAnsi="Times New Roman" w:cs="Times New Roman"/>
                <w:sz w:val="24"/>
                <w:szCs w:val="24"/>
                <w:lang w:eastAsia="lv-LV"/>
              </w:rPr>
              <w:t>panta 2. un 5.</w:t>
            </w:r>
            <w:r w:rsidR="00235E50">
              <w:rPr>
                <w:rFonts w:ascii="Times New Roman" w:eastAsia="Times New Roman" w:hAnsi="Times New Roman" w:cs="Times New Roman"/>
                <w:sz w:val="24"/>
                <w:szCs w:val="24"/>
                <w:lang w:eastAsia="lv-LV"/>
              </w:rPr>
              <w:t> </w:t>
            </w:r>
            <w:r w:rsidRPr="009F1F08">
              <w:rPr>
                <w:rFonts w:ascii="Times New Roman" w:eastAsia="Times New Roman" w:hAnsi="Times New Roman" w:cs="Times New Roman"/>
                <w:sz w:val="24"/>
                <w:szCs w:val="24"/>
                <w:lang w:eastAsia="lv-LV"/>
              </w:rPr>
              <w:t>punktā.</w:t>
            </w:r>
          </w:p>
          <w:p w14:paraId="2D9B9D62" w14:textId="4E68C4CC" w:rsidR="00252D00" w:rsidRDefault="003E22AF" w:rsidP="006B649E">
            <w:pPr>
              <w:spacing w:after="120" w:line="240" w:lineRule="auto"/>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sz w:val="24"/>
                <w:szCs w:val="24"/>
                <w:lang w:eastAsia="lv-LV"/>
              </w:rPr>
              <w:t xml:space="preserve">Noteikumu projekts </w:t>
            </w:r>
            <w:r w:rsidR="00ED320C">
              <w:rPr>
                <w:rFonts w:ascii="Times New Roman" w:eastAsia="Times New Roman" w:hAnsi="Times New Roman" w:cs="Times New Roman"/>
                <w:sz w:val="24"/>
                <w:szCs w:val="24"/>
                <w:lang w:eastAsia="lv-LV"/>
              </w:rPr>
              <w:t xml:space="preserve">izstrādāts ar mērķi </w:t>
            </w:r>
            <w:r w:rsidR="00ED320C" w:rsidRPr="00CA0DE3">
              <w:rPr>
                <w:rFonts w:ascii="Times New Roman" w:eastAsia="Times New Roman" w:hAnsi="Times New Roman" w:cs="Times New Roman"/>
                <w:color w:val="000000" w:themeColor="text1"/>
                <w:sz w:val="24"/>
                <w:szCs w:val="24"/>
                <w:lang w:eastAsia="lv-LV"/>
              </w:rPr>
              <w:t xml:space="preserve">nodrošināt, ka </w:t>
            </w:r>
            <w:r w:rsidR="00F113C8" w:rsidRPr="00F113C8">
              <w:rPr>
                <w:rFonts w:ascii="Times New Roman" w:eastAsia="Times New Roman" w:hAnsi="Times New Roman" w:cs="Times New Roman"/>
                <w:color w:val="000000" w:themeColor="text1"/>
                <w:sz w:val="24"/>
                <w:szCs w:val="24"/>
                <w:lang w:eastAsia="lv-LV"/>
              </w:rPr>
              <w:t>iestāde</w:t>
            </w:r>
            <w:r w:rsidR="001C1767">
              <w:rPr>
                <w:rFonts w:ascii="Times New Roman" w:eastAsia="Times New Roman" w:hAnsi="Times New Roman" w:cs="Times New Roman"/>
                <w:color w:val="000000" w:themeColor="text1"/>
                <w:sz w:val="24"/>
                <w:szCs w:val="24"/>
                <w:lang w:eastAsia="lv-LV"/>
              </w:rPr>
              <w:t>s</w:t>
            </w:r>
            <w:r w:rsidR="00F113C8">
              <w:rPr>
                <w:rFonts w:ascii="Times New Roman" w:eastAsia="Times New Roman" w:hAnsi="Times New Roman" w:cs="Times New Roman"/>
                <w:color w:val="000000" w:themeColor="text1"/>
                <w:sz w:val="24"/>
                <w:szCs w:val="24"/>
                <w:lang w:eastAsia="lv-LV"/>
              </w:rPr>
              <w:t xml:space="preserve"> </w:t>
            </w:r>
            <w:r w:rsidR="00ED320C" w:rsidRPr="00CA0DE3">
              <w:rPr>
                <w:rFonts w:ascii="Times New Roman" w:eastAsia="Times New Roman" w:hAnsi="Times New Roman" w:cs="Times New Roman"/>
                <w:color w:val="000000" w:themeColor="text1"/>
                <w:sz w:val="24"/>
                <w:szCs w:val="24"/>
                <w:lang w:eastAsia="lv-LV"/>
              </w:rPr>
              <w:t xml:space="preserve">izveido to darbības raksturam, apjomam un sarežģītībai piemērotu, visaptverošu un efektīvu </w:t>
            </w:r>
            <w:r w:rsidR="0040342E">
              <w:rPr>
                <w:rFonts w:ascii="Times New Roman" w:eastAsia="Times New Roman" w:hAnsi="Times New Roman" w:cs="Times New Roman"/>
                <w:color w:val="000000" w:themeColor="text1"/>
                <w:sz w:val="24"/>
                <w:szCs w:val="24"/>
                <w:lang w:eastAsia="lv-LV"/>
              </w:rPr>
              <w:t>pārvaldības sistēmu,</w:t>
            </w:r>
            <w:r w:rsidR="00AB6525">
              <w:rPr>
                <w:rFonts w:ascii="Times New Roman" w:eastAsia="Times New Roman" w:hAnsi="Times New Roman" w:cs="Times New Roman"/>
                <w:color w:val="000000" w:themeColor="text1"/>
                <w:sz w:val="24"/>
                <w:szCs w:val="24"/>
                <w:lang w:eastAsia="lv-LV"/>
              </w:rPr>
              <w:t xml:space="preserve"> tai skaitā </w:t>
            </w:r>
            <w:r w:rsidR="00754106">
              <w:rPr>
                <w:rFonts w:ascii="Times New Roman" w:eastAsia="Times New Roman" w:hAnsi="Times New Roman" w:cs="Times New Roman"/>
                <w:color w:val="000000" w:themeColor="text1"/>
                <w:sz w:val="24"/>
                <w:szCs w:val="24"/>
                <w:lang w:eastAsia="lv-LV"/>
              </w:rPr>
              <w:t xml:space="preserve">nodrošina </w:t>
            </w:r>
            <w:r w:rsidR="00AB6525">
              <w:rPr>
                <w:rFonts w:ascii="Times New Roman" w:eastAsia="Times New Roman" w:hAnsi="Times New Roman" w:cs="Times New Roman"/>
                <w:color w:val="000000" w:themeColor="text1"/>
                <w:sz w:val="24"/>
                <w:szCs w:val="24"/>
                <w:lang w:eastAsia="lv-LV"/>
              </w:rPr>
              <w:t xml:space="preserve">atbilstošu </w:t>
            </w:r>
            <w:r>
              <w:rPr>
                <w:rFonts w:ascii="Times New Roman" w:eastAsia="Times New Roman" w:hAnsi="Times New Roman" w:cs="Times New Roman"/>
                <w:color w:val="000000" w:themeColor="text1"/>
                <w:sz w:val="24"/>
                <w:szCs w:val="24"/>
                <w:lang w:eastAsia="lv-LV"/>
              </w:rPr>
              <w:t xml:space="preserve">iekšējās kontroles </w:t>
            </w:r>
            <w:r w:rsidR="00AB6525">
              <w:rPr>
                <w:rFonts w:ascii="Times New Roman" w:eastAsia="Times New Roman" w:hAnsi="Times New Roman" w:cs="Times New Roman"/>
                <w:color w:val="000000" w:themeColor="text1"/>
                <w:sz w:val="24"/>
                <w:szCs w:val="24"/>
                <w:lang w:eastAsia="lv-LV"/>
              </w:rPr>
              <w:t>funkciju darbību</w:t>
            </w:r>
            <w:r>
              <w:rPr>
                <w:rFonts w:ascii="Times New Roman" w:eastAsia="Times New Roman" w:hAnsi="Times New Roman" w:cs="Times New Roman"/>
                <w:color w:val="000000" w:themeColor="text1"/>
                <w:sz w:val="24"/>
                <w:szCs w:val="24"/>
                <w:lang w:eastAsia="lv-LV"/>
              </w:rPr>
              <w:t>.</w:t>
            </w:r>
          </w:p>
          <w:p w14:paraId="19DF5EA9" w14:textId="10CDF405" w:rsidR="00693E55" w:rsidRDefault="00693E55" w:rsidP="006B649E">
            <w:pPr>
              <w:spacing w:after="120" w:line="240" w:lineRule="auto"/>
              <w:jc w:val="both"/>
              <w:rPr>
                <w:rFonts w:ascii="Times New Roman" w:eastAsia="Times New Roman" w:hAnsi="Times New Roman" w:cs="Times New Roman"/>
                <w:color w:val="000000" w:themeColor="text1"/>
                <w:sz w:val="24"/>
                <w:szCs w:val="24"/>
                <w:lang w:eastAsia="lv-LV"/>
              </w:rPr>
            </w:pPr>
            <w:r w:rsidRPr="00693E55">
              <w:rPr>
                <w:rFonts w:ascii="Times New Roman" w:eastAsia="Times New Roman" w:hAnsi="Times New Roman" w:cs="Times New Roman"/>
                <w:color w:val="000000" w:themeColor="text1"/>
                <w:sz w:val="24"/>
                <w:szCs w:val="24"/>
                <w:lang w:eastAsia="lv-LV"/>
              </w:rPr>
              <w:lastRenderedPageBreak/>
              <w:t xml:space="preserve">Lai nodrošinātu vienotu, efektīvu un konstruktīvu </w:t>
            </w:r>
            <w:r w:rsidR="00B44A02">
              <w:rPr>
                <w:rFonts w:ascii="Times New Roman" w:eastAsia="Times New Roman" w:hAnsi="Times New Roman" w:cs="Times New Roman"/>
                <w:color w:val="000000" w:themeColor="text1"/>
                <w:sz w:val="24"/>
                <w:szCs w:val="24"/>
                <w:lang w:eastAsia="lv-LV"/>
              </w:rPr>
              <w:t xml:space="preserve">iestāžu </w:t>
            </w:r>
            <w:r w:rsidRPr="00693E55">
              <w:rPr>
                <w:rFonts w:ascii="Times New Roman" w:eastAsia="Times New Roman" w:hAnsi="Times New Roman" w:cs="Times New Roman"/>
                <w:color w:val="000000" w:themeColor="text1"/>
                <w:sz w:val="24"/>
                <w:szCs w:val="24"/>
                <w:lang w:eastAsia="lv-LV"/>
              </w:rPr>
              <w:t>uzraudzības praksi, ņemot vērā Eiropas finanšu uzraudzības sistēmas pārrobežu darbības raksturu, noteikumu projektā papildus Kredītiestāžu likumā un tieši piemērojamos Eiropas Savienības tiesību aktos noteiktajām prasībām attiecībā uz iestāžu darbību un tai piemītošiem specifiskiem riskiem ir noteiktas prasības, kas izriet no Eiropas Banku iestādes 2021.</w:t>
            </w:r>
            <w:r w:rsidR="00235E50">
              <w:rPr>
                <w:rFonts w:ascii="Times New Roman" w:eastAsia="Times New Roman" w:hAnsi="Times New Roman" w:cs="Times New Roman"/>
                <w:color w:val="000000" w:themeColor="text1"/>
                <w:sz w:val="24"/>
                <w:szCs w:val="24"/>
                <w:lang w:eastAsia="lv-LV"/>
              </w:rPr>
              <w:t> </w:t>
            </w:r>
            <w:r w:rsidRPr="00693E55">
              <w:rPr>
                <w:rFonts w:ascii="Times New Roman" w:eastAsia="Times New Roman" w:hAnsi="Times New Roman" w:cs="Times New Roman"/>
                <w:color w:val="000000" w:themeColor="text1"/>
                <w:sz w:val="24"/>
                <w:szCs w:val="24"/>
                <w:lang w:eastAsia="lv-LV"/>
              </w:rPr>
              <w:t>gada 2.</w:t>
            </w:r>
            <w:r w:rsidR="00235E50">
              <w:rPr>
                <w:rFonts w:ascii="Times New Roman" w:eastAsia="Times New Roman" w:hAnsi="Times New Roman" w:cs="Times New Roman"/>
                <w:color w:val="000000" w:themeColor="text1"/>
                <w:sz w:val="24"/>
                <w:szCs w:val="24"/>
                <w:lang w:eastAsia="lv-LV"/>
              </w:rPr>
              <w:t> </w:t>
            </w:r>
            <w:r w:rsidRPr="00693E55">
              <w:rPr>
                <w:rFonts w:ascii="Times New Roman" w:eastAsia="Times New Roman" w:hAnsi="Times New Roman" w:cs="Times New Roman"/>
                <w:color w:val="000000" w:themeColor="text1"/>
                <w:sz w:val="24"/>
                <w:szCs w:val="24"/>
                <w:lang w:eastAsia="lv-LV"/>
              </w:rPr>
              <w:t>jūlija pamatnostādnēm Nr.</w:t>
            </w:r>
            <w:r w:rsidR="00235E50">
              <w:rPr>
                <w:rFonts w:ascii="Times New Roman" w:eastAsia="Times New Roman" w:hAnsi="Times New Roman" w:cs="Times New Roman"/>
                <w:color w:val="000000" w:themeColor="text1"/>
                <w:sz w:val="24"/>
                <w:szCs w:val="24"/>
                <w:lang w:eastAsia="lv-LV"/>
              </w:rPr>
              <w:t> </w:t>
            </w:r>
            <w:r w:rsidRPr="00693E55">
              <w:rPr>
                <w:rFonts w:ascii="Times New Roman" w:eastAsia="Times New Roman" w:hAnsi="Times New Roman" w:cs="Times New Roman"/>
                <w:color w:val="000000" w:themeColor="text1"/>
                <w:sz w:val="24"/>
                <w:szCs w:val="24"/>
                <w:lang w:eastAsia="lv-LV"/>
              </w:rPr>
              <w:t>EBA/GL/2021/05 "Pamatnostādnes par iekšējo pārvaldību".</w:t>
            </w:r>
          </w:p>
          <w:p w14:paraId="4D6B0C66" w14:textId="6F1998D5" w:rsidR="00FA74AB" w:rsidRPr="00C827DE" w:rsidRDefault="00252D00" w:rsidP="00FA74AB">
            <w:pPr>
              <w:spacing w:after="120" w:line="240" w:lineRule="auto"/>
              <w:jc w:val="both"/>
              <w:rPr>
                <w:rFonts w:ascii="Times New Roman" w:eastAsia="Times New Roman" w:hAnsi="Times New Roman" w:cs="Times New Roman"/>
                <w:sz w:val="24"/>
                <w:szCs w:val="24"/>
                <w:lang w:eastAsia="lv-LV"/>
              </w:rPr>
            </w:pPr>
            <w:r w:rsidRPr="00DD709E">
              <w:rPr>
                <w:rFonts w:ascii="Times New Roman" w:eastAsia="Times New Roman" w:hAnsi="Times New Roman" w:cs="Times New Roman"/>
                <w:iCs/>
                <w:color w:val="000000" w:themeColor="text1"/>
                <w:sz w:val="24"/>
                <w:szCs w:val="24"/>
                <w:lang w:eastAsia="lv-LV"/>
              </w:rPr>
              <w:t>Noteikumu projekt</w:t>
            </w:r>
            <w:r w:rsidR="00AB6525">
              <w:rPr>
                <w:rFonts w:ascii="Times New Roman" w:eastAsia="Times New Roman" w:hAnsi="Times New Roman" w:cs="Times New Roman"/>
                <w:iCs/>
                <w:color w:val="000000" w:themeColor="text1"/>
                <w:sz w:val="24"/>
                <w:szCs w:val="24"/>
                <w:lang w:eastAsia="lv-LV"/>
              </w:rPr>
              <w:t xml:space="preserve">ā ietvertas prasības </w:t>
            </w:r>
            <w:r w:rsidR="00F113C8">
              <w:rPr>
                <w:rFonts w:ascii="Times New Roman" w:eastAsia="Times New Roman" w:hAnsi="Times New Roman" w:cs="Times New Roman"/>
                <w:iCs/>
                <w:color w:val="000000" w:themeColor="text1"/>
                <w:sz w:val="24"/>
                <w:szCs w:val="24"/>
                <w:lang w:eastAsia="lv-LV"/>
              </w:rPr>
              <w:t>i</w:t>
            </w:r>
            <w:r w:rsidR="00F113C8" w:rsidRPr="00F113C8">
              <w:rPr>
                <w:rFonts w:ascii="Times New Roman" w:eastAsia="Times New Roman" w:hAnsi="Times New Roman" w:cs="Times New Roman"/>
                <w:iCs/>
                <w:color w:val="000000" w:themeColor="text1"/>
                <w:sz w:val="24"/>
                <w:szCs w:val="24"/>
                <w:lang w:eastAsia="lv-LV"/>
              </w:rPr>
              <w:t xml:space="preserve">estādes </w:t>
            </w:r>
            <w:r w:rsidR="00DE160C">
              <w:rPr>
                <w:rFonts w:ascii="Times New Roman" w:eastAsia="Times New Roman" w:hAnsi="Times New Roman" w:cs="Times New Roman"/>
                <w:iCs/>
                <w:color w:val="000000" w:themeColor="text1"/>
                <w:sz w:val="24"/>
                <w:szCs w:val="24"/>
                <w:lang w:eastAsia="lv-LV"/>
              </w:rPr>
              <w:t>pārvaldības sistēmas izveid</w:t>
            </w:r>
            <w:r w:rsidR="00322F19">
              <w:rPr>
                <w:rFonts w:ascii="Times New Roman" w:eastAsia="Times New Roman" w:hAnsi="Times New Roman" w:cs="Times New Roman"/>
                <w:iCs/>
                <w:color w:val="000000" w:themeColor="text1"/>
                <w:sz w:val="24"/>
                <w:szCs w:val="24"/>
                <w:lang w:eastAsia="lv-LV"/>
              </w:rPr>
              <w:t>ei</w:t>
            </w:r>
            <w:r w:rsidR="00DE160C">
              <w:rPr>
                <w:rFonts w:ascii="Times New Roman" w:eastAsia="Times New Roman" w:hAnsi="Times New Roman" w:cs="Times New Roman"/>
                <w:iCs/>
                <w:color w:val="000000" w:themeColor="text1"/>
                <w:sz w:val="24"/>
                <w:szCs w:val="24"/>
                <w:lang w:eastAsia="lv-LV"/>
              </w:rPr>
              <w:t xml:space="preserve">, tai skaitā </w:t>
            </w:r>
            <w:r w:rsidR="00F113C8" w:rsidRPr="00F113C8">
              <w:rPr>
                <w:rFonts w:ascii="Times New Roman" w:eastAsia="Times New Roman" w:hAnsi="Times New Roman" w:cs="Times New Roman"/>
                <w:iCs/>
                <w:color w:val="000000" w:themeColor="text1"/>
                <w:sz w:val="24"/>
                <w:szCs w:val="24"/>
                <w:lang w:eastAsia="lv-LV"/>
              </w:rPr>
              <w:t>darbības organizācija</w:t>
            </w:r>
            <w:r w:rsidR="00F113C8">
              <w:rPr>
                <w:rFonts w:ascii="Times New Roman" w:eastAsia="Times New Roman" w:hAnsi="Times New Roman" w:cs="Times New Roman"/>
                <w:iCs/>
                <w:color w:val="000000" w:themeColor="text1"/>
                <w:sz w:val="24"/>
                <w:szCs w:val="24"/>
                <w:lang w:eastAsia="lv-LV"/>
              </w:rPr>
              <w:t xml:space="preserve">i un </w:t>
            </w:r>
            <w:r w:rsidR="00F113C8" w:rsidRPr="00D73E39">
              <w:rPr>
                <w:rFonts w:ascii="Times New Roman" w:eastAsia="Times New Roman" w:hAnsi="Times New Roman" w:cs="Times New Roman"/>
                <w:iCs/>
                <w:color w:val="000000" w:themeColor="text1"/>
                <w:sz w:val="24"/>
                <w:szCs w:val="24"/>
                <w:lang w:eastAsia="lv-LV"/>
              </w:rPr>
              <w:t>atbilstoša</w:t>
            </w:r>
            <w:r w:rsidR="00F113C8">
              <w:rPr>
                <w:rFonts w:ascii="Times New Roman" w:eastAsia="Times New Roman" w:hAnsi="Times New Roman" w:cs="Times New Roman"/>
                <w:iCs/>
                <w:color w:val="000000" w:themeColor="text1"/>
                <w:sz w:val="24"/>
                <w:szCs w:val="24"/>
                <w:lang w:eastAsia="lv-LV"/>
              </w:rPr>
              <w:t>s</w:t>
            </w:r>
            <w:r w:rsidR="00F113C8" w:rsidRPr="00D73E39">
              <w:rPr>
                <w:rFonts w:ascii="Times New Roman" w:eastAsia="Times New Roman" w:hAnsi="Times New Roman" w:cs="Times New Roman"/>
                <w:iCs/>
                <w:color w:val="000000" w:themeColor="text1"/>
                <w:sz w:val="24"/>
                <w:szCs w:val="24"/>
                <w:lang w:eastAsia="lv-LV"/>
              </w:rPr>
              <w:t xml:space="preserve"> organizatoriskā</w:t>
            </w:r>
            <w:r w:rsidR="00F113C8">
              <w:rPr>
                <w:rFonts w:ascii="Times New Roman" w:eastAsia="Times New Roman" w:hAnsi="Times New Roman" w:cs="Times New Roman"/>
                <w:iCs/>
                <w:color w:val="000000" w:themeColor="text1"/>
                <w:sz w:val="24"/>
                <w:szCs w:val="24"/>
                <w:lang w:eastAsia="lv-LV"/>
              </w:rPr>
              <w:t xml:space="preserve">s </w:t>
            </w:r>
            <w:r w:rsidR="00F113C8" w:rsidRPr="00D73E39">
              <w:rPr>
                <w:rFonts w:ascii="Times New Roman" w:eastAsia="Times New Roman" w:hAnsi="Times New Roman" w:cs="Times New Roman"/>
                <w:iCs/>
                <w:color w:val="000000" w:themeColor="text1"/>
                <w:sz w:val="24"/>
                <w:szCs w:val="24"/>
                <w:lang w:eastAsia="lv-LV"/>
              </w:rPr>
              <w:t>struktūra</w:t>
            </w:r>
            <w:r w:rsidR="00F113C8">
              <w:rPr>
                <w:rFonts w:ascii="Times New Roman" w:eastAsia="Times New Roman" w:hAnsi="Times New Roman" w:cs="Times New Roman"/>
                <w:iCs/>
                <w:color w:val="000000" w:themeColor="text1"/>
                <w:sz w:val="24"/>
                <w:szCs w:val="24"/>
                <w:lang w:eastAsia="lv-LV"/>
              </w:rPr>
              <w:t>s izveid</w:t>
            </w:r>
            <w:r w:rsidR="00322F19">
              <w:rPr>
                <w:rFonts w:ascii="Times New Roman" w:eastAsia="Times New Roman" w:hAnsi="Times New Roman" w:cs="Times New Roman"/>
                <w:iCs/>
                <w:color w:val="000000" w:themeColor="text1"/>
                <w:sz w:val="24"/>
                <w:szCs w:val="24"/>
                <w:lang w:eastAsia="lv-LV"/>
              </w:rPr>
              <w:t>ei</w:t>
            </w:r>
            <w:r w:rsidR="00F113C8">
              <w:rPr>
                <w:rFonts w:ascii="Times New Roman" w:eastAsia="Times New Roman" w:hAnsi="Times New Roman" w:cs="Times New Roman"/>
                <w:iCs/>
                <w:color w:val="000000" w:themeColor="text1"/>
                <w:sz w:val="24"/>
                <w:szCs w:val="24"/>
                <w:lang w:eastAsia="lv-LV"/>
              </w:rPr>
              <w:t xml:space="preserve">, iestādes </w:t>
            </w:r>
            <w:r w:rsidRPr="00D73E39">
              <w:rPr>
                <w:rFonts w:ascii="Times New Roman" w:eastAsia="Times New Roman" w:hAnsi="Times New Roman" w:cs="Times New Roman"/>
                <w:iCs/>
                <w:color w:val="000000" w:themeColor="text1"/>
                <w:sz w:val="24"/>
                <w:szCs w:val="24"/>
                <w:lang w:eastAsia="lv-LV"/>
              </w:rPr>
              <w:t>stratēģijas noteikšana</w:t>
            </w:r>
            <w:r>
              <w:rPr>
                <w:rFonts w:ascii="Times New Roman" w:eastAsia="Times New Roman" w:hAnsi="Times New Roman" w:cs="Times New Roman"/>
                <w:iCs/>
                <w:color w:val="000000" w:themeColor="text1"/>
                <w:sz w:val="24"/>
                <w:szCs w:val="24"/>
                <w:lang w:eastAsia="lv-LV"/>
              </w:rPr>
              <w:t xml:space="preserve">i </w:t>
            </w:r>
            <w:r w:rsidRPr="00D73E39">
              <w:rPr>
                <w:rFonts w:ascii="Times New Roman" w:eastAsia="Times New Roman" w:hAnsi="Times New Roman" w:cs="Times New Roman"/>
                <w:iCs/>
                <w:color w:val="000000" w:themeColor="text1"/>
                <w:sz w:val="24"/>
                <w:szCs w:val="24"/>
                <w:lang w:eastAsia="lv-LV"/>
              </w:rPr>
              <w:t>un darbības plānošana</w:t>
            </w:r>
            <w:r>
              <w:rPr>
                <w:rFonts w:ascii="Times New Roman" w:eastAsia="Times New Roman" w:hAnsi="Times New Roman" w:cs="Times New Roman"/>
                <w:iCs/>
                <w:color w:val="000000" w:themeColor="text1"/>
                <w:sz w:val="24"/>
                <w:szCs w:val="24"/>
                <w:lang w:eastAsia="lv-LV"/>
              </w:rPr>
              <w:t>i,</w:t>
            </w:r>
            <w:r w:rsidR="00F113C8">
              <w:rPr>
                <w:rFonts w:ascii="Times New Roman" w:eastAsia="Times New Roman" w:hAnsi="Times New Roman" w:cs="Times New Roman"/>
                <w:iCs/>
                <w:color w:val="000000" w:themeColor="text1"/>
                <w:sz w:val="24"/>
                <w:szCs w:val="24"/>
                <w:lang w:eastAsia="lv-LV"/>
              </w:rPr>
              <w:t xml:space="preserve"> pa</w:t>
            </w:r>
            <w:r w:rsidR="00F113C8" w:rsidRPr="00F113C8">
              <w:rPr>
                <w:rFonts w:ascii="Times New Roman" w:eastAsia="Times New Roman" w:hAnsi="Times New Roman" w:cs="Times New Roman"/>
                <w:iCs/>
                <w:color w:val="000000" w:themeColor="text1"/>
                <w:sz w:val="24"/>
                <w:szCs w:val="24"/>
                <w:lang w:eastAsia="lv-LV"/>
              </w:rPr>
              <w:t>domes komiteju izveid</w:t>
            </w:r>
            <w:r w:rsidR="00322F19">
              <w:rPr>
                <w:rFonts w:ascii="Times New Roman" w:eastAsia="Times New Roman" w:hAnsi="Times New Roman" w:cs="Times New Roman"/>
                <w:iCs/>
                <w:color w:val="000000" w:themeColor="text1"/>
                <w:sz w:val="24"/>
                <w:szCs w:val="24"/>
                <w:lang w:eastAsia="lv-LV"/>
              </w:rPr>
              <w:t>ei</w:t>
            </w:r>
            <w:r w:rsidR="00F113C8" w:rsidRPr="00F113C8">
              <w:rPr>
                <w:rFonts w:ascii="Times New Roman" w:eastAsia="Times New Roman" w:hAnsi="Times New Roman" w:cs="Times New Roman"/>
                <w:iCs/>
                <w:color w:val="000000" w:themeColor="text1"/>
                <w:sz w:val="24"/>
                <w:szCs w:val="24"/>
                <w:lang w:eastAsia="lv-LV"/>
              </w:rPr>
              <w:t>, sastāv</w:t>
            </w:r>
            <w:r w:rsidR="00F113C8">
              <w:rPr>
                <w:rFonts w:ascii="Times New Roman" w:eastAsia="Times New Roman" w:hAnsi="Times New Roman" w:cs="Times New Roman"/>
                <w:iCs/>
                <w:color w:val="000000" w:themeColor="text1"/>
                <w:sz w:val="24"/>
                <w:szCs w:val="24"/>
                <w:lang w:eastAsia="lv-LV"/>
              </w:rPr>
              <w:t xml:space="preserve">am un </w:t>
            </w:r>
            <w:r w:rsidR="00F113C8" w:rsidRPr="00F113C8">
              <w:rPr>
                <w:rFonts w:ascii="Times New Roman" w:eastAsia="Times New Roman" w:hAnsi="Times New Roman" w:cs="Times New Roman"/>
                <w:iCs/>
                <w:color w:val="000000" w:themeColor="text1"/>
                <w:sz w:val="24"/>
                <w:szCs w:val="24"/>
                <w:lang w:eastAsia="lv-LV"/>
              </w:rPr>
              <w:t>darbības principi</w:t>
            </w:r>
            <w:r w:rsidR="00F113C8">
              <w:rPr>
                <w:rFonts w:ascii="Times New Roman" w:eastAsia="Times New Roman" w:hAnsi="Times New Roman" w:cs="Times New Roman"/>
                <w:iCs/>
                <w:color w:val="000000" w:themeColor="text1"/>
                <w:sz w:val="24"/>
                <w:szCs w:val="24"/>
                <w:lang w:eastAsia="lv-LV"/>
              </w:rPr>
              <w:t xml:space="preserve">em, </w:t>
            </w:r>
            <w:r w:rsidRPr="00DD709E">
              <w:rPr>
                <w:rFonts w:ascii="Times New Roman" w:eastAsia="Times New Roman" w:hAnsi="Times New Roman" w:cs="Times New Roman"/>
                <w:iCs/>
                <w:color w:val="000000" w:themeColor="text1"/>
                <w:sz w:val="24"/>
                <w:szCs w:val="24"/>
                <w:lang w:eastAsia="lv-LV"/>
              </w:rPr>
              <w:t>risku pārvaldī</w:t>
            </w:r>
            <w:r>
              <w:rPr>
                <w:rFonts w:ascii="Times New Roman" w:eastAsia="Times New Roman" w:hAnsi="Times New Roman" w:cs="Times New Roman"/>
                <w:iCs/>
                <w:color w:val="000000" w:themeColor="text1"/>
                <w:sz w:val="24"/>
                <w:szCs w:val="24"/>
                <w:lang w:eastAsia="lv-LV"/>
              </w:rPr>
              <w:t xml:space="preserve">šanai, </w:t>
            </w:r>
            <w:r w:rsidRPr="00D73E39">
              <w:rPr>
                <w:rFonts w:ascii="Times New Roman" w:eastAsia="Times New Roman" w:hAnsi="Times New Roman" w:cs="Times New Roman"/>
                <w:iCs/>
                <w:color w:val="000000" w:themeColor="text1"/>
                <w:sz w:val="24"/>
                <w:szCs w:val="24"/>
                <w:lang w:eastAsia="lv-LV"/>
              </w:rPr>
              <w:t>grāmatvedības</w:t>
            </w:r>
            <w:r>
              <w:rPr>
                <w:rFonts w:ascii="Times New Roman" w:eastAsia="Times New Roman" w:hAnsi="Times New Roman" w:cs="Times New Roman"/>
                <w:iCs/>
                <w:color w:val="000000" w:themeColor="text1"/>
                <w:sz w:val="24"/>
                <w:szCs w:val="24"/>
                <w:lang w:eastAsia="lv-LV"/>
              </w:rPr>
              <w:t xml:space="preserve"> </w:t>
            </w:r>
            <w:r w:rsidRPr="00D73E39">
              <w:rPr>
                <w:rFonts w:ascii="Times New Roman" w:eastAsia="Times New Roman" w:hAnsi="Times New Roman" w:cs="Times New Roman"/>
                <w:iCs/>
                <w:color w:val="000000" w:themeColor="text1"/>
                <w:sz w:val="24"/>
                <w:szCs w:val="24"/>
                <w:lang w:eastAsia="lv-LV"/>
              </w:rPr>
              <w:t>un vadības informācijas sistēma</w:t>
            </w:r>
            <w:r>
              <w:rPr>
                <w:rFonts w:ascii="Times New Roman" w:eastAsia="Times New Roman" w:hAnsi="Times New Roman" w:cs="Times New Roman"/>
                <w:iCs/>
                <w:color w:val="000000" w:themeColor="text1"/>
                <w:sz w:val="24"/>
                <w:szCs w:val="24"/>
                <w:lang w:eastAsia="lv-LV"/>
              </w:rPr>
              <w:t>s izveid</w:t>
            </w:r>
            <w:r w:rsidR="00322F19">
              <w:rPr>
                <w:rFonts w:ascii="Times New Roman" w:eastAsia="Times New Roman" w:hAnsi="Times New Roman" w:cs="Times New Roman"/>
                <w:iCs/>
                <w:color w:val="000000" w:themeColor="text1"/>
                <w:sz w:val="24"/>
                <w:szCs w:val="24"/>
                <w:lang w:eastAsia="lv-LV"/>
              </w:rPr>
              <w:t>ei</w:t>
            </w:r>
            <w:r>
              <w:rPr>
                <w:rFonts w:ascii="Times New Roman" w:eastAsia="Times New Roman" w:hAnsi="Times New Roman" w:cs="Times New Roman"/>
                <w:iCs/>
                <w:color w:val="000000" w:themeColor="text1"/>
                <w:sz w:val="24"/>
                <w:szCs w:val="24"/>
                <w:lang w:eastAsia="lv-LV"/>
              </w:rPr>
              <w:t xml:space="preserve">, </w:t>
            </w:r>
            <w:r w:rsidR="00DE160C">
              <w:rPr>
                <w:rFonts w:ascii="Times New Roman" w:eastAsia="Times New Roman" w:hAnsi="Times New Roman" w:cs="Times New Roman"/>
                <w:iCs/>
                <w:color w:val="000000" w:themeColor="text1"/>
                <w:sz w:val="24"/>
                <w:szCs w:val="24"/>
                <w:lang w:eastAsia="lv-LV"/>
              </w:rPr>
              <w:t xml:space="preserve">darbības nepārtrauktības nodrošināšanai, </w:t>
            </w:r>
            <w:r w:rsidRPr="00D73E39">
              <w:rPr>
                <w:rFonts w:ascii="Times New Roman" w:eastAsia="Times New Roman" w:hAnsi="Times New Roman" w:cs="Times New Roman"/>
                <w:iCs/>
                <w:color w:val="000000" w:themeColor="text1"/>
                <w:sz w:val="24"/>
                <w:szCs w:val="24"/>
                <w:lang w:eastAsia="lv-LV"/>
              </w:rPr>
              <w:t>aktīvu</w:t>
            </w:r>
            <w:r w:rsidR="009468AB">
              <w:rPr>
                <w:rFonts w:ascii="Times New Roman" w:eastAsia="Times New Roman" w:hAnsi="Times New Roman" w:cs="Times New Roman"/>
                <w:iCs/>
                <w:color w:val="000000" w:themeColor="text1"/>
                <w:sz w:val="24"/>
                <w:szCs w:val="24"/>
                <w:lang w:eastAsia="lv-LV"/>
              </w:rPr>
              <w:t xml:space="preserve">, </w:t>
            </w:r>
            <w:r w:rsidR="009468AB" w:rsidRPr="007673E9">
              <w:rPr>
                <w:rFonts w:ascii="Times New Roman" w:eastAsia="Times New Roman" w:hAnsi="Times New Roman" w:cs="Times New Roman"/>
                <w:iCs/>
                <w:color w:val="000000" w:themeColor="text1"/>
                <w:sz w:val="24"/>
                <w:szCs w:val="24"/>
                <w:lang w:eastAsia="lv-LV"/>
              </w:rPr>
              <w:t xml:space="preserve">klientu līdzekļu </w:t>
            </w:r>
            <w:r w:rsidRPr="007673E9">
              <w:rPr>
                <w:rFonts w:ascii="Times New Roman" w:eastAsia="Times New Roman" w:hAnsi="Times New Roman" w:cs="Times New Roman"/>
                <w:iCs/>
                <w:color w:val="000000" w:themeColor="text1"/>
                <w:sz w:val="24"/>
                <w:szCs w:val="24"/>
                <w:lang w:eastAsia="lv-LV"/>
              </w:rPr>
              <w:t xml:space="preserve">un informācijas sistēmu aizsardzībai, valdes un padomes funkcijām </w:t>
            </w:r>
            <w:r w:rsidR="00F113C8" w:rsidRPr="007673E9">
              <w:rPr>
                <w:rFonts w:ascii="Times New Roman" w:eastAsia="Times New Roman" w:hAnsi="Times New Roman" w:cs="Times New Roman"/>
                <w:iCs/>
                <w:color w:val="000000" w:themeColor="text1"/>
                <w:sz w:val="24"/>
                <w:szCs w:val="24"/>
                <w:lang w:eastAsia="lv-LV"/>
              </w:rPr>
              <w:t xml:space="preserve">pārvaldības sistēmas </w:t>
            </w:r>
            <w:r w:rsidRPr="007673E9">
              <w:rPr>
                <w:rFonts w:ascii="Times New Roman" w:eastAsia="Times New Roman" w:hAnsi="Times New Roman" w:cs="Times New Roman"/>
                <w:iCs/>
                <w:color w:val="000000" w:themeColor="text1"/>
                <w:sz w:val="24"/>
                <w:szCs w:val="24"/>
                <w:lang w:eastAsia="lv-LV"/>
              </w:rPr>
              <w:t xml:space="preserve">jomā, </w:t>
            </w:r>
            <w:r w:rsidR="003F1E81" w:rsidRPr="007673E9">
              <w:rPr>
                <w:rFonts w:ascii="Times New Roman" w:eastAsia="Times New Roman" w:hAnsi="Times New Roman" w:cs="Times New Roman"/>
                <w:iCs/>
                <w:color w:val="000000" w:themeColor="text1"/>
                <w:sz w:val="24"/>
                <w:szCs w:val="24"/>
                <w:lang w:eastAsia="lv-LV"/>
              </w:rPr>
              <w:t xml:space="preserve">kā arī </w:t>
            </w:r>
            <w:r w:rsidRPr="007673E9">
              <w:rPr>
                <w:rFonts w:ascii="Times New Roman" w:eastAsia="Times New Roman" w:hAnsi="Times New Roman" w:cs="Times New Roman"/>
                <w:iCs/>
                <w:color w:val="000000" w:themeColor="text1"/>
                <w:sz w:val="24"/>
                <w:szCs w:val="24"/>
                <w:lang w:eastAsia="lv-LV"/>
              </w:rPr>
              <w:t>iekšējā</w:t>
            </w:r>
            <w:r w:rsidR="00F113C8" w:rsidRPr="007673E9">
              <w:rPr>
                <w:rFonts w:ascii="Times New Roman" w:eastAsia="Times New Roman" w:hAnsi="Times New Roman" w:cs="Times New Roman"/>
                <w:iCs/>
                <w:color w:val="000000" w:themeColor="text1"/>
                <w:sz w:val="24"/>
                <w:szCs w:val="24"/>
                <w:lang w:eastAsia="lv-LV"/>
              </w:rPr>
              <w:t>s kontroles funkciju neatkarīga</w:t>
            </w:r>
            <w:r w:rsidR="00FA74AB" w:rsidRPr="007673E9">
              <w:rPr>
                <w:rFonts w:ascii="Times New Roman" w:eastAsia="Times New Roman" w:hAnsi="Times New Roman" w:cs="Times New Roman"/>
                <w:iCs/>
                <w:color w:val="000000" w:themeColor="text1"/>
                <w:sz w:val="24"/>
                <w:szCs w:val="24"/>
                <w:lang w:eastAsia="lv-LV"/>
              </w:rPr>
              <w:t xml:space="preserve">i </w:t>
            </w:r>
            <w:r w:rsidR="00F113C8" w:rsidRPr="007673E9">
              <w:rPr>
                <w:rFonts w:ascii="Times New Roman" w:eastAsia="Times New Roman" w:hAnsi="Times New Roman" w:cs="Times New Roman"/>
                <w:iCs/>
                <w:color w:val="000000" w:themeColor="text1"/>
                <w:sz w:val="24"/>
                <w:szCs w:val="24"/>
                <w:lang w:eastAsia="lv-LV"/>
              </w:rPr>
              <w:t>darbība</w:t>
            </w:r>
            <w:r w:rsidR="00FA74AB" w:rsidRPr="007673E9">
              <w:rPr>
                <w:rFonts w:ascii="Times New Roman" w:eastAsia="Times New Roman" w:hAnsi="Times New Roman" w:cs="Times New Roman"/>
                <w:iCs/>
                <w:color w:val="000000" w:themeColor="text1"/>
                <w:sz w:val="24"/>
                <w:szCs w:val="24"/>
                <w:lang w:eastAsia="lv-LV"/>
              </w:rPr>
              <w:t>i un pārskata par iestādes dažādības politiku un praksi sagatavošanai un iesniegšanai</w:t>
            </w:r>
            <w:r w:rsidR="000C6B17" w:rsidRPr="007673E9">
              <w:rPr>
                <w:rFonts w:ascii="Times New Roman" w:eastAsia="Times New Roman" w:hAnsi="Times New Roman" w:cs="Times New Roman"/>
                <w:iCs/>
                <w:color w:val="000000" w:themeColor="text1"/>
                <w:sz w:val="24"/>
                <w:szCs w:val="24"/>
                <w:lang w:eastAsia="lv-LV"/>
              </w:rPr>
              <w:t>.</w:t>
            </w:r>
          </w:p>
          <w:p w14:paraId="73CCE75E" w14:textId="77777777" w:rsidR="001C1767" w:rsidRDefault="004408E4" w:rsidP="00FA74AB">
            <w:pPr>
              <w:spacing w:after="120" w:line="240" w:lineRule="auto"/>
              <w:jc w:val="both"/>
              <w:rPr>
                <w:rFonts w:ascii="Times New Roman" w:eastAsia="Times New Roman" w:hAnsi="Times New Roman" w:cs="Times New Roman"/>
                <w:color w:val="000000" w:themeColor="text1"/>
                <w:sz w:val="24"/>
                <w:szCs w:val="24"/>
                <w:lang w:eastAsia="lv-LV"/>
              </w:rPr>
            </w:pPr>
            <w:r w:rsidRPr="0004229D">
              <w:rPr>
                <w:rFonts w:ascii="Times New Roman" w:eastAsia="Times New Roman" w:hAnsi="Times New Roman" w:cs="Times New Roman"/>
                <w:color w:val="000000" w:themeColor="text1"/>
                <w:sz w:val="24"/>
                <w:szCs w:val="24"/>
                <w:lang w:eastAsia="lv-LV"/>
              </w:rPr>
              <w:t>Salīdzinājumā ar Noteikumiem Nr. 2</w:t>
            </w:r>
            <w:r w:rsidR="00FA74AB" w:rsidRPr="0004229D">
              <w:rPr>
                <w:rFonts w:ascii="Times New Roman" w:eastAsia="Times New Roman" w:hAnsi="Times New Roman" w:cs="Times New Roman"/>
                <w:color w:val="000000" w:themeColor="text1"/>
                <w:sz w:val="24"/>
                <w:szCs w:val="24"/>
                <w:lang w:eastAsia="lv-LV"/>
              </w:rPr>
              <w:t>27</w:t>
            </w:r>
            <w:r w:rsidRPr="0004229D">
              <w:rPr>
                <w:rFonts w:ascii="Times New Roman" w:eastAsia="Times New Roman" w:hAnsi="Times New Roman" w:cs="Times New Roman"/>
                <w:color w:val="000000" w:themeColor="text1"/>
                <w:sz w:val="24"/>
                <w:szCs w:val="24"/>
                <w:lang w:eastAsia="lv-LV"/>
              </w:rPr>
              <w:t xml:space="preserve"> noteikumu projektā ir</w:t>
            </w:r>
            <w:r w:rsidR="001C1767">
              <w:rPr>
                <w:rFonts w:ascii="Times New Roman" w:eastAsia="Times New Roman" w:hAnsi="Times New Roman" w:cs="Times New Roman"/>
                <w:color w:val="000000" w:themeColor="text1"/>
                <w:sz w:val="24"/>
                <w:szCs w:val="24"/>
                <w:lang w:eastAsia="lv-LV"/>
              </w:rPr>
              <w:t xml:space="preserve"> veiktas šādas izmaiņas:</w:t>
            </w:r>
          </w:p>
          <w:p w14:paraId="2ADDA2D8" w14:textId="04CB5169" w:rsidR="001C1767" w:rsidRDefault="001C1767" w:rsidP="00FA74AB">
            <w:pPr>
              <w:spacing w:after="120" w:line="240" w:lineRule="auto"/>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1)</w:t>
            </w:r>
            <w:r w:rsidR="004408E4" w:rsidRPr="0004229D">
              <w:rPr>
                <w:rFonts w:ascii="Times New Roman" w:eastAsia="Times New Roman" w:hAnsi="Times New Roman" w:cs="Times New Roman"/>
                <w:color w:val="000000" w:themeColor="text1"/>
                <w:sz w:val="24"/>
                <w:szCs w:val="24"/>
                <w:lang w:eastAsia="lv-LV"/>
              </w:rPr>
              <w:t xml:space="preserve"> </w:t>
            </w:r>
            <w:r w:rsidRPr="0004229D">
              <w:rPr>
                <w:rFonts w:ascii="Times New Roman" w:eastAsia="Times New Roman" w:hAnsi="Times New Roman" w:cs="Times New Roman"/>
                <w:color w:val="000000" w:themeColor="text1"/>
                <w:sz w:val="24"/>
                <w:szCs w:val="24"/>
                <w:lang w:eastAsia="lv-LV"/>
              </w:rPr>
              <w:t>precizēts noteikumu nosaukums atbilstoši tam, ka noteikumu projekts pārņem Eiropas Banku iestādes 2021. gada 2. jūlija pamatnostādnēs Nr. EBA/GL/2021/05 "Pamatnostādnes par iekšējo pārvaldību" noteiktās prasības, ievērojot, ka termins "iekšējā pārvaldība" ietver arī iestādē izveidoto iekšējās kontroles sistēmu un iekšējās kontroles funkciju (risku kontroles funkcija, darbības atbilstības kontroles funkcija un iekšējā audita funkcija) darbības nodrošināšanu</w:t>
            </w:r>
            <w:r>
              <w:rPr>
                <w:rFonts w:ascii="Times New Roman" w:eastAsia="Times New Roman" w:hAnsi="Times New Roman" w:cs="Times New Roman"/>
                <w:color w:val="000000" w:themeColor="text1"/>
                <w:sz w:val="24"/>
                <w:szCs w:val="24"/>
                <w:lang w:eastAsia="lv-LV"/>
              </w:rPr>
              <w:t>;</w:t>
            </w:r>
          </w:p>
          <w:p w14:paraId="646A4BE0" w14:textId="5BCFCB8C" w:rsidR="001C1767" w:rsidRDefault="001C1767" w:rsidP="00FA74AB">
            <w:pPr>
              <w:spacing w:after="120" w:line="240" w:lineRule="auto"/>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2) noteikumu projekts paredz, ka iestādēm, kuras nav nozīmīgas iestādes, padomes sastāvā ir jāiekļauj vismaz viens neatkarīgs padomes loceklis (Noteikumos Nr. 227 šādai normai bija ieteikuma raksturs)</w:t>
            </w:r>
            <w:r w:rsidR="005E7221">
              <w:rPr>
                <w:rFonts w:ascii="Times New Roman" w:eastAsia="Times New Roman" w:hAnsi="Times New Roman" w:cs="Times New Roman"/>
                <w:color w:val="000000" w:themeColor="text1"/>
                <w:sz w:val="24"/>
                <w:szCs w:val="24"/>
                <w:lang w:eastAsia="lv-LV"/>
              </w:rPr>
              <w:t>;</w:t>
            </w:r>
          </w:p>
          <w:p w14:paraId="6D00DFE3" w14:textId="26C684C6" w:rsidR="00E21700" w:rsidRDefault="00E21700" w:rsidP="00E21700">
            <w:pPr>
              <w:pStyle w:val="Paraststmeklis"/>
              <w:shd w:val="clear" w:color="auto" w:fill="FFFFFF"/>
              <w:spacing w:before="0" w:beforeAutospacing="0" w:after="120" w:afterAutospacing="0"/>
              <w:jc w:val="both"/>
            </w:pPr>
            <w:r>
              <w:t xml:space="preserve">3) ievērojot to, ka </w:t>
            </w:r>
            <w:r w:rsidRPr="003500FB">
              <w:t xml:space="preserve">Latvijā no </w:t>
            </w:r>
            <w:r>
              <w:t xml:space="preserve">2024. gada </w:t>
            </w:r>
            <w:r w:rsidRPr="003500FB">
              <w:t>1.</w:t>
            </w:r>
            <w:r>
              <w:t> </w:t>
            </w:r>
            <w:r w:rsidRPr="003500FB">
              <w:t>jūlija tiesiskais regulējums ļaus reģistrēt partnerību</w:t>
            </w:r>
            <w:r>
              <w:t xml:space="preserve">, noteikumu projektā ietvertā termina </w:t>
            </w:r>
            <w:r w:rsidRPr="002F7C25">
              <w:rPr>
                <w:iCs/>
                <w:color w:val="000000" w:themeColor="text1"/>
              </w:rPr>
              <w:t>"</w:t>
            </w:r>
            <w:r>
              <w:t>ar sabiedrību saistītās personas</w:t>
            </w:r>
            <w:r w:rsidRPr="002F7C25">
              <w:rPr>
                <w:iCs/>
                <w:color w:val="000000" w:themeColor="text1"/>
              </w:rPr>
              <w:t>"</w:t>
            </w:r>
            <w:r>
              <w:t xml:space="preserve"> skaidrojums ir papildināts un tiek attiecināts arī uz reģistrētajiem partneriem atbilstoši </w:t>
            </w:r>
            <w:r w:rsidRPr="00DA32A7">
              <w:t>Eiropas Parlamenta un Padomes 2013.</w:t>
            </w:r>
            <w:r>
              <w:t> </w:t>
            </w:r>
            <w:r w:rsidRPr="00DA32A7">
              <w:t>gada 26.</w:t>
            </w:r>
            <w:r>
              <w:t> </w:t>
            </w:r>
            <w:r w:rsidRPr="00DA32A7">
              <w:t xml:space="preserve">jūnija </w:t>
            </w:r>
            <w:r>
              <w:t>d</w:t>
            </w:r>
            <w:r w:rsidRPr="00DA32A7">
              <w:t xml:space="preserve">irektīvas 2013/36/ES par piekļuvi kredītiestāžu darbībai un kredītiestāžu </w:t>
            </w:r>
            <w:proofErr w:type="spellStart"/>
            <w:r w:rsidRPr="00DA32A7">
              <w:t>prudenciālo</w:t>
            </w:r>
            <w:proofErr w:type="spellEnd"/>
            <w:r w:rsidRPr="00DA32A7">
              <w:t xml:space="preserve"> uzraudzību, ar ko groza </w:t>
            </w:r>
            <w:r>
              <w:t>d</w:t>
            </w:r>
            <w:r w:rsidRPr="00DA32A7">
              <w:t xml:space="preserve">irektīvu 2002/87/EK un atceļ </w:t>
            </w:r>
            <w:r>
              <w:t>d</w:t>
            </w:r>
            <w:r w:rsidRPr="00DA32A7">
              <w:t>irektīvas 2006/48/EK un 2006/49/EK</w:t>
            </w:r>
            <w:r>
              <w:t xml:space="preserve"> 88. panta 1. punktā noteiktajam;</w:t>
            </w:r>
          </w:p>
          <w:p w14:paraId="3D818878" w14:textId="66647ED7" w:rsidR="001C1767" w:rsidRDefault="00E21700" w:rsidP="00FA74AB">
            <w:pPr>
              <w:spacing w:after="120" w:line="240" w:lineRule="auto"/>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iCs/>
                <w:color w:val="000000" w:themeColor="text1"/>
                <w:sz w:val="24"/>
                <w:szCs w:val="24"/>
                <w:lang w:eastAsia="lv-LV"/>
              </w:rPr>
              <w:t>4</w:t>
            </w:r>
            <w:r w:rsidR="001C1767">
              <w:rPr>
                <w:rFonts w:ascii="Times New Roman" w:eastAsia="Times New Roman" w:hAnsi="Times New Roman" w:cs="Times New Roman"/>
                <w:iCs/>
                <w:color w:val="000000" w:themeColor="text1"/>
                <w:sz w:val="24"/>
                <w:szCs w:val="24"/>
                <w:lang w:eastAsia="lv-LV"/>
              </w:rPr>
              <w:t>) l</w:t>
            </w:r>
            <w:r w:rsidR="001C1767" w:rsidRPr="0004229D">
              <w:rPr>
                <w:rFonts w:ascii="Times New Roman" w:eastAsia="Times New Roman" w:hAnsi="Times New Roman" w:cs="Times New Roman"/>
                <w:color w:val="000000" w:themeColor="text1"/>
                <w:sz w:val="24"/>
                <w:szCs w:val="24"/>
                <w:lang w:eastAsia="lv-LV"/>
              </w:rPr>
              <w:t>ai nodrošinātu Eiropas Banku iestādes 2023.</w:t>
            </w:r>
            <w:r w:rsidR="00235E50">
              <w:rPr>
                <w:rFonts w:ascii="Times New Roman" w:eastAsia="Times New Roman" w:hAnsi="Times New Roman" w:cs="Times New Roman"/>
                <w:color w:val="000000" w:themeColor="text1"/>
                <w:sz w:val="24"/>
                <w:szCs w:val="24"/>
                <w:lang w:eastAsia="lv-LV"/>
              </w:rPr>
              <w:t> </w:t>
            </w:r>
            <w:r w:rsidR="001C1767" w:rsidRPr="0004229D">
              <w:rPr>
                <w:rFonts w:ascii="Times New Roman" w:eastAsia="Times New Roman" w:hAnsi="Times New Roman" w:cs="Times New Roman"/>
                <w:color w:val="000000" w:themeColor="text1"/>
                <w:sz w:val="24"/>
                <w:szCs w:val="24"/>
                <w:lang w:eastAsia="lv-LV"/>
              </w:rPr>
              <w:t>gada 18.</w:t>
            </w:r>
            <w:r w:rsidR="00235E50">
              <w:rPr>
                <w:rFonts w:ascii="Times New Roman" w:eastAsia="Times New Roman" w:hAnsi="Times New Roman" w:cs="Times New Roman"/>
                <w:color w:val="000000" w:themeColor="text1"/>
                <w:sz w:val="24"/>
                <w:szCs w:val="24"/>
                <w:lang w:eastAsia="lv-LV"/>
              </w:rPr>
              <w:t> </w:t>
            </w:r>
            <w:r w:rsidR="001C1767" w:rsidRPr="0004229D">
              <w:rPr>
                <w:rFonts w:ascii="Times New Roman" w:eastAsia="Times New Roman" w:hAnsi="Times New Roman" w:cs="Times New Roman"/>
                <w:color w:val="000000" w:themeColor="text1"/>
                <w:sz w:val="24"/>
                <w:szCs w:val="24"/>
                <w:lang w:eastAsia="lv-LV"/>
              </w:rPr>
              <w:t>decembra pamatnostādnēs</w:t>
            </w:r>
            <w:r w:rsidR="001C1767" w:rsidRPr="000B2941">
              <w:rPr>
                <w:rFonts w:ascii="Times New Roman" w:eastAsia="Times New Roman" w:hAnsi="Times New Roman" w:cs="Times New Roman"/>
                <w:color w:val="000000" w:themeColor="text1"/>
                <w:sz w:val="24"/>
                <w:szCs w:val="24"/>
                <w:lang w:eastAsia="lv-LV"/>
              </w:rPr>
              <w:t xml:space="preserve"> Nr.</w:t>
            </w:r>
            <w:r w:rsidR="00235E50">
              <w:rPr>
                <w:rFonts w:ascii="Times New Roman" w:eastAsia="Times New Roman" w:hAnsi="Times New Roman" w:cs="Times New Roman"/>
                <w:color w:val="000000" w:themeColor="text1"/>
                <w:sz w:val="24"/>
                <w:szCs w:val="24"/>
                <w:lang w:eastAsia="lv-LV"/>
              </w:rPr>
              <w:t> </w:t>
            </w:r>
            <w:r w:rsidR="001C1767" w:rsidRPr="000B2941">
              <w:rPr>
                <w:rFonts w:ascii="Times New Roman" w:eastAsia="Times New Roman" w:hAnsi="Times New Roman" w:cs="Times New Roman"/>
                <w:color w:val="000000" w:themeColor="text1"/>
                <w:sz w:val="24"/>
                <w:szCs w:val="24"/>
                <w:lang w:eastAsia="lv-LV"/>
              </w:rPr>
              <w:t xml:space="preserve">EBA/GL/2023/08 "Pamatnostādnes par dažādības prakses, tostarp dažādības politikas un vīriešu un sieviešu darba samaksas atšķirību, salīdzinošo novērtēšanu saskaņā ar </w:t>
            </w:r>
            <w:r w:rsidR="00D573EE">
              <w:rPr>
                <w:rFonts w:ascii="Times New Roman" w:eastAsia="Times New Roman" w:hAnsi="Times New Roman" w:cs="Times New Roman"/>
                <w:color w:val="000000" w:themeColor="text1"/>
                <w:sz w:val="24"/>
                <w:szCs w:val="24"/>
                <w:lang w:eastAsia="lv-LV"/>
              </w:rPr>
              <w:t>D</w:t>
            </w:r>
            <w:r w:rsidR="00D573EE" w:rsidRPr="000B2941">
              <w:rPr>
                <w:rFonts w:ascii="Times New Roman" w:eastAsia="Times New Roman" w:hAnsi="Times New Roman" w:cs="Times New Roman"/>
                <w:color w:val="000000" w:themeColor="text1"/>
                <w:sz w:val="24"/>
                <w:szCs w:val="24"/>
                <w:lang w:eastAsia="lv-LV"/>
              </w:rPr>
              <w:t xml:space="preserve">irektīvu </w:t>
            </w:r>
            <w:r w:rsidR="001C1767" w:rsidRPr="000B2941">
              <w:rPr>
                <w:rFonts w:ascii="Times New Roman" w:eastAsia="Times New Roman" w:hAnsi="Times New Roman" w:cs="Times New Roman"/>
                <w:color w:val="000000" w:themeColor="text1"/>
                <w:sz w:val="24"/>
                <w:szCs w:val="24"/>
                <w:lang w:eastAsia="lv-LV"/>
              </w:rPr>
              <w:t xml:space="preserve">2013/36/ES un </w:t>
            </w:r>
            <w:r w:rsidR="00D573EE">
              <w:rPr>
                <w:rFonts w:ascii="Times New Roman" w:eastAsia="Times New Roman" w:hAnsi="Times New Roman" w:cs="Times New Roman"/>
                <w:color w:val="000000" w:themeColor="text1"/>
                <w:sz w:val="24"/>
                <w:szCs w:val="24"/>
                <w:lang w:eastAsia="lv-LV"/>
              </w:rPr>
              <w:t>D</w:t>
            </w:r>
            <w:r w:rsidR="00D573EE" w:rsidRPr="000B2941">
              <w:rPr>
                <w:rFonts w:ascii="Times New Roman" w:eastAsia="Times New Roman" w:hAnsi="Times New Roman" w:cs="Times New Roman"/>
                <w:color w:val="000000" w:themeColor="text1"/>
                <w:sz w:val="24"/>
                <w:szCs w:val="24"/>
                <w:lang w:eastAsia="lv-LV"/>
              </w:rPr>
              <w:t xml:space="preserve">irektīvu </w:t>
            </w:r>
            <w:r w:rsidR="001C1767" w:rsidRPr="000B2941">
              <w:rPr>
                <w:rFonts w:ascii="Times New Roman" w:eastAsia="Times New Roman" w:hAnsi="Times New Roman" w:cs="Times New Roman"/>
                <w:color w:val="000000" w:themeColor="text1"/>
                <w:sz w:val="24"/>
                <w:szCs w:val="24"/>
                <w:lang w:eastAsia="lv-LV"/>
              </w:rPr>
              <w:t>(ES)</w:t>
            </w:r>
            <w:r w:rsidR="00235E50">
              <w:rPr>
                <w:rFonts w:ascii="Times New Roman" w:eastAsia="Times New Roman" w:hAnsi="Times New Roman" w:cs="Times New Roman"/>
                <w:color w:val="000000" w:themeColor="text1"/>
                <w:sz w:val="24"/>
                <w:szCs w:val="24"/>
                <w:lang w:eastAsia="lv-LV"/>
              </w:rPr>
              <w:t> </w:t>
            </w:r>
            <w:r w:rsidR="001C1767" w:rsidRPr="000B2941">
              <w:rPr>
                <w:rFonts w:ascii="Times New Roman" w:eastAsia="Times New Roman" w:hAnsi="Times New Roman" w:cs="Times New Roman"/>
                <w:color w:val="000000" w:themeColor="text1"/>
                <w:sz w:val="24"/>
                <w:szCs w:val="24"/>
                <w:lang w:eastAsia="lv-LV"/>
              </w:rPr>
              <w:t>2019/2034"</w:t>
            </w:r>
            <w:r w:rsidR="001C1767">
              <w:rPr>
                <w:rFonts w:ascii="Times New Roman" w:eastAsia="Times New Roman" w:hAnsi="Times New Roman" w:cs="Times New Roman"/>
                <w:color w:val="000000" w:themeColor="text1"/>
                <w:sz w:val="24"/>
                <w:szCs w:val="24"/>
                <w:lang w:eastAsia="lv-LV"/>
              </w:rPr>
              <w:t xml:space="preserve"> (turpmāk</w:t>
            </w:r>
            <w:r w:rsidR="00D573EE">
              <w:rPr>
                <w:rFonts w:ascii="Times New Roman" w:eastAsia="Times New Roman" w:hAnsi="Times New Roman" w:cs="Times New Roman"/>
                <w:color w:val="000000" w:themeColor="text1"/>
                <w:sz w:val="24"/>
                <w:szCs w:val="24"/>
                <w:lang w:eastAsia="lv-LV"/>
              </w:rPr>
              <w:t xml:space="preserve"> arī</w:t>
            </w:r>
            <w:r w:rsidR="00235E50">
              <w:rPr>
                <w:rFonts w:ascii="Times New Roman" w:eastAsia="Times New Roman" w:hAnsi="Times New Roman" w:cs="Times New Roman"/>
                <w:color w:val="000000" w:themeColor="text1"/>
                <w:sz w:val="24"/>
                <w:szCs w:val="24"/>
                <w:lang w:eastAsia="lv-LV"/>
              </w:rPr>
              <w:t> –</w:t>
            </w:r>
            <w:r w:rsidR="001C1767">
              <w:t xml:space="preserve"> </w:t>
            </w:r>
            <w:r w:rsidR="001C1767" w:rsidRPr="00480CA4">
              <w:rPr>
                <w:rFonts w:ascii="Times New Roman" w:eastAsia="Times New Roman" w:hAnsi="Times New Roman" w:cs="Times New Roman"/>
                <w:color w:val="000000" w:themeColor="text1"/>
                <w:sz w:val="24"/>
                <w:szCs w:val="24"/>
                <w:lang w:eastAsia="lv-LV"/>
              </w:rPr>
              <w:t>pamatnostādn</w:t>
            </w:r>
            <w:r w:rsidR="001C1767">
              <w:rPr>
                <w:rFonts w:ascii="Times New Roman" w:eastAsia="Times New Roman" w:hAnsi="Times New Roman" w:cs="Times New Roman"/>
                <w:color w:val="000000" w:themeColor="text1"/>
                <w:sz w:val="24"/>
                <w:szCs w:val="24"/>
                <w:lang w:eastAsia="lv-LV"/>
              </w:rPr>
              <w:t>e</w:t>
            </w:r>
            <w:r w:rsidR="001C1767" w:rsidRPr="00480CA4">
              <w:rPr>
                <w:rFonts w:ascii="Times New Roman" w:eastAsia="Times New Roman" w:hAnsi="Times New Roman" w:cs="Times New Roman"/>
                <w:color w:val="000000" w:themeColor="text1"/>
                <w:sz w:val="24"/>
                <w:szCs w:val="24"/>
                <w:lang w:eastAsia="lv-LV"/>
              </w:rPr>
              <w:t xml:space="preserve">s </w:t>
            </w:r>
            <w:r w:rsidR="001C1767" w:rsidRPr="00480CA4">
              <w:rPr>
                <w:rFonts w:ascii="Times New Roman" w:eastAsia="Times New Roman" w:hAnsi="Times New Roman" w:cs="Times New Roman"/>
                <w:color w:val="000000" w:themeColor="text1"/>
                <w:sz w:val="24"/>
                <w:szCs w:val="24"/>
                <w:lang w:eastAsia="lv-LV"/>
              </w:rPr>
              <w:lastRenderedPageBreak/>
              <w:t>Nr.</w:t>
            </w:r>
            <w:r w:rsidR="00235E50">
              <w:rPr>
                <w:rFonts w:ascii="Times New Roman" w:eastAsia="Times New Roman" w:hAnsi="Times New Roman" w:cs="Times New Roman"/>
                <w:color w:val="000000" w:themeColor="text1"/>
                <w:sz w:val="24"/>
                <w:szCs w:val="24"/>
                <w:lang w:eastAsia="lv-LV"/>
              </w:rPr>
              <w:t> </w:t>
            </w:r>
            <w:r w:rsidR="001C1767" w:rsidRPr="00480CA4">
              <w:rPr>
                <w:rFonts w:ascii="Times New Roman" w:eastAsia="Times New Roman" w:hAnsi="Times New Roman" w:cs="Times New Roman"/>
                <w:color w:val="000000" w:themeColor="text1"/>
                <w:sz w:val="24"/>
                <w:szCs w:val="24"/>
                <w:lang w:eastAsia="lv-LV"/>
              </w:rPr>
              <w:t>EBA/GL/2023/08</w:t>
            </w:r>
            <w:r w:rsidR="001C1767">
              <w:rPr>
                <w:rFonts w:ascii="Times New Roman" w:eastAsia="Times New Roman" w:hAnsi="Times New Roman" w:cs="Times New Roman"/>
                <w:color w:val="000000" w:themeColor="text1"/>
                <w:sz w:val="24"/>
                <w:szCs w:val="24"/>
                <w:lang w:eastAsia="lv-LV"/>
              </w:rPr>
              <w:t xml:space="preserve">) </w:t>
            </w:r>
            <w:r w:rsidR="001C1767" w:rsidRPr="000B2941">
              <w:rPr>
                <w:rFonts w:ascii="Times New Roman" w:eastAsia="Times New Roman" w:hAnsi="Times New Roman" w:cs="Times New Roman"/>
                <w:color w:val="000000" w:themeColor="text1"/>
                <w:sz w:val="24"/>
                <w:szCs w:val="24"/>
                <w:lang w:eastAsia="lv-LV"/>
              </w:rPr>
              <w:t>noteikt</w:t>
            </w:r>
            <w:r w:rsidR="001C1767">
              <w:rPr>
                <w:rFonts w:ascii="Times New Roman" w:eastAsia="Times New Roman" w:hAnsi="Times New Roman" w:cs="Times New Roman"/>
                <w:color w:val="000000" w:themeColor="text1"/>
                <w:sz w:val="24"/>
                <w:szCs w:val="24"/>
                <w:lang w:eastAsia="lv-LV"/>
              </w:rPr>
              <w:t xml:space="preserve">o prasību ieviešanu, noteikumu projektā iekļauta jauna </w:t>
            </w:r>
            <w:r w:rsidR="00D573EE" w:rsidRPr="00154FBB">
              <w:rPr>
                <w:rFonts w:ascii="Times New Roman" w:eastAsia="Times New Roman" w:hAnsi="Times New Roman" w:cs="Times New Roman"/>
                <w:color w:val="000000" w:themeColor="text1"/>
                <w:sz w:val="24"/>
                <w:szCs w:val="24"/>
                <w:lang w:eastAsia="lv-LV"/>
              </w:rPr>
              <w:t>no</w:t>
            </w:r>
            <w:r w:rsidR="001C1767" w:rsidRPr="00154FBB">
              <w:rPr>
                <w:rFonts w:ascii="Times New Roman" w:eastAsia="Times New Roman" w:hAnsi="Times New Roman" w:cs="Times New Roman"/>
                <w:color w:val="000000" w:themeColor="text1"/>
                <w:sz w:val="24"/>
                <w:szCs w:val="24"/>
                <w:lang w:eastAsia="lv-LV"/>
              </w:rPr>
              <w:t>d</w:t>
            </w:r>
            <w:r w:rsidR="001C1767">
              <w:rPr>
                <w:rFonts w:ascii="Times New Roman" w:eastAsia="Times New Roman" w:hAnsi="Times New Roman" w:cs="Times New Roman"/>
                <w:color w:val="000000" w:themeColor="text1"/>
                <w:sz w:val="24"/>
                <w:szCs w:val="24"/>
                <w:lang w:eastAsia="lv-LV"/>
              </w:rPr>
              <w:t xml:space="preserve">aļa, kas </w:t>
            </w:r>
            <w:r w:rsidR="001C1767" w:rsidRPr="007673E9">
              <w:rPr>
                <w:rFonts w:ascii="Times New Roman" w:eastAsia="Times New Roman" w:hAnsi="Times New Roman" w:cs="Times New Roman"/>
                <w:color w:val="000000" w:themeColor="text1"/>
                <w:sz w:val="24"/>
                <w:szCs w:val="24"/>
                <w:lang w:eastAsia="lv-LV"/>
              </w:rPr>
              <w:t>nosaka pārskata</w:t>
            </w:r>
            <w:r w:rsidR="007673E9" w:rsidRPr="007673E9">
              <w:rPr>
                <w:rFonts w:ascii="Times New Roman" w:eastAsia="Times New Roman" w:hAnsi="Times New Roman" w:cs="Times New Roman"/>
                <w:color w:val="000000" w:themeColor="text1"/>
                <w:sz w:val="24"/>
                <w:szCs w:val="24"/>
                <w:lang w:eastAsia="lv-LV"/>
              </w:rPr>
              <w:t xml:space="preserve"> par dažādības</w:t>
            </w:r>
            <w:r w:rsidR="007673E9">
              <w:rPr>
                <w:rFonts w:ascii="Times New Roman" w:eastAsia="Times New Roman" w:hAnsi="Times New Roman" w:cs="Times New Roman"/>
                <w:color w:val="000000" w:themeColor="text1"/>
                <w:sz w:val="24"/>
                <w:szCs w:val="24"/>
                <w:lang w:eastAsia="lv-LV"/>
              </w:rPr>
              <w:t xml:space="preserve"> politiku un praksi</w:t>
            </w:r>
            <w:r w:rsidR="001C1767" w:rsidRPr="0090488B">
              <w:rPr>
                <w:rFonts w:ascii="Times New Roman" w:eastAsia="Times New Roman" w:hAnsi="Times New Roman" w:cs="Times New Roman"/>
                <w:color w:val="000000" w:themeColor="text1"/>
                <w:sz w:val="24"/>
                <w:szCs w:val="24"/>
                <w:lang w:eastAsia="lv-LV"/>
              </w:rPr>
              <w:t xml:space="preserve"> sagatavošanas un iesniegšanas kārtību</w:t>
            </w:r>
            <w:r w:rsidR="005E7221">
              <w:rPr>
                <w:rFonts w:ascii="Times New Roman" w:eastAsia="Times New Roman" w:hAnsi="Times New Roman" w:cs="Times New Roman"/>
                <w:color w:val="000000" w:themeColor="text1"/>
                <w:sz w:val="24"/>
                <w:szCs w:val="24"/>
                <w:lang w:eastAsia="lv-LV"/>
              </w:rPr>
              <w:t>;</w:t>
            </w:r>
          </w:p>
          <w:p w14:paraId="740D73CF" w14:textId="20EAF738" w:rsidR="00A01616" w:rsidRDefault="00E21700" w:rsidP="00FA74AB">
            <w:pPr>
              <w:spacing w:after="120" w:line="240" w:lineRule="auto"/>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iCs/>
                <w:color w:val="000000" w:themeColor="text1"/>
                <w:sz w:val="24"/>
                <w:szCs w:val="24"/>
                <w:lang w:eastAsia="lv-LV"/>
              </w:rPr>
              <w:t>5</w:t>
            </w:r>
            <w:r w:rsidR="001C1767">
              <w:rPr>
                <w:rFonts w:ascii="Times New Roman" w:eastAsia="Times New Roman" w:hAnsi="Times New Roman" w:cs="Times New Roman"/>
                <w:iCs/>
                <w:color w:val="000000" w:themeColor="text1"/>
                <w:sz w:val="24"/>
                <w:szCs w:val="24"/>
                <w:lang w:eastAsia="lv-LV"/>
              </w:rPr>
              <w:t>)</w:t>
            </w:r>
            <w:r w:rsidR="001C1767" w:rsidRPr="0090488B">
              <w:rPr>
                <w:rFonts w:ascii="Times New Roman" w:eastAsia="Times New Roman" w:hAnsi="Times New Roman" w:cs="Times New Roman"/>
                <w:color w:val="000000" w:themeColor="text1"/>
                <w:sz w:val="24"/>
                <w:szCs w:val="24"/>
                <w:lang w:eastAsia="lv-LV"/>
              </w:rPr>
              <w:t xml:space="preserve"> </w:t>
            </w:r>
            <w:r w:rsidR="001C1767">
              <w:rPr>
                <w:rFonts w:ascii="Times New Roman" w:eastAsia="Times New Roman" w:hAnsi="Times New Roman" w:cs="Times New Roman"/>
                <w:color w:val="000000" w:themeColor="text1"/>
                <w:sz w:val="24"/>
                <w:szCs w:val="24"/>
                <w:lang w:eastAsia="lv-LV"/>
              </w:rPr>
              <w:t>l</w:t>
            </w:r>
            <w:r w:rsidR="001C1767" w:rsidRPr="0090488B">
              <w:rPr>
                <w:rFonts w:ascii="Times New Roman" w:eastAsia="Times New Roman" w:hAnsi="Times New Roman" w:cs="Times New Roman"/>
                <w:color w:val="000000" w:themeColor="text1"/>
                <w:sz w:val="24"/>
                <w:szCs w:val="24"/>
                <w:lang w:eastAsia="lv-LV"/>
              </w:rPr>
              <w:t xml:space="preserve">ai nodrošinātu </w:t>
            </w:r>
            <w:r w:rsidR="00D573EE">
              <w:rPr>
                <w:rFonts w:ascii="Times New Roman" w:eastAsia="Times New Roman" w:hAnsi="Times New Roman" w:cs="Times New Roman"/>
                <w:color w:val="000000" w:themeColor="text1"/>
                <w:sz w:val="24"/>
                <w:szCs w:val="24"/>
                <w:lang w:eastAsia="lv-LV"/>
              </w:rPr>
              <w:t xml:space="preserve">uz noteiktiem </w:t>
            </w:r>
            <w:r w:rsidR="001C1767" w:rsidRPr="0090488B">
              <w:rPr>
                <w:rFonts w:ascii="Times New Roman" w:eastAsia="Times New Roman" w:hAnsi="Times New Roman" w:cs="Times New Roman"/>
                <w:color w:val="000000" w:themeColor="text1"/>
                <w:sz w:val="24"/>
                <w:szCs w:val="24"/>
                <w:lang w:eastAsia="lv-LV"/>
              </w:rPr>
              <w:t>princip</w:t>
            </w:r>
            <w:r w:rsidR="00D573EE">
              <w:rPr>
                <w:rFonts w:ascii="Times New Roman" w:eastAsia="Times New Roman" w:hAnsi="Times New Roman" w:cs="Times New Roman"/>
                <w:color w:val="000000" w:themeColor="text1"/>
                <w:sz w:val="24"/>
                <w:szCs w:val="24"/>
                <w:lang w:eastAsia="lv-LV"/>
              </w:rPr>
              <w:t>iem</w:t>
            </w:r>
            <w:r w:rsidR="001C1767" w:rsidRPr="0090488B">
              <w:rPr>
                <w:rFonts w:ascii="Times New Roman" w:eastAsia="Times New Roman" w:hAnsi="Times New Roman" w:cs="Times New Roman"/>
                <w:color w:val="000000" w:themeColor="text1"/>
                <w:sz w:val="24"/>
                <w:szCs w:val="24"/>
                <w:lang w:eastAsia="lv-LV"/>
              </w:rPr>
              <w:t xml:space="preserve"> balstītas pieejas ieviešanu un iespēju iestādēm, veidojot savu organizatorisko struktūru, izvērtēt iespējamos riskus un interešu konfliktu iestāšanās iespējamību, </w:t>
            </w:r>
            <w:r w:rsidR="001C1767" w:rsidRPr="0004229D">
              <w:rPr>
                <w:rFonts w:ascii="Times New Roman" w:eastAsia="Times New Roman" w:hAnsi="Times New Roman" w:cs="Times New Roman"/>
                <w:color w:val="000000" w:themeColor="text1"/>
                <w:sz w:val="24"/>
                <w:szCs w:val="24"/>
                <w:lang w:eastAsia="lv-LV"/>
              </w:rPr>
              <w:t>noteikumu projekts, salīdzinot ar Noteikumiem Nr.</w:t>
            </w:r>
            <w:r w:rsidR="00235E50">
              <w:rPr>
                <w:rFonts w:ascii="Times New Roman" w:eastAsia="Times New Roman" w:hAnsi="Times New Roman" w:cs="Times New Roman"/>
                <w:color w:val="000000" w:themeColor="text1"/>
                <w:sz w:val="24"/>
                <w:szCs w:val="24"/>
                <w:lang w:eastAsia="lv-LV"/>
              </w:rPr>
              <w:t> </w:t>
            </w:r>
            <w:r w:rsidR="001C1767" w:rsidRPr="0004229D">
              <w:rPr>
                <w:rFonts w:ascii="Times New Roman" w:eastAsia="Times New Roman" w:hAnsi="Times New Roman" w:cs="Times New Roman"/>
                <w:color w:val="000000" w:themeColor="text1"/>
                <w:sz w:val="24"/>
                <w:szCs w:val="24"/>
                <w:lang w:eastAsia="lv-LV"/>
              </w:rPr>
              <w:t>227</w:t>
            </w:r>
            <w:r w:rsidR="00D573EE">
              <w:rPr>
                <w:rFonts w:ascii="Times New Roman" w:eastAsia="Times New Roman" w:hAnsi="Times New Roman" w:cs="Times New Roman"/>
                <w:color w:val="000000" w:themeColor="text1"/>
                <w:sz w:val="24"/>
                <w:szCs w:val="24"/>
                <w:lang w:eastAsia="lv-LV"/>
              </w:rPr>
              <w:t>,</w:t>
            </w:r>
            <w:r w:rsidR="001C1767" w:rsidRPr="0004229D">
              <w:rPr>
                <w:rFonts w:ascii="Times New Roman" w:eastAsia="Times New Roman" w:hAnsi="Times New Roman" w:cs="Times New Roman"/>
                <w:color w:val="000000" w:themeColor="text1"/>
                <w:sz w:val="24"/>
                <w:szCs w:val="24"/>
                <w:lang w:eastAsia="lv-LV"/>
              </w:rPr>
              <w:t xml:space="preserve"> vairs </w:t>
            </w:r>
            <w:r w:rsidR="001C1767" w:rsidRPr="0090488B">
              <w:rPr>
                <w:rFonts w:ascii="Times New Roman" w:eastAsia="Times New Roman" w:hAnsi="Times New Roman" w:cs="Times New Roman"/>
                <w:color w:val="000000" w:themeColor="text1"/>
                <w:sz w:val="24"/>
                <w:szCs w:val="24"/>
                <w:lang w:eastAsia="lv-LV"/>
              </w:rPr>
              <w:t>neparedz aizliegumu</w:t>
            </w:r>
            <w:r w:rsidR="001C1767">
              <w:rPr>
                <w:rFonts w:ascii="Times New Roman" w:eastAsia="Times New Roman" w:hAnsi="Times New Roman" w:cs="Times New Roman"/>
                <w:color w:val="000000" w:themeColor="text1"/>
                <w:sz w:val="24"/>
                <w:szCs w:val="24"/>
                <w:lang w:eastAsia="lv-LV"/>
              </w:rPr>
              <w:t xml:space="preserve"> risku kontroles </w:t>
            </w:r>
            <w:r w:rsidR="001C1767" w:rsidRPr="000B2941">
              <w:rPr>
                <w:rFonts w:ascii="Times New Roman" w:eastAsia="Times New Roman" w:hAnsi="Times New Roman" w:cs="Times New Roman"/>
                <w:color w:val="000000" w:themeColor="text1"/>
                <w:sz w:val="24"/>
                <w:szCs w:val="24"/>
                <w:lang w:eastAsia="lv-LV"/>
              </w:rPr>
              <w:t>funkcij</w:t>
            </w:r>
            <w:r w:rsidR="001C1767">
              <w:rPr>
                <w:rFonts w:ascii="Times New Roman" w:eastAsia="Times New Roman" w:hAnsi="Times New Roman" w:cs="Times New Roman"/>
                <w:color w:val="000000" w:themeColor="text1"/>
                <w:sz w:val="24"/>
                <w:szCs w:val="24"/>
                <w:lang w:eastAsia="lv-LV"/>
              </w:rPr>
              <w:t>ai un darbības atbilstības kontroles funkcijai a</w:t>
            </w:r>
            <w:r w:rsidR="001C1767" w:rsidRPr="000B2941">
              <w:rPr>
                <w:rFonts w:ascii="Times New Roman" w:eastAsia="Times New Roman" w:hAnsi="Times New Roman" w:cs="Times New Roman"/>
                <w:color w:val="000000" w:themeColor="text1"/>
                <w:sz w:val="24"/>
                <w:szCs w:val="24"/>
                <w:lang w:eastAsia="lv-LV"/>
              </w:rPr>
              <w:t xml:space="preserve">trasties </w:t>
            </w:r>
            <w:r w:rsidR="001C1767">
              <w:rPr>
                <w:rFonts w:ascii="Times New Roman" w:eastAsia="Times New Roman" w:hAnsi="Times New Roman" w:cs="Times New Roman"/>
                <w:color w:val="000000" w:themeColor="text1"/>
                <w:sz w:val="24"/>
                <w:szCs w:val="24"/>
                <w:lang w:eastAsia="lv-LV"/>
              </w:rPr>
              <w:t xml:space="preserve">iestādes </w:t>
            </w:r>
            <w:r w:rsidR="001C1767" w:rsidRPr="000B2941">
              <w:rPr>
                <w:rFonts w:ascii="Times New Roman" w:eastAsia="Times New Roman" w:hAnsi="Times New Roman" w:cs="Times New Roman"/>
                <w:color w:val="000000" w:themeColor="text1"/>
                <w:sz w:val="24"/>
                <w:szCs w:val="24"/>
                <w:lang w:eastAsia="lv-LV"/>
              </w:rPr>
              <w:t>valdes priekšsēdētāja padotībā</w:t>
            </w:r>
            <w:r w:rsidR="00A01616">
              <w:rPr>
                <w:rFonts w:ascii="Times New Roman" w:eastAsia="Times New Roman" w:hAnsi="Times New Roman" w:cs="Times New Roman"/>
                <w:color w:val="000000" w:themeColor="text1"/>
                <w:sz w:val="24"/>
                <w:szCs w:val="24"/>
                <w:lang w:eastAsia="lv-LV"/>
              </w:rPr>
              <w:t xml:space="preserve">, vienlaicīgi nodrošinot, ka tiek ievērotas </w:t>
            </w:r>
            <w:r w:rsidR="00201B59">
              <w:rPr>
                <w:rFonts w:ascii="Times New Roman" w:eastAsia="Times New Roman" w:hAnsi="Times New Roman" w:cs="Times New Roman"/>
                <w:color w:val="000000" w:themeColor="text1"/>
                <w:sz w:val="24"/>
                <w:szCs w:val="24"/>
                <w:lang w:eastAsia="lv-LV"/>
              </w:rPr>
              <w:t xml:space="preserve">šo </w:t>
            </w:r>
            <w:r w:rsidR="00A01616">
              <w:rPr>
                <w:rFonts w:ascii="Times New Roman" w:eastAsia="Times New Roman" w:hAnsi="Times New Roman" w:cs="Times New Roman"/>
                <w:color w:val="000000" w:themeColor="text1"/>
                <w:sz w:val="24"/>
                <w:szCs w:val="24"/>
                <w:lang w:eastAsia="lv-LV"/>
              </w:rPr>
              <w:t>funkciju</w:t>
            </w:r>
            <w:r w:rsidR="00201B59">
              <w:rPr>
                <w:rFonts w:ascii="Times New Roman" w:eastAsia="Times New Roman" w:hAnsi="Times New Roman" w:cs="Times New Roman"/>
                <w:color w:val="000000" w:themeColor="text1"/>
                <w:sz w:val="24"/>
                <w:szCs w:val="24"/>
                <w:lang w:eastAsia="lv-LV"/>
              </w:rPr>
              <w:t xml:space="preserve"> vadītāju autoritātes un neatkarības </w:t>
            </w:r>
            <w:r w:rsidR="00201B59" w:rsidRPr="00201B59">
              <w:rPr>
                <w:rFonts w:ascii="Times New Roman" w:eastAsia="Times New Roman" w:hAnsi="Times New Roman" w:cs="Times New Roman"/>
                <w:color w:val="000000" w:themeColor="text1"/>
                <w:sz w:val="24"/>
                <w:szCs w:val="24"/>
                <w:lang w:eastAsia="lv-LV"/>
              </w:rPr>
              <w:t>no biznesa funkcijām</w:t>
            </w:r>
            <w:r w:rsidR="00201B59">
              <w:rPr>
                <w:rFonts w:ascii="Times New Roman" w:eastAsia="Times New Roman" w:hAnsi="Times New Roman" w:cs="Times New Roman"/>
                <w:color w:val="000000" w:themeColor="text1"/>
                <w:sz w:val="24"/>
                <w:szCs w:val="24"/>
                <w:lang w:eastAsia="lv-LV"/>
              </w:rPr>
              <w:t xml:space="preserve"> prasības</w:t>
            </w:r>
            <w:r w:rsidR="005E7221">
              <w:rPr>
                <w:rFonts w:ascii="Times New Roman" w:eastAsia="Times New Roman" w:hAnsi="Times New Roman" w:cs="Times New Roman"/>
                <w:color w:val="000000" w:themeColor="text1"/>
                <w:sz w:val="24"/>
                <w:szCs w:val="24"/>
                <w:lang w:eastAsia="lv-LV"/>
              </w:rPr>
              <w:t>;</w:t>
            </w:r>
          </w:p>
          <w:p w14:paraId="3ECCB7CC" w14:textId="61AE5E93" w:rsidR="005A6DD5" w:rsidRPr="001B1059" w:rsidRDefault="005A6DD5" w:rsidP="001B1059">
            <w:pPr>
              <w:pStyle w:val="Sarakstarindkopa"/>
              <w:tabs>
                <w:tab w:val="left" w:pos="287"/>
              </w:tabs>
              <w:spacing w:after="120" w:line="240" w:lineRule="auto"/>
              <w:ind w:left="0"/>
              <w:jc w:val="both"/>
              <w:rPr>
                <w:rFonts w:ascii="Times New Roman" w:eastAsia="Times New Roman" w:hAnsi="Times New Roman" w:cs="Times New Roman"/>
                <w:kern w:val="2"/>
                <w:sz w:val="24"/>
                <w:szCs w:val="24"/>
                <w:lang w:eastAsia="lv-LV"/>
                <w14:ligatures w14:val="standardContextual"/>
              </w:rPr>
            </w:pPr>
            <w:bookmarkStart w:id="3" w:name="_Hlk178239714"/>
            <w:r>
              <w:rPr>
                <w:rFonts w:ascii="Times New Roman" w:eastAsia="Times New Roman" w:hAnsi="Times New Roman" w:cs="Times New Roman"/>
                <w:color w:val="000000" w:themeColor="text1"/>
                <w:sz w:val="24"/>
                <w:szCs w:val="24"/>
                <w:lang w:eastAsia="lv-LV"/>
              </w:rPr>
              <w:t xml:space="preserve">6) </w:t>
            </w:r>
            <w:r w:rsidR="0096538A" w:rsidRPr="001B1059">
              <w:rPr>
                <w:rFonts w:ascii="Times New Roman" w:eastAsia="Times New Roman" w:hAnsi="Times New Roman" w:cs="Times New Roman"/>
                <w:kern w:val="2"/>
                <w:sz w:val="24"/>
                <w:szCs w:val="24"/>
                <w:lang w:eastAsia="lv-LV"/>
                <w14:ligatures w14:val="standardContextual"/>
              </w:rPr>
              <w:t xml:space="preserve">noteikumu projektā iekļauta prasība iestādēm nodrošināt, ka iekšējā audita funkcija tiek veikta atbilstoši Iekšējā audita profesionālās prakses starptautiskajos standartos noteiktajām prasībām (standarti publicēti biedrības </w:t>
            </w:r>
            <w:hyperlink r:id="rId11" w:history="1">
              <w:r w:rsidR="0096538A" w:rsidRPr="001B1059">
                <w:rPr>
                  <w:rStyle w:val="Hipersaite"/>
                  <w:rFonts w:ascii="Times New Roman" w:eastAsia="Times New Roman" w:hAnsi="Times New Roman" w:cs="Times New Roman"/>
                  <w:color w:val="auto"/>
                  <w:kern w:val="2"/>
                  <w:sz w:val="24"/>
                  <w:szCs w:val="24"/>
                  <w:lang w:eastAsia="lv-LV"/>
                  <w14:ligatures w14:val="standardContextual"/>
                </w:rPr>
                <w:t>"Iekšējo auditoru institūts" tīmekļvietnē</w:t>
              </w:r>
            </w:hyperlink>
            <w:r w:rsidR="0096538A" w:rsidRPr="001B1059">
              <w:rPr>
                <w:rFonts w:ascii="Times New Roman" w:eastAsia="Times New Roman" w:hAnsi="Times New Roman" w:cs="Times New Roman"/>
                <w:kern w:val="2"/>
                <w:sz w:val="24"/>
                <w:szCs w:val="24"/>
                <w:lang w:eastAsia="lv-LV"/>
                <w14:ligatures w14:val="standardContextual"/>
              </w:rPr>
              <w:t>), ņemot vērā to, ka iestādēs jau pašlaik pilnībā vai daļēji tiek nodrošināta šo prasību ievērošana;</w:t>
            </w:r>
          </w:p>
          <w:bookmarkEnd w:id="3"/>
          <w:p w14:paraId="3591CBD3" w14:textId="0FD52585" w:rsidR="001C1767" w:rsidRDefault="005A6DD5" w:rsidP="00FA74AB">
            <w:pPr>
              <w:spacing w:after="120" w:line="240" w:lineRule="auto"/>
              <w:jc w:val="both"/>
              <w:rPr>
                <w:rFonts w:ascii="Times New Roman" w:eastAsia="Times New Roman" w:hAnsi="Times New Roman" w:cs="Times New Roman"/>
                <w:iCs/>
                <w:color w:val="000000" w:themeColor="text1"/>
                <w:sz w:val="24"/>
                <w:szCs w:val="24"/>
                <w:lang w:eastAsia="lv-LV"/>
              </w:rPr>
            </w:pPr>
            <w:r>
              <w:rPr>
                <w:rFonts w:ascii="Times New Roman" w:eastAsia="Times New Roman" w:hAnsi="Times New Roman" w:cs="Times New Roman"/>
                <w:iCs/>
                <w:color w:val="000000" w:themeColor="text1"/>
                <w:sz w:val="24"/>
                <w:szCs w:val="24"/>
                <w:lang w:eastAsia="lv-LV"/>
              </w:rPr>
              <w:t>7</w:t>
            </w:r>
            <w:r w:rsidR="001C1767">
              <w:rPr>
                <w:rFonts w:ascii="Times New Roman" w:eastAsia="Times New Roman" w:hAnsi="Times New Roman" w:cs="Times New Roman"/>
                <w:iCs/>
                <w:color w:val="000000" w:themeColor="text1"/>
                <w:sz w:val="24"/>
                <w:szCs w:val="24"/>
                <w:lang w:eastAsia="lv-LV"/>
              </w:rPr>
              <w:t xml:space="preserve">) noteikumu projektā ir iekļauta </w:t>
            </w:r>
            <w:r>
              <w:rPr>
                <w:rFonts w:ascii="Times New Roman" w:eastAsia="Times New Roman" w:hAnsi="Times New Roman" w:cs="Times New Roman"/>
                <w:iCs/>
                <w:color w:val="000000" w:themeColor="text1"/>
                <w:sz w:val="24"/>
                <w:szCs w:val="24"/>
                <w:lang w:eastAsia="lv-LV"/>
              </w:rPr>
              <w:t>no</w:t>
            </w:r>
            <w:r w:rsidR="001C1767">
              <w:rPr>
                <w:rFonts w:ascii="Times New Roman" w:eastAsia="Times New Roman" w:hAnsi="Times New Roman" w:cs="Times New Roman"/>
                <w:iCs/>
                <w:color w:val="000000" w:themeColor="text1"/>
                <w:sz w:val="24"/>
                <w:szCs w:val="24"/>
                <w:lang w:eastAsia="lv-LV"/>
              </w:rPr>
              <w:t xml:space="preserve">daļa par iestādes darbības nepārtrauktības nodrošināšanu, </w:t>
            </w:r>
            <w:r w:rsidR="00201B59">
              <w:rPr>
                <w:rFonts w:ascii="Times New Roman" w:eastAsia="Times New Roman" w:hAnsi="Times New Roman" w:cs="Times New Roman"/>
                <w:iCs/>
                <w:color w:val="000000" w:themeColor="text1"/>
                <w:sz w:val="24"/>
                <w:szCs w:val="24"/>
                <w:lang w:eastAsia="lv-LV"/>
              </w:rPr>
              <w:t xml:space="preserve">ņemot vērā to, ka </w:t>
            </w:r>
            <w:r w:rsidR="00201B59" w:rsidRPr="00201B59">
              <w:rPr>
                <w:rFonts w:ascii="Times New Roman" w:eastAsia="Times New Roman" w:hAnsi="Times New Roman" w:cs="Times New Roman"/>
                <w:iCs/>
                <w:color w:val="000000" w:themeColor="text1"/>
                <w:sz w:val="24"/>
                <w:szCs w:val="24"/>
                <w:lang w:eastAsia="lv-LV"/>
              </w:rPr>
              <w:t>2025.</w:t>
            </w:r>
            <w:r w:rsidR="00201B59">
              <w:rPr>
                <w:rFonts w:ascii="Times New Roman" w:eastAsia="Times New Roman" w:hAnsi="Times New Roman" w:cs="Times New Roman"/>
                <w:iCs/>
                <w:color w:val="000000" w:themeColor="text1"/>
                <w:sz w:val="24"/>
                <w:szCs w:val="24"/>
                <w:lang w:eastAsia="lv-LV"/>
              </w:rPr>
              <w:t> </w:t>
            </w:r>
            <w:r w:rsidR="00201B59" w:rsidRPr="00201B59">
              <w:rPr>
                <w:rFonts w:ascii="Times New Roman" w:eastAsia="Times New Roman" w:hAnsi="Times New Roman" w:cs="Times New Roman"/>
                <w:iCs/>
                <w:color w:val="000000" w:themeColor="text1"/>
                <w:sz w:val="24"/>
                <w:szCs w:val="24"/>
                <w:lang w:eastAsia="lv-LV"/>
              </w:rPr>
              <w:t>gada 1.</w:t>
            </w:r>
            <w:r w:rsidR="00201B59">
              <w:rPr>
                <w:rFonts w:ascii="Times New Roman" w:eastAsia="Times New Roman" w:hAnsi="Times New Roman" w:cs="Times New Roman"/>
                <w:iCs/>
                <w:color w:val="000000" w:themeColor="text1"/>
                <w:sz w:val="24"/>
                <w:szCs w:val="24"/>
                <w:lang w:eastAsia="lv-LV"/>
              </w:rPr>
              <w:t> </w:t>
            </w:r>
            <w:r w:rsidR="00201B59" w:rsidRPr="00201B59">
              <w:rPr>
                <w:rFonts w:ascii="Times New Roman" w:eastAsia="Times New Roman" w:hAnsi="Times New Roman" w:cs="Times New Roman"/>
                <w:iCs/>
                <w:color w:val="000000" w:themeColor="text1"/>
                <w:sz w:val="24"/>
                <w:szCs w:val="24"/>
                <w:lang w:eastAsia="lv-LV"/>
              </w:rPr>
              <w:t xml:space="preserve">janvārī spēku zaudēs Finanšu un kapitāla tirgus komisijas </w:t>
            </w:r>
            <w:r w:rsidR="00D573EE" w:rsidRPr="00201B59">
              <w:rPr>
                <w:rFonts w:ascii="Times New Roman" w:eastAsia="Times New Roman" w:hAnsi="Times New Roman" w:cs="Times New Roman"/>
                <w:iCs/>
                <w:color w:val="000000" w:themeColor="text1"/>
                <w:sz w:val="24"/>
                <w:szCs w:val="24"/>
                <w:lang w:eastAsia="lv-LV"/>
              </w:rPr>
              <w:t>2006.</w:t>
            </w:r>
            <w:r w:rsidR="00D573EE">
              <w:rPr>
                <w:rFonts w:ascii="Times New Roman" w:eastAsia="Times New Roman" w:hAnsi="Times New Roman" w:cs="Times New Roman"/>
                <w:iCs/>
                <w:color w:val="000000" w:themeColor="text1"/>
                <w:sz w:val="24"/>
                <w:szCs w:val="24"/>
                <w:lang w:eastAsia="lv-LV"/>
              </w:rPr>
              <w:t> </w:t>
            </w:r>
            <w:r w:rsidR="00D573EE" w:rsidRPr="00201B59">
              <w:rPr>
                <w:rFonts w:ascii="Times New Roman" w:eastAsia="Times New Roman" w:hAnsi="Times New Roman" w:cs="Times New Roman"/>
                <w:iCs/>
                <w:color w:val="000000" w:themeColor="text1"/>
                <w:sz w:val="24"/>
                <w:szCs w:val="24"/>
                <w:lang w:eastAsia="lv-LV"/>
              </w:rPr>
              <w:t>gada 28.</w:t>
            </w:r>
            <w:r w:rsidR="00D573EE">
              <w:rPr>
                <w:rFonts w:ascii="Times New Roman" w:eastAsia="Times New Roman" w:hAnsi="Times New Roman" w:cs="Times New Roman"/>
                <w:iCs/>
                <w:color w:val="000000" w:themeColor="text1"/>
                <w:sz w:val="24"/>
                <w:szCs w:val="24"/>
                <w:lang w:eastAsia="lv-LV"/>
              </w:rPr>
              <w:t> </w:t>
            </w:r>
            <w:r w:rsidR="00D573EE" w:rsidRPr="00201B59">
              <w:rPr>
                <w:rFonts w:ascii="Times New Roman" w:eastAsia="Times New Roman" w:hAnsi="Times New Roman" w:cs="Times New Roman"/>
                <w:iCs/>
                <w:color w:val="000000" w:themeColor="text1"/>
                <w:sz w:val="24"/>
                <w:szCs w:val="24"/>
                <w:lang w:eastAsia="lv-LV"/>
              </w:rPr>
              <w:t xml:space="preserve">jūlija </w:t>
            </w:r>
            <w:r w:rsidR="00201B59" w:rsidRPr="00201B59">
              <w:rPr>
                <w:rFonts w:ascii="Times New Roman" w:eastAsia="Times New Roman" w:hAnsi="Times New Roman" w:cs="Times New Roman"/>
                <w:iCs/>
                <w:color w:val="000000" w:themeColor="text1"/>
                <w:sz w:val="24"/>
                <w:szCs w:val="24"/>
                <w:lang w:eastAsia="lv-LV"/>
              </w:rPr>
              <w:t>ieteikumi Nr.</w:t>
            </w:r>
            <w:r w:rsidR="00235E50">
              <w:rPr>
                <w:rFonts w:ascii="Times New Roman" w:eastAsia="Times New Roman" w:hAnsi="Times New Roman" w:cs="Times New Roman"/>
                <w:iCs/>
                <w:color w:val="000000" w:themeColor="text1"/>
                <w:sz w:val="24"/>
                <w:szCs w:val="24"/>
                <w:lang w:eastAsia="lv-LV"/>
              </w:rPr>
              <w:t> </w:t>
            </w:r>
            <w:r w:rsidR="00201B59" w:rsidRPr="00201B59">
              <w:rPr>
                <w:rFonts w:ascii="Times New Roman" w:eastAsia="Times New Roman" w:hAnsi="Times New Roman" w:cs="Times New Roman"/>
                <w:iCs/>
                <w:color w:val="000000" w:themeColor="text1"/>
                <w:sz w:val="24"/>
                <w:szCs w:val="24"/>
                <w:lang w:eastAsia="lv-LV"/>
              </w:rPr>
              <w:t>125 "Operacionālā riska pārvaldīšanas ieteikumi"</w:t>
            </w:r>
            <w:r w:rsidR="00201B59">
              <w:rPr>
                <w:rFonts w:ascii="Times New Roman" w:eastAsia="Times New Roman" w:hAnsi="Times New Roman" w:cs="Times New Roman"/>
                <w:iCs/>
                <w:color w:val="000000" w:themeColor="text1"/>
                <w:sz w:val="24"/>
                <w:szCs w:val="24"/>
                <w:lang w:eastAsia="lv-LV"/>
              </w:rPr>
              <w:t>;</w:t>
            </w:r>
          </w:p>
          <w:p w14:paraId="52D5961A" w14:textId="36BBA335" w:rsidR="001C1767" w:rsidRDefault="005A6DD5" w:rsidP="00FA74AB">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iCs/>
                <w:color w:val="000000" w:themeColor="text1"/>
                <w:sz w:val="24"/>
                <w:szCs w:val="24"/>
                <w:lang w:eastAsia="lv-LV"/>
              </w:rPr>
              <w:t>8</w:t>
            </w:r>
            <w:r w:rsidR="001C1767">
              <w:rPr>
                <w:rFonts w:ascii="Times New Roman" w:eastAsia="Times New Roman" w:hAnsi="Times New Roman" w:cs="Times New Roman"/>
                <w:iCs/>
                <w:color w:val="000000" w:themeColor="text1"/>
                <w:sz w:val="24"/>
                <w:szCs w:val="24"/>
                <w:lang w:eastAsia="lv-LV"/>
              </w:rPr>
              <w:t xml:space="preserve">) noteiktas prasības atalgojuma komitejas veidošanai, kuras līdz šim bija iekļautas </w:t>
            </w:r>
            <w:r w:rsidR="001C1767" w:rsidRPr="000C6B17">
              <w:rPr>
                <w:rFonts w:ascii="Times New Roman" w:eastAsia="Times New Roman" w:hAnsi="Times New Roman" w:cs="Times New Roman"/>
                <w:sz w:val="24"/>
                <w:szCs w:val="24"/>
                <w:lang w:eastAsia="lv-LV"/>
              </w:rPr>
              <w:t>Finanšu un kapitāla tirgus komisijas 202</w:t>
            </w:r>
            <w:r w:rsidR="001C1767">
              <w:rPr>
                <w:rFonts w:ascii="Times New Roman" w:eastAsia="Times New Roman" w:hAnsi="Times New Roman" w:cs="Times New Roman"/>
                <w:sz w:val="24"/>
                <w:szCs w:val="24"/>
                <w:lang w:eastAsia="lv-LV"/>
              </w:rPr>
              <w:t>1</w:t>
            </w:r>
            <w:r w:rsidR="001C1767" w:rsidRPr="000C6B17">
              <w:rPr>
                <w:rFonts w:ascii="Times New Roman" w:eastAsia="Times New Roman" w:hAnsi="Times New Roman" w:cs="Times New Roman"/>
                <w:sz w:val="24"/>
                <w:szCs w:val="24"/>
                <w:lang w:eastAsia="lv-LV"/>
              </w:rPr>
              <w:t>.</w:t>
            </w:r>
            <w:r w:rsidR="00235E50">
              <w:rPr>
                <w:rFonts w:ascii="Times New Roman" w:eastAsia="Times New Roman" w:hAnsi="Times New Roman" w:cs="Times New Roman"/>
                <w:sz w:val="24"/>
                <w:szCs w:val="24"/>
                <w:lang w:eastAsia="lv-LV"/>
              </w:rPr>
              <w:t> </w:t>
            </w:r>
            <w:r w:rsidR="001C1767" w:rsidRPr="000C6B17">
              <w:rPr>
                <w:rFonts w:ascii="Times New Roman" w:eastAsia="Times New Roman" w:hAnsi="Times New Roman" w:cs="Times New Roman"/>
                <w:sz w:val="24"/>
                <w:szCs w:val="24"/>
                <w:lang w:eastAsia="lv-LV"/>
              </w:rPr>
              <w:t>gada 1</w:t>
            </w:r>
            <w:r w:rsidR="001C1767">
              <w:rPr>
                <w:rFonts w:ascii="Times New Roman" w:eastAsia="Times New Roman" w:hAnsi="Times New Roman" w:cs="Times New Roman"/>
                <w:sz w:val="24"/>
                <w:szCs w:val="24"/>
                <w:lang w:eastAsia="lv-LV"/>
              </w:rPr>
              <w:t>6</w:t>
            </w:r>
            <w:r w:rsidR="001C1767" w:rsidRPr="000C6B17">
              <w:rPr>
                <w:rFonts w:ascii="Times New Roman" w:eastAsia="Times New Roman" w:hAnsi="Times New Roman" w:cs="Times New Roman"/>
                <w:sz w:val="24"/>
                <w:szCs w:val="24"/>
                <w:lang w:eastAsia="lv-LV"/>
              </w:rPr>
              <w:t>.</w:t>
            </w:r>
            <w:r w:rsidR="00235E50">
              <w:rPr>
                <w:rFonts w:ascii="Times New Roman" w:eastAsia="Times New Roman" w:hAnsi="Times New Roman" w:cs="Times New Roman"/>
                <w:sz w:val="24"/>
                <w:szCs w:val="24"/>
                <w:lang w:eastAsia="lv-LV"/>
              </w:rPr>
              <w:t> </w:t>
            </w:r>
            <w:r w:rsidR="001C1767">
              <w:rPr>
                <w:rFonts w:ascii="Times New Roman" w:eastAsia="Times New Roman" w:hAnsi="Times New Roman" w:cs="Times New Roman"/>
                <w:sz w:val="24"/>
                <w:szCs w:val="24"/>
                <w:lang w:eastAsia="lv-LV"/>
              </w:rPr>
              <w:t xml:space="preserve">novembra </w:t>
            </w:r>
            <w:r w:rsidR="001C1767" w:rsidRPr="000C6B17">
              <w:rPr>
                <w:rFonts w:ascii="Times New Roman" w:eastAsia="Times New Roman" w:hAnsi="Times New Roman" w:cs="Times New Roman"/>
                <w:sz w:val="24"/>
                <w:szCs w:val="24"/>
                <w:lang w:eastAsia="lv-LV"/>
              </w:rPr>
              <w:t>normatīv</w:t>
            </w:r>
            <w:r w:rsidR="001C1767">
              <w:rPr>
                <w:rFonts w:ascii="Times New Roman" w:eastAsia="Times New Roman" w:hAnsi="Times New Roman" w:cs="Times New Roman"/>
                <w:sz w:val="24"/>
                <w:szCs w:val="24"/>
                <w:lang w:eastAsia="lv-LV"/>
              </w:rPr>
              <w:t xml:space="preserve">ajos </w:t>
            </w:r>
            <w:r w:rsidR="001C1767" w:rsidRPr="000C6B17">
              <w:rPr>
                <w:rFonts w:ascii="Times New Roman" w:eastAsia="Times New Roman" w:hAnsi="Times New Roman" w:cs="Times New Roman"/>
                <w:sz w:val="24"/>
                <w:szCs w:val="24"/>
                <w:lang w:eastAsia="lv-LV"/>
              </w:rPr>
              <w:t>noteikum</w:t>
            </w:r>
            <w:r w:rsidR="001C1767">
              <w:rPr>
                <w:rFonts w:ascii="Times New Roman" w:eastAsia="Times New Roman" w:hAnsi="Times New Roman" w:cs="Times New Roman"/>
                <w:sz w:val="24"/>
                <w:szCs w:val="24"/>
                <w:lang w:eastAsia="lv-LV"/>
              </w:rPr>
              <w:t xml:space="preserve">os </w:t>
            </w:r>
            <w:r w:rsidR="001C1767" w:rsidRPr="000C6B17">
              <w:rPr>
                <w:rFonts w:ascii="Times New Roman" w:eastAsia="Times New Roman" w:hAnsi="Times New Roman" w:cs="Times New Roman"/>
                <w:sz w:val="24"/>
                <w:szCs w:val="24"/>
                <w:lang w:eastAsia="lv-LV"/>
              </w:rPr>
              <w:t>Nr.</w:t>
            </w:r>
            <w:r w:rsidR="001C1767">
              <w:rPr>
                <w:rFonts w:ascii="Times New Roman" w:eastAsia="Times New Roman" w:hAnsi="Times New Roman" w:cs="Times New Roman"/>
                <w:sz w:val="24"/>
                <w:szCs w:val="24"/>
                <w:lang w:eastAsia="lv-LV"/>
              </w:rPr>
              <w:t> 154 </w:t>
            </w:r>
            <w:r w:rsidR="001C1767" w:rsidRPr="000C6B17">
              <w:rPr>
                <w:rFonts w:ascii="Times New Roman" w:eastAsia="Times New Roman" w:hAnsi="Times New Roman" w:cs="Times New Roman"/>
                <w:sz w:val="24"/>
                <w:szCs w:val="24"/>
                <w:lang w:eastAsia="lv-LV"/>
              </w:rPr>
              <w:t>"</w:t>
            </w:r>
            <w:r w:rsidR="001C1767">
              <w:rPr>
                <w:rFonts w:ascii="Times New Roman" w:eastAsia="Times New Roman" w:hAnsi="Times New Roman" w:cs="Times New Roman"/>
                <w:sz w:val="24"/>
                <w:szCs w:val="24"/>
                <w:lang w:eastAsia="lv-LV"/>
              </w:rPr>
              <w:t>Normatīvie noteikumi par atalgojuma politiku un praksi</w:t>
            </w:r>
            <w:r w:rsidR="001C1767" w:rsidRPr="000C6B17">
              <w:rPr>
                <w:rFonts w:ascii="Times New Roman" w:eastAsia="Times New Roman" w:hAnsi="Times New Roman" w:cs="Times New Roman"/>
                <w:sz w:val="24"/>
                <w:szCs w:val="24"/>
                <w:lang w:eastAsia="lv-LV"/>
              </w:rPr>
              <w:t>"</w:t>
            </w:r>
            <w:r w:rsidR="001C1767">
              <w:rPr>
                <w:rFonts w:ascii="Times New Roman" w:eastAsia="Times New Roman" w:hAnsi="Times New Roman" w:cs="Times New Roman"/>
                <w:sz w:val="24"/>
                <w:szCs w:val="24"/>
                <w:lang w:eastAsia="lv-LV"/>
              </w:rPr>
              <w:t>;</w:t>
            </w:r>
          </w:p>
          <w:p w14:paraId="4523BF86" w14:textId="24EBAA15" w:rsidR="00E21700" w:rsidRDefault="005A6DD5" w:rsidP="00FA74AB">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9</w:t>
            </w:r>
            <w:r w:rsidR="00E21700">
              <w:rPr>
                <w:rFonts w:ascii="Times New Roman" w:eastAsia="Times New Roman" w:hAnsi="Times New Roman" w:cs="Times New Roman"/>
                <w:sz w:val="24"/>
                <w:szCs w:val="24"/>
                <w:lang w:eastAsia="lv-LV"/>
              </w:rPr>
              <w:t>) n</w:t>
            </w:r>
            <w:r w:rsidR="00E21700" w:rsidRPr="00E21700">
              <w:rPr>
                <w:rFonts w:ascii="Times New Roman" w:eastAsia="Times New Roman" w:hAnsi="Times New Roman" w:cs="Times New Roman"/>
                <w:sz w:val="24"/>
                <w:szCs w:val="24"/>
                <w:lang w:eastAsia="lv-LV"/>
              </w:rPr>
              <w:t xml:space="preserve">oteikumu projektā ir precizēts terminu "riska apetīte" un "riska kapacitāte" lietojums atbilstoši </w:t>
            </w:r>
            <w:bookmarkStart w:id="4" w:name="_Hlk178248474"/>
            <w:r w:rsidR="00E21700" w:rsidRPr="00E21700">
              <w:rPr>
                <w:rFonts w:ascii="Times New Roman" w:eastAsia="Times New Roman" w:hAnsi="Times New Roman" w:cs="Times New Roman"/>
                <w:sz w:val="24"/>
                <w:szCs w:val="24"/>
                <w:lang w:eastAsia="lv-LV"/>
              </w:rPr>
              <w:t>Eiropas Banku iestādes</w:t>
            </w:r>
            <w:r>
              <w:rPr>
                <w:rFonts w:ascii="Times New Roman" w:eastAsia="Times New Roman" w:hAnsi="Times New Roman" w:cs="Times New Roman"/>
                <w:sz w:val="24"/>
                <w:szCs w:val="24"/>
                <w:lang w:eastAsia="lv-LV"/>
              </w:rPr>
              <w:t xml:space="preserve"> </w:t>
            </w:r>
            <w:r w:rsidRPr="00E21700">
              <w:rPr>
                <w:rFonts w:ascii="Times New Roman" w:eastAsia="Times New Roman" w:hAnsi="Times New Roman" w:cs="Times New Roman"/>
                <w:sz w:val="24"/>
                <w:szCs w:val="24"/>
                <w:lang w:eastAsia="lv-LV"/>
              </w:rPr>
              <w:t>2021. gada 2. jūlija pamatnostādnē</w:t>
            </w:r>
            <w:r>
              <w:rPr>
                <w:rFonts w:ascii="Times New Roman" w:eastAsia="Times New Roman" w:hAnsi="Times New Roman" w:cs="Times New Roman"/>
                <w:sz w:val="24"/>
                <w:szCs w:val="24"/>
                <w:lang w:eastAsia="lv-LV"/>
              </w:rPr>
              <w:t>s</w:t>
            </w:r>
            <w:r w:rsidRPr="00E21700">
              <w:rPr>
                <w:rFonts w:ascii="Times New Roman" w:eastAsia="Times New Roman" w:hAnsi="Times New Roman" w:cs="Times New Roman"/>
                <w:sz w:val="24"/>
                <w:szCs w:val="24"/>
                <w:lang w:eastAsia="lv-LV"/>
              </w:rPr>
              <w:t xml:space="preserve"> Nr. EBA/GL/2021/05 "Pamatnostādnes par iekšējo pārvaldību"</w:t>
            </w:r>
            <w:bookmarkEnd w:id="4"/>
            <w:r>
              <w:rPr>
                <w:rFonts w:ascii="Times New Roman" w:eastAsia="Times New Roman" w:hAnsi="Times New Roman" w:cs="Times New Roman"/>
                <w:sz w:val="24"/>
                <w:szCs w:val="24"/>
                <w:lang w:eastAsia="lv-LV"/>
              </w:rPr>
              <w:t xml:space="preserve"> </w:t>
            </w:r>
            <w:r w:rsidR="00E21700" w:rsidRPr="00E21700">
              <w:rPr>
                <w:rFonts w:ascii="Times New Roman" w:eastAsia="Times New Roman" w:hAnsi="Times New Roman" w:cs="Times New Roman"/>
                <w:sz w:val="24"/>
                <w:szCs w:val="24"/>
                <w:lang w:eastAsia="lv-LV"/>
              </w:rPr>
              <w:t>noteiktajam, neizdalot atsevišķi terminu "riska tolerance"</w:t>
            </w:r>
            <w:r>
              <w:rPr>
                <w:rFonts w:ascii="Times New Roman" w:eastAsia="Times New Roman" w:hAnsi="Times New Roman" w:cs="Times New Roman"/>
                <w:sz w:val="24"/>
                <w:szCs w:val="24"/>
                <w:lang w:eastAsia="lv-LV"/>
              </w:rPr>
              <w:t>;</w:t>
            </w:r>
          </w:p>
          <w:p w14:paraId="2BD8AEB7" w14:textId="66C9A80E" w:rsidR="0016245B" w:rsidRDefault="005A6DD5" w:rsidP="00FA74AB">
            <w:pPr>
              <w:spacing w:after="120" w:line="240" w:lineRule="auto"/>
              <w:jc w:val="both"/>
              <w:rPr>
                <w:rFonts w:ascii="Times New Roman" w:eastAsia="Times New Roman" w:hAnsi="Times New Roman" w:cs="Times New Roman"/>
                <w:iCs/>
                <w:color w:val="000000" w:themeColor="text1"/>
                <w:sz w:val="24"/>
                <w:szCs w:val="24"/>
                <w:lang w:eastAsia="lv-LV"/>
              </w:rPr>
            </w:pPr>
            <w:r>
              <w:rPr>
                <w:rFonts w:ascii="Times New Roman" w:eastAsia="Times New Roman" w:hAnsi="Times New Roman" w:cs="Times New Roman"/>
                <w:sz w:val="24"/>
                <w:szCs w:val="24"/>
                <w:lang w:eastAsia="lv-LV"/>
              </w:rPr>
              <w:t>10</w:t>
            </w:r>
            <w:r w:rsidR="0016245B">
              <w:rPr>
                <w:rFonts w:ascii="Times New Roman" w:eastAsia="Times New Roman" w:hAnsi="Times New Roman" w:cs="Times New Roman"/>
                <w:sz w:val="24"/>
                <w:szCs w:val="24"/>
                <w:lang w:eastAsia="lv-LV"/>
              </w:rPr>
              <w:t xml:space="preserve">) no noteikumu projekta izslēgta </w:t>
            </w:r>
            <w:r w:rsidR="00E21700">
              <w:rPr>
                <w:rFonts w:ascii="Times New Roman" w:eastAsia="Times New Roman" w:hAnsi="Times New Roman" w:cs="Times New Roman"/>
                <w:sz w:val="24"/>
                <w:szCs w:val="24"/>
                <w:lang w:eastAsia="lv-LV"/>
              </w:rPr>
              <w:t>no</w:t>
            </w:r>
            <w:r w:rsidR="0016245B">
              <w:rPr>
                <w:rFonts w:ascii="Times New Roman" w:eastAsia="Times New Roman" w:hAnsi="Times New Roman" w:cs="Times New Roman"/>
                <w:sz w:val="24"/>
                <w:szCs w:val="24"/>
                <w:lang w:eastAsia="lv-LV"/>
              </w:rPr>
              <w:t>daļa par k</w:t>
            </w:r>
            <w:r w:rsidR="0016245B" w:rsidRPr="00391E46">
              <w:rPr>
                <w:rFonts w:ascii="Times New Roman" w:eastAsia="Times New Roman" w:hAnsi="Times New Roman" w:cs="Times New Roman"/>
                <w:sz w:val="24"/>
                <w:szCs w:val="24"/>
                <w:lang w:eastAsia="lv-LV"/>
              </w:rPr>
              <w:t>apitāla pietiekamības novērtēšanas proces</w:t>
            </w:r>
            <w:r w:rsidR="0016245B">
              <w:rPr>
                <w:rFonts w:ascii="Times New Roman" w:eastAsia="Times New Roman" w:hAnsi="Times New Roman" w:cs="Times New Roman"/>
                <w:sz w:val="24"/>
                <w:szCs w:val="24"/>
                <w:lang w:eastAsia="lv-LV"/>
              </w:rPr>
              <w:t>u, k</w:t>
            </w:r>
            <w:r w:rsidR="007673E9">
              <w:rPr>
                <w:rFonts w:ascii="Times New Roman" w:eastAsia="Times New Roman" w:hAnsi="Times New Roman" w:cs="Times New Roman"/>
                <w:sz w:val="24"/>
                <w:szCs w:val="24"/>
                <w:lang w:eastAsia="lv-LV"/>
              </w:rPr>
              <w:t>as</w:t>
            </w:r>
            <w:r w:rsidR="0016245B">
              <w:rPr>
                <w:rFonts w:ascii="Times New Roman" w:eastAsia="Times New Roman" w:hAnsi="Times New Roman" w:cs="Times New Roman"/>
                <w:sz w:val="24"/>
                <w:szCs w:val="24"/>
                <w:lang w:eastAsia="lv-LV"/>
              </w:rPr>
              <w:t xml:space="preserve"> tiks ietverta Latvijas Bankas noteikumos, kuri regulēs </w:t>
            </w:r>
            <w:r w:rsidR="0016245B" w:rsidRPr="00391E46">
              <w:rPr>
                <w:rFonts w:ascii="Times New Roman" w:eastAsia="Times New Roman" w:hAnsi="Times New Roman" w:cs="Times New Roman"/>
                <w:sz w:val="24"/>
                <w:szCs w:val="24"/>
                <w:lang w:eastAsia="lv-LV"/>
              </w:rPr>
              <w:t>iestāžu kapitāla pietiekamības novērtēšanas proces</w:t>
            </w:r>
            <w:r w:rsidR="0016245B">
              <w:rPr>
                <w:rFonts w:ascii="Times New Roman" w:eastAsia="Times New Roman" w:hAnsi="Times New Roman" w:cs="Times New Roman"/>
                <w:sz w:val="24"/>
                <w:szCs w:val="24"/>
                <w:lang w:eastAsia="lv-LV"/>
              </w:rPr>
              <w:t>u;</w:t>
            </w:r>
          </w:p>
          <w:p w14:paraId="60867157" w14:textId="1676B5CC" w:rsidR="004408E4" w:rsidRPr="00F506D9" w:rsidRDefault="005A6DD5" w:rsidP="00FA74AB">
            <w:pPr>
              <w:spacing w:after="120" w:line="240" w:lineRule="auto"/>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11</w:t>
            </w:r>
            <w:r w:rsidR="0016245B">
              <w:rPr>
                <w:rFonts w:ascii="Times New Roman" w:eastAsia="Times New Roman" w:hAnsi="Times New Roman" w:cs="Times New Roman"/>
                <w:color w:val="000000" w:themeColor="text1"/>
                <w:sz w:val="24"/>
                <w:szCs w:val="24"/>
                <w:lang w:eastAsia="lv-LV"/>
              </w:rPr>
              <w:t xml:space="preserve">) </w:t>
            </w:r>
            <w:r w:rsidR="00D573EE">
              <w:rPr>
                <w:rFonts w:ascii="Times New Roman" w:eastAsia="Times New Roman" w:hAnsi="Times New Roman" w:cs="Times New Roman"/>
                <w:sz w:val="24"/>
                <w:szCs w:val="24"/>
                <w:lang w:eastAsia="lv-LV"/>
              </w:rPr>
              <w:t xml:space="preserve">no noteikumu projekta </w:t>
            </w:r>
            <w:r w:rsidR="004408E4" w:rsidRPr="0004229D">
              <w:rPr>
                <w:rFonts w:ascii="Times New Roman" w:eastAsia="Times New Roman" w:hAnsi="Times New Roman" w:cs="Times New Roman"/>
                <w:color w:val="000000" w:themeColor="text1"/>
                <w:sz w:val="24"/>
                <w:szCs w:val="24"/>
                <w:lang w:eastAsia="lv-LV"/>
              </w:rPr>
              <w:t xml:space="preserve">izslēgti to terminu skaidrojumi, kuri lietoti </w:t>
            </w:r>
            <w:r w:rsidR="00FA74AB" w:rsidRPr="0004229D">
              <w:rPr>
                <w:rFonts w:ascii="Times New Roman" w:eastAsia="Times New Roman" w:hAnsi="Times New Roman" w:cs="Times New Roman"/>
                <w:color w:val="000000" w:themeColor="text1"/>
                <w:sz w:val="24"/>
                <w:szCs w:val="24"/>
                <w:lang w:eastAsia="lv-LV"/>
              </w:rPr>
              <w:t>Kredītiestāžu likumā</w:t>
            </w:r>
            <w:r w:rsidR="004408E4" w:rsidRPr="0004229D">
              <w:rPr>
                <w:rFonts w:ascii="Times New Roman" w:eastAsia="Times New Roman" w:hAnsi="Times New Roman" w:cs="Times New Roman"/>
                <w:color w:val="000000" w:themeColor="text1"/>
                <w:sz w:val="24"/>
                <w:szCs w:val="24"/>
                <w:lang w:eastAsia="lv-LV"/>
              </w:rPr>
              <w:t>, precizētas atsauces uz</w:t>
            </w:r>
            <w:r w:rsidR="0012571E" w:rsidRPr="0004229D">
              <w:rPr>
                <w:rFonts w:ascii="Times New Roman" w:eastAsia="Times New Roman" w:hAnsi="Times New Roman" w:cs="Times New Roman"/>
                <w:color w:val="000000" w:themeColor="text1"/>
                <w:sz w:val="24"/>
                <w:szCs w:val="24"/>
                <w:lang w:eastAsia="lv-LV"/>
              </w:rPr>
              <w:t xml:space="preserve"> citiem</w:t>
            </w:r>
            <w:r w:rsidR="004408E4" w:rsidRPr="0004229D">
              <w:rPr>
                <w:rFonts w:ascii="Times New Roman" w:eastAsia="Times New Roman" w:hAnsi="Times New Roman" w:cs="Times New Roman"/>
                <w:color w:val="000000" w:themeColor="text1"/>
                <w:sz w:val="24"/>
                <w:szCs w:val="24"/>
                <w:lang w:eastAsia="lv-LV"/>
              </w:rPr>
              <w:t xml:space="preserve"> </w:t>
            </w:r>
            <w:r w:rsidR="00115CFD" w:rsidRPr="0004229D">
              <w:rPr>
                <w:rFonts w:ascii="Times New Roman" w:eastAsia="Times New Roman" w:hAnsi="Times New Roman" w:cs="Times New Roman"/>
                <w:color w:val="000000" w:themeColor="text1"/>
                <w:sz w:val="24"/>
                <w:szCs w:val="24"/>
                <w:lang w:eastAsia="lv-LV"/>
              </w:rPr>
              <w:t xml:space="preserve">Latvijas Bankas </w:t>
            </w:r>
            <w:r w:rsidR="004408E4" w:rsidRPr="0004229D">
              <w:rPr>
                <w:rFonts w:ascii="Times New Roman" w:eastAsia="Times New Roman" w:hAnsi="Times New Roman" w:cs="Times New Roman"/>
                <w:color w:val="000000" w:themeColor="text1"/>
                <w:sz w:val="24"/>
                <w:szCs w:val="24"/>
                <w:lang w:eastAsia="lv-LV"/>
              </w:rPr>
              <w:t>noteikumiem</w:t>
            </w:r>
            <w:r w:rsidR="005E7221">
              <w:rPr>
                <w:rFonts w:ascii="Times New Roman" w:eastAsia="Times New Roman" w:hAnsi="Times New Roman" w:cs="Times New Roman"/>
                <w:color w:val="000000" w:themeColor="text1"/>
                <w:sz w:val="24"/>
                <w:szCs w:val="24"/>
                <w:lang w:eastAsia="lv-LV"/>
              </w:rPr>
              <w:t xml:space="preserve">, </w:t>
            </w:r>
            <w:r w:rsidR="00E86BF3">
              <w:rPr>
                <w:rFonts w:ascii="Times New Roman" w:eastAsia="Times New Roman" w:hAnsi="Times New Roman" w:cs="Times New Roman"/>
                <w:color w:val="000000" w:themeColor="text1"/>
                <w:sz w:val="24"/>
                <w:szCs w:val="24"/>
                <w:lang w:eastAsia="lv-LV"/>
              </w:rPr>
              <w:t>k</w:t>
            </w:r>
            <w:r w:rsidR="005E7221">
              <w:rPr>
                <w:rFonts w:ascii="Times New Roman" w:eastAsia="Times New Roman" w:hAnsi="Times New Roman" w:cs="Times New Roman"/>
                <w:color w:val="000000" w:themeColor="text1"/>
                <w:sz w:val="24"/>
                <w:szCs w:val="24"/>
                <w:lang w:eastAsia="lv-LV"/>
              </w:rPr>
              <w:t>ā</w:t>
            </w:r>
            <w:r w:rsidR="00E86BF3">
              <w:rPr>
                <w:rFonts w:ascii="Times New Roman" w:eastAsia="Times New Roman" w:hAnsi="Times New Roman" w:cs="Times New Roman"/>
                <w:color w:val="000000" w:themeColor="text1"/>
                <w:sz w:val="24"/>
                <w:szCs w:val="24"/>
                <w:lang w:eastAsia="lv-LV"/>
              </w:rPr>
              <w:t xml:space="preserve"> arī veikti redakcionāli</w:t>
            </w:r>
            <w:r w:rsidR="001F6098">
              <w:rPr>
                <w:rFonts w:ascii="Times New Roman" w:eastAsia="Times New Roman" w:hAnsi="Times New Roman" w:cs="Times New Roman"/>
                <w:color w:val="000000" w:themeColor="text1"/>
                <w:sz w:val="24"/>
                <w:szCs w:val="24"/>
                <w:lang w:eastAsia="lv-LV"/>
              </w:rPr>
              <w:t xml:space="preserve"> un tehniska rakstura precizējumi</w:t>
            </w:r>
            <w:r w:rsidR="00E86BF3">
              <w:rPr>
                <w:rFonts w:ascii="Times New Roman" w:eastAsia="Times New Roman" w:hAnsi="Times New Roman" w:cs="Times New Roman"/>
                <w:color w:val="000000" w:themeColor="text1"/>
                <w:sz w:val="24"/>
                <w:szCs w:val="24"/>
                <w:lang w:eastAsia="lv-LV"/>
              </w:rPr>
              <w:t>.</w:t>
            </w:r>
          </w:p>
        </w:tc>
      </w:tr>
      <w:bookmarkEnd w:id="2"/>
      <w:tr w:rsidR="000B4E0A" w:rsidRPr="000B4E0A" w14:paraId="5E047A73" w14:textId="77777777" w:rsidTr="00115CFD">
        <w:trPr>
          <w:trHeight w:val="567"/>
        </w:trPr>
        <w:tc>
          <w:tcPr>
            <w:tcW w:w="1405" w:type="pct"/>
            <w:shd w:val="clear" w:color="auto" w:fill="auto"/>
            <w:hideMark/>
          </w:tcPr>
          <w:p w14:paraId="392312D0" w14:textId="77777777" w:rsidR="00A42788" w:rsidRPr="00E253DA" w:rsidRDefault="00A42788" w:rsidP="00365394">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lastRenderedPageBreak/>
              <w:t>Leģitīmais mērķis</w:t>
            </w:r>
          </w:p>
          <w:p w14:paraId="76383DF1" w14:textId="1469C7CF" w:rsidR="00CA28AB" w:rsidRPr="00DD709E" w:rsidRDefault="00CA28AB" w:rsidP="00365394">
            <w:pPr>
              <w:spacing w:after="0" w:line="240" w:lineRule="auto"/>
              <w:rPr>
                <w:rFonts w:ascii="Times New Roman" w:eastAsia="Times New Roman" w:hAnsi="Times New Roman" w:cs="Times New Roman"/>
                <w:b/>
                <w:bCs/>
                <w:color w:val="4472C4" w:themeColor="accent1"/>
                <w:sz w:val="24"/>
                <w:szCs w:val="24"/>
                <w:lang w:eastAsia="lv-LV"/>
              </w:rPr>
            </w:pPr>
          </w:p>
        </w:tc>
        <w:tc>
          <w:tcPr>
            <w:tcW w:w="3595" w:type="pct"/>
            <w:shd w:val="clear" w:color="auto" w:fill="auto"/>
          </w:tcPr>
          <w:p w14:paraId="0921D461" w14:textId="173905D7" w:rsidR="00093F6A" w:rsidRPr="00093F6A" w:rsidRDefault="00093F6A" w:rsidP="00093F6A">
            <w:pPr>
              <w:spacing w:after="120" w:line="240" w:lineRule="auto"/>
              <w:jc w:val="both"/>
              <w:rPr>
                <w:rFonts w:ascii="Times New Roman" w:eastAsia="Times New Roman" w:hAnsi="Times New Roman" w:cs="Times New Roman"/>
                <w:iCs/>
                <w:color w:val="000000" w:themeColor="text1"/>
                <w:sz w:val="24"/>
                <w:szCs w:val="24"/>
                <w:lang w:eastAsia="lv-LV"/>
              </w:rPr>
            </w:pPr>
            <w:r w:rsidRPr="00093F6A">
              <w:rPr>
                <w:rFonts w:ascii="Times New Roman" w:eastAsia="Times New Roman" w:hAnsi="Times New Roman" w:cs="Times New Roman"/>
                <w:iCs/>
                <w:color w:val="000000" w:themeColor="text1"/>
                <w:sz w:val="24"/>
                <w:szCs w:val="24"/>
                <w:lang w:eastAsia="lv-LV"/>
              </w:rPr>
              <w:t>Noteikumu projekta leģitīmais mērķis ir citu personu tiesību aizsardzība un sabiedrības labklājības nodrošināšana.</w:t>
            </w:r>
          </w:p>
          <w:p w14:paraId="71DD3F36" w14:textId="2FDBC686" w:rsidR="00093F6A" w:rsidRPr="00093F6A" w:rsidRDefault="00093F6A" w:rsidP="00093F6A">
            <w:pPr>
              <w:spacing w:after="120" w:line="240" w:lineRule="auto"/>
              <w:jc w:val="both"/>
              <w:rPr>
                <w:rFonts w:ascii="Times New Roman" w:eastAsia="Times New Roman" w:hAnsi="Times New Roman" w:cs="Times New Roman"/>
                <w:iCs/>
                <w:color w:val="000000" w:themeColor="text1"/>
                <w:sz w:val="24"/>
                <w:szCs w:val="24"/>
                <w:lang w:eastAsia="lv-LV"/>
              </w:rPr>
            </w:pPr>
            <w:r w:rsidRPr="00093F6A">
              <w:rPr>
                <w:rFonts w:ascii="Times New Roman" w:eastAsia="Times New Roman" w:hAnsi="Times New Roman" w:cs="Times New Roman"/>
                <w:iCs/>
                <w:color w:val="000000" w:themeColor="text1"/>
                <w:sz w:val="24"/>
                <w:szCs w:val="24"/>
                <w:lang w:eastAsia="lv-LV"/>
              </w:rPr>
              <w:t xml:space="preserve">Šo </w:t>
            </w:r>
            <w:proofErr w:type="spellStart"/>
            <w:r w:rsidRPr="00093F6A">
              <w:rPr>
                <w:rFonts w:ascii="Times New Roman" w:eastAsia="Times New Roman" w:hAnsi="Times New Roman" w:cs="Times New Roman"/>
                <w:iCs/>
                <w:color w:val="000000" w:themeColor="text1"/>
                <w:sz w:val="24"/>
                <w:szCs w:val="24"/>
                <w:lang w:eastAsia="lv-LV"/>
              </w:rPr>
              <w:t>pamattiesību</w:t>
            </w:r>
            <w:proofErr w:type="spellEnd"/>
            <w:r w:rsidRPr="00093F6A">
              <w:rPr>
                <w:rFonts w:ascii="Times New Roman" w:eastAsia="Times New Roman" w:hAnsi="Times New Roman" w:cs="Times New Roman"/>
                <w:iCs/>
                <w:color w:val="000000" w:themeColor="text1"/>
                <w:sz w:val="24"/>
                <w:szCs w:val="24"/>
                <w:lang w:eastAsia="lv-LV"/>
              </w:rPr>
              <w:t xml:space="preserve"> aizsardzību Latvijas Banka īsteno, nodrošinot finanšu tirgus uzraudzību, kurai ir vitāla nozīme finanšu sistēmas un ekonomiskajā attīstībā, iespējami pilnīgākajā veidā, lai veicinātu sabiedrības uzticēšanos finanšu tirgum un Latvijas Bankai kā konkrēto finanšu tirgus dalībnieku uzraugam, kas </w:t>
            </w:r>
            <w:r w:rsidRPr="00093F6A">
              <w:rPr>
                <w:rFonts w:ascii="Times New Roman" w:eastAsia="Times New Roman" w:hAnsi="Times New Roman" w:cs="Times New Roman"/>
                <w:iCs/>
                <w:color w:val="000000" w:themeColor="text1"/>
                <w:sz w:val="24"/>
                <w:szCs w:val="24"/>
                <w:lang w:eastAsia="lv-LV"/>
              </w:rPr>
              <w:lastRenderedPageBreak/>
              <w:t xml:space="preserve">nodrošina </w:t>
            </w:r>
            <w:r w:rsidR="00D74C68">
              <w:rPr>
                <w:rFonts w:ascii="Times New Roman" w:eastAsia="Times New Roman" w:hAnsi="Times New Roman" w:cs="Times New Roman"/>
                <w:iCs/>
                <w:color w:val="000000" w:themeColor="text1"/>
                <w:sz w:val="24"/>
                <w:szCs w:val="24"/>
                <w:lang w:eastAsia="lv-LV"/>
              </w:rPr>
              <w:t xml:space="preserve">iestāžu </w:t>
            </w:r>
            <w:r w:rsidRPr="00093F6A">
              <w:rPr>
                <w:rFonts w:ascii="Times New Roman" w:eastAsia="Times New Roman" w:hAnsi="Times New Roman" w:cs="Times New Roman"/>
                <w:iCs/>
                <w:color w:val="000000" w:themeColor="text1"/>
                <w:sz w:val="24"/>
                <w:szCs w:val="24"/>
                <w:lang w:eastAsia="lv-LV"/>
              </w:rPr>
              <w:t>tiesisku un sabiedrības interesēm atbilstošu darbību.</w:t>
            </w:r>
          </w:p>
          <w:p w14:paraId="4FCF00BD" w14:textId="77777777" w:rsidR="00093F6A" w:rsidRPr="00093F6A" w:rsidRDefault="00093F6A" w:rsidP="00093F6A">
            <w:pPr>
              <w:spacing w:after="120" w:line="240" w:lineRule="auto"/>
              <w:jc w:val="both"/>
              <w:rPr>
                <w:rFonts w:ascii="Times New Roman" w:eastAsia="Times New Roman" w:hAnsi="Times New Roman" w:cs="Times New Roman"/>
                <w:iCs/>
                <w:color w:val="000000" w:themeColor="text1"/>
                <w:sz w:val="24"/>
                <w:szCs w:val="24"/>
                <w:lang w:eastAsia="lv-LV"/>
              </w:rPr>
            </w:pPr>
            <w:r w:rsidRPr="00093F6A">
              <w:rPr>
                <w:rFonts w:ascii="Times New Roman" w:eastAsia="Times New Roman" w:hAnsi="Times New Roman" w:cs="Times New Roman"/>
                <w:iCs/>
                <w:color w:val="000000" w:themeColor="text1"/>
                <w:sz w:val="24"/>
                <w:szCs w:val="24"/>
                <w:lang w:eastAsia="lv-LV"/>
              </w:rPr>
              <w:t xml:space="preserve">Indivīdam kā finanšu tirgus sistēmas daļai ir būtiski apzināties un saņemt to aizsardzības līmeni, kuru tam nodrošina finanšu tirgus uzraugs jeb Latvijas Banka, un attiecīgi Latvijas Banka finanšu tirgus uzrauga lomā ir atbildīga par tādu pasākumu veikšanu, kas aizsargā indivīda </w:t>
            </w:r>
            <w:proofErr w:type="spellStart"/>
            <w:r w:rsidRPr="00093F6A">
              <w:rPr>
                <w:rFonts w:ascii="Times New Roman" w:eastAsia="Times New Roman" w:hAnsi="Times New Roman" w:cs="Times New Roman"/>
                <w:iCs/>
                <w:color w:val="000000" w:themeColor="text1"/>
                <w:sz w:val="24"/>
                <w:szCs w:val="24"/>
                <w:lang w:eastAsia="lv-LV"/>
              </w:rPr>
              <w:t>pamattiesības</w:t>
            </w:r>
            <w:proofErr w:type="spellEnd"/>
            <w:r w:rsidRPr="00093F6A">
              <w:rPr>
                <w:rFonts w:ascii="Times New Roman" w:eastAsia="Times New Roman" w:hAnsi="Times New Roman" w:cs="Times New Roman"/>
                <w:iCs/>
                <w:color w:val="000000" w:themeColor="text1"/>
                <w:sz w:val="24"/>
                <w:szCs w:val="24"/>
                <w:lang w:eastAsia="lv-LV"/>
              </w:rPr>
              <w:t>. Respektīvi, indivīds ir tiesīgs paļauties uz finanšu sistēmas taisnīgu uzraudzību, pretējā gadījumā indivīdam zūd uzticība finanšu sistēmai un motivācija būt šīs sistēmas dalībniekam.</w:t>
            </w:r>
          </w:p>
          <w:p w14:paraId="535C31E5" w14:textId="330A699F" w:rsidR="00093F6A" w:rsidRPr="00093F6A" w:rsidRDefault="00093F6A" w:rsidP="00093F6A">
            <w:pPr>
              <w:spacing w:after="120" w:line="240" w:lineRule="auto"/>
              <w:jc w:val="both"/>
              <w:rPr>
                <w:rFonts w:ascii="Times New Roman" w:eastAsia="Times New Roman" w:hAnsi="Times New Roman" w:cs="Times New Roman"/>
                <w:iCs/>
                <w:color w:val="000000" w:themeColor="text1"/>
                <w:sz w:val="24"/>
                <w:szCs w:val="24"/>
                <w:lang w:eastAsia="lv-LV"/>
              </w:rPr>
            </w:pPr>
            <w:r w:rsidRPr="00093F6A">
              <w:rPr>
                <w:rFonts w:ascii="Times New Roman" w:eastAsia="Times New Roman" w:hAnsi="Times New Roman" w:cs="Times New Roman"/>
                <w:iCs/>
                <w:color w:val="000000" w:themeColor="text1"/>
                <w:sz w:val="24"/>
                <w:szCs w:val="24"/>
                <w:lang w:eastAsia="lv-LV"/>
              </w:rPr>
              <w:t xml:space="preserve">Nosakot </w:t>
            </w:r>
            <w:r w:rsidR="004C1F75" w:rsidRPr="004C1F75">
              <w:rPr>
                <w:rFonts w:ascii="Times New Roman" w:eastAsia="Times New Roman" w:hAnsi="Times New Roman" w:cs="Times New Roman"/>
                <w:iCs/>
                <w:color w:val="000000" w:themeColor="text1"/>
                <w:sz w:val="24"/>
                <w:szCs w:val="24"/>
                <w:lang w:eastAsia="lv-LV"/>
              </w:rPr>
              <w:t>iestād</w:t>
            </w:r>
            <w:r w:rsidR="004C1F75">
              <w:rPr>
                <w:rFonts w:ascii="Times New Roman" w:eastAsia="Times New Roman" w:hAnsi="Times New Roman" w:cs="Times New Roman"/>
                <w:iCs/>
                <w:color w:val="000000" w:themeColor="text1"/>
                <w:sz w:val="24"/>
                <w:szCs w:val="24"/>
                <w:lang w:eastAsia="lv-LV"/>
              </w:rPr>
              <w:t>ēm p</w:t>
            </w:r>
            <w:r w:rsidRPr="00093F6A">
              <w:rPr>
                <w:rFonts w:ascii="Times New Roman" w:eastAsia="Times New Roman" w:hAnsi="Times New Roman" w:cs="Times New Roman"/>
                <w:iCs/>
                <w:color w:val="000000" w:themeColor="text1"/>
                <w:sz w:val="24"/>
                <w:szCs w:val="24"/>
                <w:lang w:eastAsia="lv-LV"/>
              </w:rPr>
              <w:t xml:space="preserve">rasības un veicot </w:t>
            </w:r>
            <w:r w:rsidR="004408E4">
              <w:rPr>
                <w:rFonts w:ascii="Times New Roman" w:eastAsia="Times New Roman" w:hAnsi="Times New Roman" w:cs="Times New Roman"/>
                <w:iCs/>
                <w:color w:val="000000" w:themeColor="text1"/>
                <w:sz w:val="24"/>
                <w:szCs w:val="24"/>
                <w:lang w:eastAsia="lv-LV"/>
              </w:rPr>
              <w:t xml:space="preserve">šo </w:t>
            </w:r>
            <w:r w:rsidRPr="00093F6A">
              <w:rPr>
                <w:rFonts w:ascii="Times New Roman" w:eastAsia="Times New Roman" w:hAnsi="Times New Roman" w:cs="Times New Roman"/>
                <w:iCs/>
                <w:color w:val="000000" w:themeColor="text1"/>
                <w:sz w:val="24"/>
                <w:szCs w:val="24"/>
                <w:lang w:eastAsia="lv-LV"/>
              </w:rPr>
              <w:t>prasību ievērošanas pārbaudes, Latvijas Banka nodrošina tai Latvijas Bankas likumā noteikt</w:t>
            </w:r>
            <w:r w:rsidR="00090C91">
              <w:rPr>
                <w:rFonts w:ascii="Times New Roman" w:eastAsia="Times New Roman" w:hAnsi="Times New Roman" w:cs="Times New Roman"/>
                <w:iCs/>
                <w:color w:val="000000" w:themeColor="text1"/>
                <w:sz w:val="24"/>
                <w:szCs w:val="24"/>
                <w:lang w:eastAsia="lv-LV"/>
              </w:rPr>
              <w:t>ā</w:t>
            </w:r>
            <w:r w:rsidRPr="00093F6A">
              <w:rPr>
                <w:rFonts w:ascii="Times New Roman" w:eastAsia="Times New Roman" w:hAnsi="Times New Roman" w:cs="Times New Roman"/>
                <w:iCs/>
                <w:color w:val="000000" w:themeColor="text1"/>
                <w:sz w:val="24"/>
                <w:szCs w:val="24"/>
                <w:lang w:eastAsia="lv-LV"/>
              </w:rPr>
              <w:t xml:space="preserve"> pienākum</w:t>
            </w:r>
            <w:r w:rsidR="00090C91">
              <w:rPr>
                <w:rFonts w:ascii="Times New Roman" w:eastAsia="Times New Roman" w:hAnsi="Times New Roman" w:cs="Times New Roman"/>
                <w:iCs/>
                <w:color w:val="000000" w:themeColor="text1"/>
                <w:sz w:val="24"/>
                <w:szCs w:val="24"/>
                <w:lang w:eastAsia="lv-LV"/>
              </w:rPr>
              <w:t>a –</w:t>
            </w:r>
            <w:r w:rsidR="00235E50">
              <w:rPr>
                <w:rFonts w:ascii="Times New Roman" w:eastAsia="Times New Roman" w:hAnsi="Times New Roman" w:cs="Times New Roman"/>
                <w:iCs/>
                <w:color w:val="000000" w:themeColor="text1"/>
                <w:sz w:val="24"/>
                <w:szCs w:val="24"/>
                <w:lang w:eastAsia="lv-LV"/>
              </w:rPr>
              <w:t xml:space="preserve"> </w:t>
            </w:r>
            <w:r w:rsidR="00D74C68">
              <w:rPr>
                <w:rFonts w:ascii="Times New Roman" w:eastAsia="Times New Roman" w:hAnsi="Times New Roman" w:cs="Times New Roman"/>
                <w:iCs/>
                <w:color w:val="000000" w:themeColor="text1"/>
                <w:sz w:val="24"/>
                <w:szCs w:val="24"/>
                <w:lang w:eastAsia="lv-LV"/>
              </w:rPr>
              <w:t xml:space="preserve">veicināt </w:t>
            </w:r>
            <w:r w:rsidR="00D74C68" w:rsidRPr="00D74C68">
              <w:rPr>
                <w:rFonts w:ascii="Times New Roman" w:eastAsia="Times New Roman" w:hAnsi="Times New Roman" w:cs="Times New Roman"/>
                <w:iCs/>
                <w:color w:val="000000" w:themeColor="text1"/>
                <w:sz w:val="24"/>
                <w:szCs w:val="24"/>
                <w:lang w:eastAsia="lv-LV"/>
              </w:rPr>
              <w:t>ieguldītāju un noguldītāju interešu aizsardzību un finanšu tirgus ilgtspējīgu attīstību un stabilitāti</w:t>
            </w:r>
            <w:r w:rsidR="00FC1016">
              <w:rPr>
                <w:rFonts w:ascii="Times New Roman" w:eastAsia="Times New Roman" w:hAnsi="Times New Roman" w:cs="Times New Roman"/>
                <w:iCs/>
                <w:color w:val="000000" w:themeColor="text1"/>
                <w:sz w:val="24"/>
                <w:szCs w:val="24"/>
                <w:lang w:eastAsia="lv-LV"/>
              </w:rPr>
              <w:t> </w:t>
            </w:r>
            <w:r w:rsidR="00090C91">
              <w:rPr>
                <w:rFonts w:ascii="Times New Roman" w:eastAsia="Times New Roman" w:hAnsi="Times New Roman" w:cs="Times New Roman"/>
                <w:iCs/>
                <w:color w:val="000000" w:themeColor="text1"/>
                <w:sz w:val="24"/>
                <w:szCs w:val="24"/>
                <w:lang w:eastAsia="lv-LV"/>
              </w:rPr>
              <w:t>–</w:t>
            </w:r>
            <w:r w:rsidR="00235E50">
              <w:rPr>
                <w:rFonts w:ascii="Times New Roman" w:eastAsia="Times New Roman" w:hAnsi="Times New Roman" w:cs="Times New Roman"/>
                <w:iCs/>
                <w:color w:val="000000" w:themeColor="text1"/>
                <w:sz w:val="24"/>
                <w:szCs w:val="24"/>
                <w:lang w:eastAsia="lv-LV"/>
              </w:rPr>
              <w:t xml:space="preserve"> </w:t>
            </w:r>
            <w:r w:rsidR="00090C91">
              <w:rPr>
                <w:rFonts w:ascii="Times New Roman" w:eastAsia="Times New Roman" w:hAnsi="Times New Roman" w:cs="Times New Roman"/>
                <w:iCs/>
                <w:color w:val="000000" w:themeColor="text1"/>
                <w:sz w:val="24"/>
                <w:szCs w:val="24"/>
                <w:lang w:eastAsia="lv-LV"/>
              </w:rPr>
              <w:t>izpildi</w:t>
            </w:r>
            <w:r w:rsidRPr="00093F6A">
              <w:rPr>
                <w:rFonts w:ascii="Times New Roman" w:eastAsia="Times New Roman" w:hAnsi="Times New Roman" w:cs="Times New Roman"/>
                <w:iCs/>
                <w:color w:val="000000" w:themeColor="text1"/>
                <w:sz w:val="24"/>
                <w:szCs w:val="24"/>
                <w:lang w:eastAsia="lv-LV"/>
              </w:rPr>
              <w:t>.</w:t>
            </w:r>
          </w:p>
          <w:p w14:paraId="66AD4387" w14:textId="687ACE91" w:rsidR="0040342E" w:rsidRPr="004A712C" w:rsidRDefault="00093F6A" w:rsidP="0040342E">
            <w:pPr>
              <w:spacing w:after="120" w:line="240" w:lineRule="auto"/>
              <w:jc w:val="both"/>
              <w:rPr>
                <w:rFonts w:ascii="Times New Roman" w:eastAsia="Times New Roman" w:hAnsi="Times New Roman" w:cs="Times New Roman"/>
                <w:iCs/>
                <w:color w:val="000000" w:themeColor="text1"/>
                <w:sz w:val="24"/>
                <w:szCs w:val="24"/>
                <w:lang w:eastAsia="lv-LV"/>
              </w:rPr>
            </w:pPr>
            <w:r w:rsidRPr="00093F6A">
              <w:rPr>
                <w:rFonts w:ascii="Times New Roman" w:eastAsia="Times New Roman" w:hAnsi="Times New Roman" w:cs="Times New Roman"/>
                <w:iCs/>
                <w:color w:val="000000" w:themeColor="text1"/>
                <w:sz w:val="24"/>
                <w:szCs w:val="24"/>
                <w:lang w:eastAsia="lv-LV"/>
              </w:rPr>
              <w:t xml:space="preserve">Noteikumu projekts nepieciešams, lai </w:t>
            </w:r>
            <w:r w:rsidR="00D74C68">
              <w:rPr>
                <w:rFonts w:ascii="Times New Roman" w:eastAsia="Times New Roman" w:hAnsi="Times New Roman" w:cs="Times New Roman"/>
                <w:iCs/>
                <w:color w:val="000000" w:themeColor="text1"/>
                <w:sz w:val="24"/>
                <w:szCs w:val="24"/>
                <w:lang w:eastAsia="lv-LV"/>
              </w:rPr>
              <w:t xml:space="preserve">Latvijas Banka noteiktu </w:t>
            </w:r>
            <w:r w:rsidRPr="00093F6A">
              <w:rPr>
                <w:rFonts w:ascii="Times New Roman" w:eastAsia="Times New Roman" w:hAnsi="Times New Roman" w:cs="Times New Roman"/>
                <w:iCs/>
                <w:color w:val="000000" w:themeColor="text1"/>
                <w:sz w:val="24"/>
                <w:szCs w:val="24"/>
                <w:lang w:eastAsia="lv-LV"/>
              </w:rPr>
              <w:t>vienot</w:t>
            </w:r>
            <w:r w:rsidR="00D74C68">
              <w:rPr>
                <w:rFonts w:ascii="Times New Roman" w:eastAsia="Times New Roman" w:hAnsi="Times New Roman" w:cs="Times New Roman"/>
                <w:iCs/>
                <w:color w:val="000000" w:themeColor="text1"/>
                <w:sz w:val="24"/>
                <w:szCs w:val="24"/>
                <w:lang w:eastAsia="lv-LV"/>
              </w:rPr>
              <w:t>as</w:t>
            </w:r>
            <w:r w:rsidRPr="00093F6A">
              <w:rPr>
                <w:rFonts w:ascii="Times New Roman" w:eastAsia="Times New Roman" w:hAnsi="Times New Roman" w:cs="Times New Roman"/>
                <w:iCs/>
                <w:color w:val="000000" w:themeColor="text1"/>
                <w:sz w:val="24"/>
                <w:szCs w:val="24"/>
                <w:lang w:eastAsia="lv-LV"/>
              </w:rPr>
              <w:t xml:space="preserve"> </w:t>
            </w:r>
            <w:r w:rsidR="004C1F75">
              <w:rPr>
                <w:rFonts w:ascii="Times New Roman" w:eastAsia="Times New Roman" w:hAnsi="Times New Roman" w:cs="Times New Roman"/>
                <w:color w:val="000000" w:themeColor="text1"/>
                <w:sz w:val="24"/>
                <w:szCs w:val="24"/>
                <w:lang w:eastAsia="lv-LV"/>
              </w:rPr>
              <w:t xml:space="preserve">iestādēm </w:t>
            </w:r>
            <w:r w:rsidRPr="00093F6A">
              <w:rPr>
                <w:rFonts w:ascii="Times New Roman" w:eastAsia="Times New Roman" w:hAnsi="Times New Roman" w:cs="Times New Roman"/>
                <w:iCs/>
                <w:color w:val="000000" w:themeColor="text1"/>
                <w:sz w:val="24"/>
                <w:szCs w:val="24"/>
                <w:lang w:eastAsia="lv-LV"/>
              </w:rPr>
              <w:t>saistoš</w:t>
            </w:r>
            <w:r w:rsidR="00D74C68">
              <w:rPr>
                <w:rFonts w:ascii="Times New Roman" w:eastAsia="Times New Roman" w:hAnsi="Times New Roman" w:cs="Times New Roman"/>
                <w:iCs/>
                <w:color w:val="000000" w:themeColor="text1"/>
                <w:sz w:val="24"/>
                <w:szCs w:val="24"/>
                <w:lang w:eastAsia="lv-LV"/>
              </w:rPr>
              <w:t>as</w:t>
            </w:r>
            <w:r w:rsidRPr="00093F6A">
              <w:rPr>
                <w:rFonts w:ascii="Times New Roman" w:eastAsia="Times New Roman" w:hAnsi="Times New Roman" w:cs="Times New Roman"/>
                <w:iCs/>
                <w:color w:val="000000" w:themeColor="text1"/>
                <w:sz w:val="24"/>
                <w:szCs w:val="24"/>
                <w:lang w:eastAsia="lv-LV"/>
              </w:rPr>
              <w:t xml:space="preserve"> regulējoš</w:t>
            </w:r>
            <w:r w:rsidR="00D74C68">
              <w:rPr>
                <w:rFonts w:ascii="Times New Roman" w:eastAsia="Times New Roman" w:hAnsi="Times New Roman" w:cs="Times New Roman"/>
                <w:iCs/>
                <w:color w:val="000000" w:themeColor="text1"/>
                <w:sz w:val="24"/>
                <w:szCs w:val="24"/>
                <w:lang w:eastAsia="lv-LV"/>
              </w:rPr>
              <w:t xml:space="preserve">ās </w:t>
            </w:r>
            <w:r w:rsidRPr="00093F6A">
              <w:rPr>
                <w:rFonts w:ascii="Times New Roman" w:eastAsia="Times New Roman" w:hAnsi="Times New Roman" w:cs="Times New Roman"/>
                <w:iCs/>
                <w:color w:val="000000" w:themeColor="text1"/>
                <w:sz w:val="24"/>
                <w:szCs w:val="24"/>
                <w:lang w:eastAsia="lv-LV"/>
              </w:rPr>
              <w:t>prasīb</w:t>
            </w:r>
            <w:r w:rsidR="00D74C68">
              <w:rPr>
                <w:rFonts w:ascii="Times New Roman" w:eastAsia="Times New Roman" w:hAnsi="Times New Roman" w:cs="Times New Roman"/>
                <w:iCs/>
                <w:color w:val="000000" w:themeColor="text1"/>
                <w:sz w:val="24"/>
                <w:szCs w:val="24"/>
                <w:lang w:eastAsia="lv-LV"/>
              </w:rPr>
              <w:t>as</w:t>
            </w:r>
            <w:r w:rsidRPr="00093F6A">
              <w:rPr>
                <w:rFonts w:ascii="Times New Roman" w:eastAsia="Times New Roman" w:hAnsi="Times New Roman" w:cs="Times New Roman"/>
                <w:iCs/>
                <w:color w:val="000000" w:themeColor="text1"/>
                <w:sz w:val="24"/>
                <w:szCs w:val="24"/>
                <w:lang w:eastAsia="lv-LV"/>
              </w:rPr>
              <w:t xml:space="preserve"> </w:t>
            </w:r>
            <w:r w:rsidR="00D74C68" w:rsidRPr="00093F6A">
              <w:rPr>
                <w:rFonts w:ascii="Times New Roman" w:eastAsia="Times New Roman" w:hAnsi="Times New Roman" w:cs="Times New Roman"/>
                <w:iCs/>
                <w:color w:val="000000" w:themeColor="text1"/>
                <w:sz w:val="24"/>
                <w:szCs w:val="24"/>
                <w:lang w:eastAsia="lv-LV"/>
              </w:rPr>
              <w:t xml:space="preserve">iekšējās </w:t>
            </w:r>
            <w:r w:rsidR="00D74C68">
              <w:rPr>
                <w:rFonts w:ascii="Times New Roman" w:eastAsia="Times New Roman" w:hAnsi="Times New Roman" w:cs="Times New Roman"/>
                <w:iCs/>
                <w:color w:val="000000" w:themeColor="text1"/>
                <w:sz w:val="24"/>
                <w:szCs w:val="24"/>
                <w:lang w:eastAsia="lv-LV"/>
              </w:rPr>
              <w:t xml:space="preserve">pārvaldības </w:t>
            </w:r>
            <w:r w:rsidR="00D74C68" w:rsidRPr="00093F6A">
              <w:rPr>
                <w:rFonts w:ascii="Times New Roman" w:eastAsia="Times New Roman" w:hAnsi="Times New Roman" w:cs="Times New Roman"/>
                <w:iCs/>
                <w:color w:val="000000" w:themeColor="text1"/>
                <w:sz w:val="24"/>
                <w:szCs w:val="24"/>
                <w:lang w:eastAsia="lv-LV"/>
              </w:rPr>
              <w:t>sistēmas izveid</w:t>
            </w:r>
            <w:r w:rsidR="008025B3">
              <w:rPr>
                <w:rFonts w:ascii="Times New Roman" w:eastAsia="Times New Roman" w:hAnsi="Times New Roman" w:cs="Times New Roman"/>
                <w:iCs/>
                <w:color w:val="000000" w:themeColor="text1"/>
                <w:sz w:val="24"/>
                <w:szCs w:val="24"/>
                <w:lang w:eastAsia="lv-LV"/>
              </w:rPr>
              <w:t>es</w:t>
            </w:r>
            <w:r w:rsidR="00D74C68" w:rsidRPr="00093F6A">
              <w:rPr>
                <w:rFonts w:ascii="Times New Roman" w:eastAsia="Times New Roman" w:hAnsi="Times New Roman" w:cs="Times New Roman"/>
                <w:iCs/>
                <w:color w:val="000000" w:themeColor="text1"/>
                <w:sz w:val="24"/>
                <w:szCs w:val="24"/>
                <w:lang w:eastAsia="lv-LV"/>
              </w:rPr>
              <w:t xml:space="preserve"> jomā</w:t>
            </w:r>
            <w:r w:rsidRPr="00093F6A">
              <w:rPr>
                <w:rFonts w:ascii="Times New Roman" w:eastAsia="Times New Roman" w:hAnsi="Times New Roman" w:cs="Times New Roman"/>
                <w:iCs/>
                <w:color w:val="000000" w:themeColor="text1"/>
                <w:sz w:val="24"/>
                <w:szCs w:val="24"/>
                <w:lang w:eastAsia="lv-LV"/>
              </w:rPr>
              <w:t>.</w:t>
            </w:r>
          </w:p>
        </w:tc>
      </w:tr>
      <w:tr w:rsidR="00D63F50" w:rsidRPr="000B4E0A" w14:paraId="039121D7" w14:textId="77777777" w:rsidTr="00115CFD">
        <w:trPr>
          <w:trHeight w:val="567"/>
        </w:trPr>
        <w:tc>
          <w:tcPr>
            <w:tcW w:w="1405" w:type="pct"/>
            <w:shd w:val="clear" w:color="auto" w:fill="auto"/>
            <w:hideMark/>
          </w:tcPr>
          <w:p w14:paraId="2EABB69F" w14:textId="77777777" w:rsidR="00D63F50" w:rsidRPr="00E253DA" w:rsidRDefault="00D63F50" w:rsidP="00D63F50">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lastRenderedPageBreak/>
              <w:t>Samērīgums</w:t>
            </w:r>
          </w:p>
          <w:p w14:paraId="6CDA7E8B" w14:textId="11957B66" w:rsidR="00D63F50" w:rsidRPr="00E253DA" w:rsidRDefault="00D63F50" w:rsidP="00D63F50">
            <w:pPr>
              <w:spacing w:after="0" w:line="240" w:lineRule="auto"/>
              <w:rPr>
                <w:rFonts w:ascii="Times New Roman" w:eastAsia="Times New Roman" w:hAnsi="Times New Roman" w:cs="Times New Roman"/>
                <w:b/>
                <w:bCs/>
                <w:sz w:val="24"/>
                <w:szCs w:val="24"/>
                <w:lang w:eastAsia="lv-LV"/>
              </w:rPr>
            </w:pPr>
          </w:p>
        </w:tc>
        <w:tc>
          <w:tcPr>
            <w:tcW w:w="3595" w:type="pct"/>
            <w:shd w:val="clear" w:color="auto" w:fill="auto"/>
          </w:tcPr>
          <w:p w14:paraId="7DE64E7F" w14:textId="6E2C1746" w:rsidR="00D63F50" w:rsidRPr="00E7052B" w:rsidRDefault="00D63F50" w:rsidP="006B649E">
            <w:pPr>
              <w:spacing w:after="120" w:line="240" w:lineRule="auto"/>
              <w:jc w:val="both"/>
              <w:rPr>
                <w:rFonts w:ascii="Times New Roman" w:eastAsia="Times New Roman" w:hAnsi="Times New Roman" w:cs="Times New Roman"/>
                <w:sz w:val="24"/>
                <w:szCs w:val="24"/>
                <w:lang w:eastAsia="lv-LV"/>
              </w:rPr>
            </w:pPr>
            <w:r w:rsidRPr="00E7052B">
              <w:rPr>
                <w:rFonts w:ascii="Times New Roman" w:eastAsia="Times New Roman" w:hAnsi="Times New Roman" w:cs="Times New Roman"/>
                <w:sz w:val="24"/>
                <w:szCs w:val="24"/>
                <w:lang w:eastAsia="lv-LV"/>
              </w:rPr>
              <w:t xml:space="preserve">Nosakot </w:t>
            </w:r>
            <w:r w:rsidR="00B30C57">
              <w:rPr>
                <w:rFonts w:ascii="Times New Roman" w:eastAsia="Times New Roman" w:hAnsi="Times New Roman" w:cs="Times New Roman"/>
                <w:sz w:val="24"/>
                <w:szCs w:val="24"/>
                <w:lang w:eastAsia="lv-LV"/>
              </w:rPr>
              <w:t xml:space="preserve">iestādēm </w:t>
            </w:r>
            <w:r w:rsidRPr="00E7052B">
              <w:rPr>
                <w:rFonts w:ascii="Times New Roman" w:eastAsia="Times New Roman" w:hAnsi="Times New Roman" w:cs="Times New Roman"/>
                <w:sz w:val="24"/>
                <w:szCs w:val="24"/>
                <w:lang w:eastAsia="lv-LV"/>
              </w:rPr>
              <w:t xml:space="preserve">vienotas prasības </w:t>
            </w:r>
            <w:r w:rsidR="007513D9">
              <w:rPr>
                <w:rFonts w:ascii="Times New Roman" w:eastAsia="Times New Roman" w:hAnsi="Times New Roman" w:cs="Times New Roman"/>
                <w:sz w:val="24"/>
                <w:szCs w:val="24"/>
                <w:lang w:eastAsia="lv-LV"/>
              </w:rPr>
              <w:t>pārvaldības sistēmas izveid</w:t>
            </w:r>
            <w:r w:rsidR="00F05A53">
              <w:rPr>
                <w:rFonts w:ascii="Times New Roman" w:eastAsia="Times New Roman" w:hAnsi="Times New Roman" w:cs="Times New Roman"/>
                <w:sz w:val="24"/>
                <w:szCs w:val="24"/>
                <w:lang w:eastAsia="lv-LV"/>
              </w:rPr>
              <w:t>ei</w:t>
            </w:r>
            <w:r w:rsidR="00252D00">
              <w:rPr>
                <w:rFonts w:ascii="Times New Roman" w:eastAsia="Times New Roman" w:hAnsi="Times New Roman" w:cs="Times New Roman"/>
                <w:sz w:val="24"/>
                <w:szCs w:val="24"/>
                <w:lang w:eastAsia="lv-LV"/>
              </w:rPr>
              <w:t>,</w:t>
            </w:r>
            <w:r w:rsidR="007513D9">
              <w:rPr>
                <w:rFonts w:ascii="Times New Roman" w:eastAsia="Times New Roman" w:hAnsi="Times New Roman" w:cs="Times New Roman"/>
                <w:sz w:val="24"/>
                <w:szCs w:val="24"/>
                <w:lang w:eastAsia="lv-LV"/>
              </w:rPr>
              <w:t xml:space="preserve"> t</w:t>
            </w:r>
            <w:r w:rsidR="00252D00">
              <w:rPr>
                <w:rFonts w:ascii="Times New Roman" w:eastAsia="Times New Roman" w:hAnsi="Times New Roman" w:cs="Times New Roman"/>
                <w:sz w:val="24"/>
                <w:szCs w:val="24"/>
                <w:lang w:eastAsia="lv-LV"/>
              </w:rPr>
              <w:t>i</w:t>
            </w:r>
            <w:r w:rsidRPr="00E7052B">
              <w:rPr>
                <w:rFonts w:ascii="Times New Roman" w:eastAsia="Times New Roman" w:hAnsi="Times New Roman" w:cs="Times New Roman"/>
                <w:sz w:val="24"/>
                <w:szCs w:val="24"/>
                <w:lang w:eastAsia="lv-LV"/>
              </w:rPr>
              <w:t xml:space="preserve">ek nodrošināta vienota </w:t>
            </w:r>
            <w:r w:rsidR="00566D25">
              <w:rPr>
                <w:rFonts w:ascii="Times New Roman" w:eastAsia="Times New Roman" w:hAnsi="Times New Roman" w:cs="Times New Roman"/>
                <w:sz w:val="24"/>
                <w:szCs w:val="24"/>
                <w:lang w:eastAsia="lv-LV"/>
              </w:rPr>
              <w:t xml:space="preserve">iestāžu </w:t>
            </w:r>
            <w:r w:rsidRPr="00E7052B">
              <w:rPr>
                <w:rFonts w:ascii="Times New Roman" w:eastAsia="Times New Roman" w:hAnsi="Times New Roman" w:cs="Times New Roman"/>
                <w:sz w:val="24"/>
                <w:szCs w:val="24"/>
                <w:lang w:eastAsia="lv-LV"/>
              </w:rPr>
              <w:t>izpratne un pieeja regulējošo prasību interpretācijai un piemērošanai</w:t>
            </w:r>
            <w:r w:rsidR="00B61AAF">
              <w:rPr>
                <w:rFonts w:ascii="Times New Roman" w:eastAsia="Times New Roman" w:hAnsi="Times New Roman" w:cs="Times New Roman"/>
                <w:sz w:val="24"/>
                <w:szCs w:val="24"/>
                <w:lang w:eastAsia="lv-LV"/>
              </w:rPr>
              <w:t xml:space="preserve">, kas ir būtisks faktors, lai </w:t>
            </w:r>
            <w:r w:rsidRPr="00E7052B">
              <w:rPr>
                <w:rFonts w:ascii="Times New Roman" w:eastAsia="Times New Roman" w:hAnsi="Times New Roman" w:cs="Times New Roman"/>
                <w:sz w:val="24"/>
                <w:szCs w:val="24"/>
                <w:lang w:eastAsia="lv-LV"/>
              </w:rPr>
              <w:t>nodrošinātu finanšu tirgus stabilitāti</w:t>
            </w:r>
            <w:r w:rsidR="00B61AAF">
              <w:rPr>
                <w:rFonts w:ascii="Times New Roman" w:eastAsia="Times New Roman" w:hAnsi="Times New Roman" w:cs="Times New Roman"/>
                <w:sz w:val="24"/>
                <w:szCs w:val="24"/>
                <w:lang w:eastAsia="lv-LV"/>
              </w:rPr>
              <w:t>.</w:t>
            </w:r>
          </w:p>
          <w:p w14:paraId="075E696F" w14:textId="59D1B3C2" w:rsidR="00D63F50" w:rsidRPr="00E7052B" w:rsidRDefault="00D63F50" w:rsidP="006B649E">
            <w:pPr>
              <w:spacing w:after="120" w:line="240" w:lineRule="auto"/>
              <w:jc w:val="both"/>
              <w:rPr>
                <w:rFonts w:ascii="Times New Roman" w:eastAsia="Times New Roman" w:hAnsi="Times New Roman" w:cs="Times New Roman"/>
                <w:sz w:val="24"/>
                <w:szCs w:val="24"/>
                <w:lang w:eastAsia="lv-LV"/>
              </w:rPr>
            </w:pPr>
            <w:r w:rsidRPr="00E7052B">
              <w:rPr>
                <w:rFonts w:ascii="Times New Roman" w:eastAsia="Times New Roman" w:hAnsi="Times New Roman" w:cs="Times New Roman"/>
                <w:sz w:val="24"/>
                <w:szCs w:val="24"/>
                <w:lang w:eastAsia="lv-LV"/>
              </w:rPr>
              <w:t xml:space="preserve">Līdz ar to atbilstošākais veids, kā noteikt </w:t>
            </w:r>
            <w:r w:rsidR="00B30C57">
              <w:rPr>
                <w:rFonts w:ascii="Times New Roman" w:eastAsia="Times New Roman" w:hAnsi="Times New Roman" w:cs="Times New Roman"/>
                <w:sz w:val="24"/>
                <w:szCs w:val="24"/>
                <w:lang w:eastAsia="lv-LV"/>
              </w:rPr>
              <w:t>iestādēm</w:t>
            </w:r>
            <w:r w:rsidR="00624E00">
              <w:rPr>
                <w:rFonts w:ascii="Times New Roman" w:eastAsia="Times New Roman" w:hAnsi="Times New Roman" w:cs="Times New Roman"/>
                <w:sz w:val="24"/>
                <w:szCs w:val="24"/>
                <w:lang w:eastAsia="lv-LV"/>
              </w:rPr>
              <w:t xml:space="preserve"> </w:t>
            </w:r>
            <w:r w:rsidRPr="00E7052B">
              <w:rPr>
                <w:rFonts w:ascii="Times New Roman" w:eastAsia="Times New Roman" w:hAnsi="Times New Roman" w:cs="Times New Roman"/>
                <w:sz w:val="24"/>
                <w:szCs w:val="24"/>
                <w:lang w:eastAsia="lv-LV"/>
              </w:rPr>
              <w:t>vienotas</w:t>
            </w:r>
            <w:r>
              <w:rPr>
                <w:rFonts w:ascii="Times New Roman" w:eastAsia="Times New Roman" w:hAnsi="Times New Roman" w:cs="Times New Roman"/>
                <w:sz w:val="24"/>
                <w:szCs w:val="24"/>
                <w:lang w:eastAsia="lv-LV"/>
              </w:rPr>
              <w:t xml:space="preserve"> prasības</w:t>
            </w:r>
            <w:r w:rsidR="00566D25">
              <w:rPr>
                <w:rFonts w:ascii="Times New Roman" w:eastAsia="Times New Roman" w:hAnsi="Times New Roman" w:cs="Times New Roman"/>
                <w:sz w:val="24"/>
                <w:szCs w:val="24"/>
                <w:lang w:eastAsia="lv-LV"/>
              </w:rPr>
              <w:t xml:space="preserve"> pārvaldības </w:t>
            </w:r>
            <w:r w:rsidR="00624E00">
              <w:rPr>
                <w:rFonts w:ascii="Times New Roman" w:eastAsia="Times New Roman" w:hAnsi="Times New Roman" w:cs="Times New Roman"/>
                <w:sz w:val="24"/>
                <w:szCs w:val="24"/>
                <w:lang w:eastAsia="lv-LV"/>
              </w:rPr>
              <w:t xml:space="preserve">sistēmas </w:t>
            </w:r>
            <w:r w:rsidR="00B61AAF">
              <w:rPr>
                <w:rFonts w:ascii="Times New Roman" w:eastAsia="Times New Roman" w:hAnsi="Times New Roman" w:cs="Times New Roman"/>
                <w:sz w:val="24"/>
                <w:szCs w:val="24"/>
                <w:lang w:eastAsia="lv-LV"/>
              </w:rPr>
              <w:t>izveid</w:t>
            </w:r>
            <w:r w:rsidR="00F05A53">
              <w:rPr>
                <w:rFonts w:ascii="Times New Roman" w:eastAsia="Times New Roman" w:hAnsi="Times New Roman" w:cs="Times New Roman"/>
                <w:sz w:val="24"/>
                <w:szCs w:val="24"/>
                <w:lang w:eastAsia="lv-LV"/>
              </w:rPr>
              <w:t>ei</w:t>
            </w:r>
            <w:r w:rsidR="00252D00">
              <w:rPr>
                <w:rFonts w:ascii="Times New Roman" w:eastAsia="Times New Roman" w:hAnsi="Times New Roman" w:cs="Times New Roman"/>
                <w:sz w:val="24"/>
                <w:szCs w:val="24"/>
                <w:lang w:eastAsia="lv-LV"/>
              </w:rPr>
              <w:t>,</w:t>
            </w:r>
            <w:r w:rsidRPr="00E7052B">
              <w:rPr>
                <w:rFonts w:ascii="Times New Roman" w:eastAsia="Times New Roman" w:hAnsi="Times New Roman" w:cs="Times New Roman"/>
                <w:sz w:val="24"/>
                <w:szCs w:val="24"/>
                <w:lang w:eastAsia="lv-LV"/>
              </w:rPr>
              <w:t xml:space="preserve"> ir izdot </w:t>
            </w:r>
            <w:r w:rsidR="0030374D">
              <w:rPr>
                <w:rFonts w:ascii="Times New Roman" w:eastAsia="Times New Roman" w:hAnsi="Times New Roman" w:cs="Times New Roman"/>
                <w:sz w:val="24"/>
                <w:szCs w:val="24"/>
                <w:lang w:eastAsia="lv-LV"/>
              </w:rPr>
              <w:t>t</w:t>
            </w:r>
            <w:r w:rsidR="00B30C57">
              <w:rPr>
                <w:rFonts w:ascii="Times New Roman" w:eastAsia="Times New Roman" w:hAnsi="Times New Roman" w:cs="Times New Roman"/>
                <w:sz w:val="24"/>
                <w:szCs w:val="24"/>
                <w:lang w:eastAsia="lv-LV"/>
              </w:rPr>
              <w:t>ā</w:t>
            </w:r>
            <w:r w:rsidR="00624E00">
              <w:rPr>
                <w:rFonts w:ascii="Times New Roman" w:eastAsia="Times New Roman" w:hAnsi="Times New Roman" w:cs="Times New Roman"/>
                <w:sz w:val="24"/>
                <w:szCs w:val="24"/>
                <w:lang w:eastAsia="lv-LV"/>
              </w:rPr>
              <w:t xml:space="preserve">m </w:t>
            </w:r>
            <w:r w:rsidRPr="00E7052B">
              <w:rPr>
                <w:rFonts w:ascii="Times New Roman" w:eastAsia="Times New Roman" w:hAnsi="Times New Roman" w:cs="Times New Roman"/>
                <w:sz w:val="24"/>
                <w:szCs w:val="24"/>
                <w:lang w:eastAsia="lv-LV"/>
              </w:rPr>
              <w:t>saistošus noteikumus. Citas alternatīvas jautājuma noregulēšanai un vienotu prasību noteikšanai nebūtu efektīvas un nesasniegtu izvirzīto mērķi, jo nenodrošinātu vienveidīgu piemērošanu.</w:t>
            </w:r>
          </w:p>
          <w:p w14:paraId="15358280" w14:textId="714A98FE" w:rsidR="00566D25" w:rsidRPr="00B61AAF" w:rsidRDefault="00DC3803" w:rsidP="002E1BA7">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Noteikumu projekts</w:t>
            </w:r>
            <w:r w:rsidR="00D63F50" w:rsidRPr="00E7052B">
              <w:rPr>
                <w:rFonts w:ascii="Times New Roman" w:eastAsia="Times New Roman" w:hAnsi="Times New Roman" w:cs="Times New Roman"/>
                <w:sz w:val="24"/>
                <w:szCs w:val="24"/>
                <w:lang w:eastAsia="lv-LV"/>
              </w:rPr>
              <w:t xml:space="preserve"> kopumā un tajā ietvertās tiesību normas atbilst samērīguma principam, jo, pirmkārt, ar noteikumu projekta ieviešanu tiek sasniegts leģitīmais mērķis (citu personu tiesību un sabiedrības labklājības aizsardzība). Otrkārt, nepastāv tādi alternatīvi līdzekļi, kas sasniegtu leģitīmo mērķi tādā pašā kvalitātē.</w:t>
            </w:r>
            <w:r w:rsidR="00D63F50">
              <w:rPr>
                <w:rFonts w:ascii="Times New Roman" w:eastAsia="Times New Roman" w:hAnsi="Times New Roman" w:cs="Times New Roman"/>
                <w:sz w:val="24"/>
                <w:szCs w:val="24"/>
                <w:lang w:eastAsia="lv-LV"/>
              </w:rPr>
              <w:t xml:space="preserve"> Treškārt, sabiedrības labums no </w:t>
            </w:r>
            <w:r>
              <w:rPr>
                <w:rFonts w:ascii="Times New Roman" w:eastAsia="Times New Roman" w:hAnsi="Times New Roman" w:cs="Times New Roman"/>
                <w:sz w:val="24"/>
                <w:szCs w:val="24"/>
                <w:lang w:eastAsia="lv-LV"/>
              </w:rPr>
              <w:t>noteikumu projektā ietverto</w:t>
            </w:r>
            <w:r w:rsidR="00D63F50">
              <w:rPr>
                <w:rFonts w:ascii="Times New Roman" w:eastAsia="Times New Roman" w:hAnsi="Times New Roman" w:cs="Times New Roman"/>
                <w:sz w:val="24"/>
                <w:szCs w:val="24"/>
                <w:lang w:eastAsia="lv-LV"/>
              </w:rPr>
              <w:t xml:space="preserve"> prasību piemērošanas ir lielāks par nelielu papildu slogu un resursu ieguldījumu, kas </w:t>
            </w:r>
            <w:r>
              <w:rPr>
                <w:rFonts w:ascii="Times New Roman" w:eastAsia="Times New Roman" w:hAnsi="Times New Roman" w:cs="Times New Roman"/>
                <w:sz w:val="24"/>
                <w:szCs w:val="24"/>
                <w:lang w:eastAsia="lv-LV"/>
              </w:rPr>
              <w:t>iestādēm</w:t>
            </w:r>
            <w:r w:rsidR="00624E00">
              <w:rPr>
                <w:rFonts w:ascii="Times New Roman" w:eastAsia="Times New Roman" w:hAnsi="Times New Roman" w:cs="Times New Roman"/>
                <w:sz w:val="24"/>
                <w:szCs w:val="24"/>
                <w:lang w:eastAsia="lv-LV"/>
              </w:rPr>
              <w:t xml:space="preserve"> </w:t>
            </w:r>
            <w:r w:rsidR="00D63F50" w:rsidRPr="00E7052B">
              <w:rPr>
                <w:rFonts w:ascii="Times New Roman" w:eastAsia="Times New Roman" w:hAnsi="Times New Roman" w:cs="Times New Roman"/>
                <w:sz w:val="24"/>
                <w:szCs w:val="24"/>
                <w:lang w:eastAsia="lv-LV"/>
              </w:rPr>
              <w:t>varētu rasties ar uzliktajiem pienākumiem</w:t>
            </w:r>
            <w:r w:rsidR="00090C91">
              <w:rPr>
                <w:rFonts w:ascii="Times New Roman" w:eastAsia="Times New Roman" w:hAnsi="Times New Roman" w:cs="Times New Roman"/>
                <w:sz w:val="24"/>
                <w:szCs w:val="24"/>
                <w:lang w:eastAsia="lv-LV"/>
              </w:rPr>
              <w:t>,</w:t>
            </w:r>
            <w:r w:rsidR="00B61AAF" w:rsidRPr="00E7052B">
              <w:rPr>
                <w:rFonts w:ascii="Times New Roman" w:eastAsia="Times New Roman" w:hAnsi="Times New Roman" w:cs="Times New Roman"/>
                <w:sz w:val="24"/>
                <w:szCs w:val="24"/>
                <w:lang w:eastAsia="lv-LV"/>
              </w:rPr>
              <w:t xml:space="preserve"> un tos atsver sagaidāmie ilgtermiņa ieguvumi stabilāka finanšu sektora veidā.</w:t>
            </w:r>
          </w:p>
        </w:tc>
      </w:tr>
      <w:tr w:rsidR="00D63F50" w:rsidRPr="000B4E0A" w14:paraId="457D6A2B" w14:textId="77777777" w:rsidTr="00115CFD">
        <w:trPr>
          <w:trHeight w:val="567"/>
        </w:trPr>
        <w:tc>
          <w:tcPr>
            <w:tcW w:w="1405" w:type="pct"/>
            <w:shd w:val="clear" w:color="auto" w:fill="auto"/>
            <w:hideMark/>
          </w:tcPr>
          <w:p w14:paraId="167B9358" w14:textId="77777777" w:rsidR="00D63F50" w:rsidRPr="00E253DA" w:rsidRDefault="00D63F50" w:rsidP="00D63F50">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Spēkā stāšanās</w:t>
            </w:r>
          </w:p>
          <w:p w14:paraId="71CBECED" w14:textId="06C03345" w:rsidR="00D63F50" w:rsidRPr="00E253DA" w:rsidRDefault="00D63F50" w:rsidP="00D63F50">
            <w:pPr>
              <w:spacing w:after="0" w:line="240" w:lineRule="auto"/>
              <w:rPr>
                <w:rFonts w:ascii="Times New Roman" w:eastAsia="Times New Roman" w:hAnsi="Times New Roman" w:cs="Times New Roman"/>
                <w:b/>
                <w:bCs/>
                <w:sz w:val="24"/>
                <w:szCs w:val="24"/>
                <w:lang w:eastAsia="lv-LV"/>
              </w:rPr>
            </w:pPr>
          </w:p>
        </w:tc>
        <w:tc>
          <w:tcPr>
            <w:tcW w:w="3595" w:type="pct"/>
            <w:shd w:val="clear" w:color="auto" w:fill="auto"/>
          </w:tcPr>
          <w:p w14:paraId="374D264D" w14:textId="0C74586C" w:rsidR="007F311C" w:rsidRPr="000C6B17" w:rsidRDefault="00A14CBD" w:rsidP="006B649E">
            <w:pPr>
              <w:spacing w:after="120" w:line="240" w:lineRule="auto"/>
              <w:jc w:val="both"/>
              <w:rPr>
                <w:rFonts w:ascii="Times New Roman" w:eastAsia="Times New Roman" w:hAnsi="Times New Roman" w:cs="Times New Roman"/>
                <w:iCs/>
                <w:color w:val="000000" w:themeColor="text1"/>
                <w:sz w:val="24"/>
                <w:szCs w:val="24"/>
                <w:lang w:eastAsia="lv-LV"/>
              </w:rPr>
            </w:pPr>
            <w:r>
              <w:rPr>
                <w:rFonts w:ascii="Times New Roman" w:eastAsia="Times New Roman" w:hAnsi="Times New Roman" w:cs="Times New Roman"/>
                <w:iCs/>
                <w:color w:val="000000" w:themeColor="text1"/>
                <w:sz w:val="24"/>
                <w:szCs w:val="24"/>
                <w:lang w:eastAsia="lv-LV"/>
              </w:rPr>
              <w:t xml:space="preserve">2025. gada 1. janvārī. </w:t>
            </w:r>
            <w:r w:rsidR="0004229D" w:rsidRPr="0004229D">
              <w:rPr>
                <w:rFonts w:ascii="Times New Roman" w:eastAsia="Times New Roman" w:hAnsi="Times New Roman" w:cs="Times New Roman"/>
                <w:iCs/>
                <w:color w:val="000000" w:themeColor="text1"/>
                <w:sz w:val="24"/>
                <w:szCs w:val="24"/>
                <w:lang w:eastAsia="lv-LV"/>
              </w:rPr>
              <w:t xml:space="preserve">Noteikumu projektam jāstājas spēkā vienlaikus ar Latvijas Bankas noteikumu projektu, kas nosaka prasības </w:t>
            </w:r>
            <w:r w:rsidR="0004229D">
              <w:rPr>
                <w:rFonts w:ascii="Times New Roman" w:eastAsia="Times New Roman" w:hAnsi="Times New Roman" w:cs="Times New Roman"/>
                <w:iCs/>
                <w:color w:val="000000" w:themeColor="text1"/>
                <w:sz w:val="24"/>
                <w:szCs w:val="24"/>
                <w:lang w:eastAsia="lv-LV"/>
              </w:rPr>
              <w:t xml:space="preserve">kredītiestāžu </w:t>
            </w:r>
            <w:r w:rsidR="0004229D" w:rsidRPr="0004229D">
              <w:rPr>
                <w:rFonts w:ascii="Times New Roman" w:eastAsia="Times New Roman" w:hAnsi="Times New Roman" w:cs="Times New Roman"/>
                <w:iCs/>
                <w:color w:val="000000" w:themeColor="text1"/>
                <w:sz w:val="24"/>
                <w:szCs w:val="24"/>
                <w:lang w:eastAsia="lv-LV"/>
              </w:rPr>
              <w:t>atalgojuma politikai un praksei.</w:t>
            </w:r>
          </w:p>
        </w:tc>
      </w:tr>
      <w:tr w:rsidR="00D63F50" w:rsidRPr="000B4E0A" w14:paraId="29A97663" w14:textId="77777777" w:rsidTr="00115CFD">
        <w:trPr>
          <w:trHeight w:val="567"/>
        </w:trPr>
        <w:tc>
          <w:tcPr>
            <w:tcW w:w="1405" w:type="pct"/>
            <w:shd w:val="clear" w:color="auto" w:fill="auto"/>
            <w:hideMark/>
          </w:tcPr>
          <w:p w14:paraId="5B9C5F63" w14:textId="77777777" w:rsidR="00D63F50" w:rsidRPr="00E253DA" w:rsidRDefault="00D63F50" w:rsidP="00D63F50">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Ietekme uz Latvijas Bankas budžetu</w:t>
            </w:r>
          </w:p>
          <w:p w14:paraId="014B1A80" w14:textId="1DD05011" w:rsidR="00D63F50" w:rsidRPr="00E253DA" w:rsidRDefault="00D63F50" w:rsidP="00D63F50">
            <w:pPr>
              <w:spacing w:after="0" w:line="240" w:lineRule="auto"/>
              <w:rPr>
                <w:rFonts w:ascii="Times New Roman" w:eastAsia="Times New Roman" w:hAnsi="Times New Roman" w:cs="Times New Roman"/>
                <w:b/>
                <w:bCs/>
                <w:sz w:val="24"/>
                <w:szCs w:val="24"/>
                <w:lang w:eastAsia="lv-LV"/>
              </w:rPr>
            </w:pPr>
          </w:p>
        </w:tc>
        <w:tc>
          <w:tcPr>
            <w:tcW w:w="3595" w:type="pct"/>
            <w:shd w:val="clear" w:color="auto" w:fill="auto"/>
          </w:tcPr>
          <w:p w14:paraId="3944460A" w14:textId="3E437B49" w:rsidR="00D63F50" w:rsidRPr="00CA0DE3" w:rsidRDefault="00D63F50" w:rsidP="006B649E">
            <w:pPr>
              <w:spacing w:after="120" w:line="240" w:lineRule="auto"/>
              <w:jc w:val="both"/>
              <w:rPr>
                <w:rFonts w:ascii="Times New Roman" w:eastAsia="Times New Roman" w:hAnsi="Times New Roman" w:cs="Times New Roman"/>
                <w:color w:val="000000" w:themeColor="text1"/>
                <w:sz w:val="24"/>
                <w:szCs w:val="24"/>
                <w:lang w:eastAsia="lv-LV"/>
              </w:rPr>
            </w:pPr>
            <w:r w:rsidRPr="00CA0DE3">
              <w:rPr>
                <w:rFonts w:ascii="Times New Roman" w:eastAsia="Times New Roman" w:hAnsi="Times New Roman" w:cs="Times New Roman"/>
                <w:color w:val="000000" w:themeColor="text1"/>
                <w:sz w:val="24"/>
                <w:szCs w:val="24"/>
                <w:lang w:eastAsia="lv-LV"/>
              </w:rPr>
              <w:t>Normatīvā akta izdošana neietekmēs Latvijas Bankas budžeta ieņēmumus un izdevumus</w:t>
            </w:r>
            <w:r w:rsidR="00D40E90">
              <w:rPr>
                <w:rFonts w:ascii="Times New Roman" w:eastAsia="Times New Roman" w:hAnsi="Times New Roman" w:cs="Times New Roman"/>
                <w:color w:val="000000" w:themeColor="text1"/>
                <w:sz w:val="24"/>
                <w:szCs w:val="24"/>
                <w:lang w:eastAsia="lv-LV"/>
              </w:rPr>
              <w:t>.</w:t>
            </w:r>
          </w:p>
        </w:tc>
      </w:tr>
      <w:tr w:rsidR="00D63F50" w:rsidRPr="000B4E0A" w14:paraId="74F122AB" w14:textId="77777777" w:rsidTr="00115CFD">
        <w:trPr>
          <w:trHeight w:val="567"/>
        </w:trPr>
        <w:tc>
          <w:tcPr>
            <w:tcW w:w="1405" w:type="pct"/>
            <w:shd w:val="clear" w:color="auto" w:fill="auto"/>
            <w:hideMark/>
          </w:tcPr>
          <w:p w14:paraId="50B93F09" w14:textId="77777777" w:rsidR="00D63F50" w:rsidRPr="00E253DA" w:rsidRDefault="00D63F50" w:rsidP="00D63F50">
            <w:pPr>
              <w:spacing w:after="0" w:line="240" w:lineRule="auto"/>
              <w:rPr>
                <w:rFonts w:ascii="Times New Roman" w:eastAsia="Times New Roman" w:hAnsi="Times New Roman" w:cs="Times New Roman"/>
                <w:b/>
                <w:bCs/>
                <w:sz w:val="24"/>
                <w:szCs w:val="24"/>
                <w:lang w:eastAsia="lv-LV"/>
              </w:rPr>
            </w:pPr>
            <w:bookmarkStart w:id="5" w:name="_Hlk178239657"/>
            <w:r w:rsidRPr="00E253DA">
              <w:rPr>
                <w:rFonts w:ascii="Times New Roman" w:eastAsia="Times New Roman" w:hAnsi="Times New Roman" w:cs="Times New Roman"/>
                <w:b/>
                <w:bCs/>
                <w:sz w:val="24"/>
                <w:szCs w:val="24"/>
                <w:lang w:eastAsia="lv-LV"/>
              </w:rPr>
              <w:t>Administratīvā sloga un izmaksu novērtējums (tirgus dalībniekiem)</w:t>
            </w:r>
          </w:p>
          <w:bookmarkEnd w:id="5"/>
          <w:p w14:paraId="652F8FE6" w14:textId="1904302F" w:rsidR="00D63F50" w:rsidRPr="00E253DA" w:rsidRDefault="00D63F50" w:rsidP="00D63F50">
            <w:pPr>
              <w:spacing w:after="0" w:line="240" w:lineRule="auto"/>
              <w:rPr>
                <w:rFonts w:ascii="Times New Roman" w:eastAsia="Times New Roman" w:hAnsi="Times New Roman" w:cs="Times New Roman"/>
                <w:b/>
                <w:bCs/>
                <w:sz w:val="24"/>
                <w:szCs w:val="24"/>
                <w:lang w:eastAsia="lv-LV"/>
              </w:rPr>
            </w:pPr>
          </w:p>
        </w:tc>
        <w:tc>
          <w:tcPr>
            <w:tcW w:w="3595" w:type="pct"/>
            <w:shd w:val="clear" w:color="auto" w:fill="auto"/>
          </w:tcPr>
          <w:p w14:paraId="66669E26" w14:textId="0C2B9D8C" w:rsidR="004B44CC" w:rsidRDefault="00D63F50" w:rsidP="00D573EE">
            <w:pPr>
              <w:tabs>
                <w:tab w:val="left" w:pos="287"/>
              </w:tabs>
              <w:spacing w:after="120" w:line="240" w:lineRule="auto"/>
              <w:jc w:val="both"/>
              <w:rPr>
                <w:rFonts w:ascii="Times New Roman" w:eastAsia="Times New Roman" w:hAnsi="Times New Roman" w:cs="Times New Roman"/>
                <w:color w:val="000000" w:themeColor="text1"/>
                <w:sz w:val="24"/>
                <w:szCs w:val="24"/>
                <w:lang w:eastAsia="lv-LV"/>
              </w:rPr>
            </w:pPr>
            <w:r w:rsidRPr="00D40E90">
              <w:rPr>
                <w:rFonts w:ascii="Times New Roman" w:eastAsia="Times New Roman" w:hAnsi="Times New Roman" w:cs="Times New Roman"/>
                <w:color w:val="000000" w:themeColor="text1"/>
                <w:sz w:val="24"/>
                <w:szCs w:val="24"/>
                <w:lang w:eastAsia="lv-LV"/>
              </w:rPr>
              <w:t>Noteikumu projektā ietvert</w:t>
            </w:r>
            <w:r w:rsidR="00DC3803">
              <w:rPr>
                <w:rFonts w:ascii="Times New Roman" w:eastAsia="Times New Roman" w:hAnsi="Times New Roman" w:cs="Times New Roman"/>
                <w:color w:val="000000" w:themeColor="text1"/>
                <w:sz w:val="24"/>
                <w:szCs w:val="24"/>
                <w:lang w:eastAsia="lv-LV"/>
              </w:rPr>
              <w:t>ās</w:t>
            </w:r>
            <w:r w:rsidRPr="00D40E90">
              <w:rPr>
                <w:rFonts w:ascii="Times New Roman" w:eastAsia="Times New Roman" w:hAnsi="Times New Roman" w:cs="Times New Roman"/>
                <w:color w:val="000000" w:themeColor="text1"/>
                <w:sz w:val="24"/>
                <w:szCs w:val="24"/>
                <w:lang w:eastAsia="lv-LV"/>
              </w:rPr>
              <w:t xml:space="preserve"> prasīb</w:t>
            </w:r>
            <w:r w:rsidR="00DC3803">
              <w:rPr>
                <w:rFonts w:ascii="Times New Roman" w:eastAsia="Times New Roman" w:hAnsi="Times New Roman" w:cs="Times New Roman"/>
                <w:color w:val="000000" w:themeColor="text1"/>
                <w:sz w:val="24"/>
                <w:szCs w:val="24"/>
                <w:lang w:eastAsia="lv-LV"/>
              </w:rPr>
              <w:t>as</w:t>
            </w:r>
            <w:r w:rsidRPr="00D40E90">
              <w:rPr>
                <w:rFonts w:ascii="Times New Roman" w:eastAsia="Times New Roman" w:hAnsi="Times New Roman" w:cs="Times New Roman"/>
                <w:color w:val="000000" w:themeColor="text1"/>
                <w:sz w:val="24"/>
                <w:szCs w:val="24"/>
                <w:lang w:eastAsia="lv-LV"/>
              </w:rPr>
              <w:t xml:space="preserve"> </w:t>
            </w:r>
            <w:r w:rsidR="00282AB0">
              <w:rPr>
                <w:rFonts w:ascii="Times New Roman" w:eastAsia="Times New Roman" w:hAnsi="Times New Roman" w:cs="Times New Roman"/>
                <w:color w:val="000000" w:themeColor="text1"/>
                <w:sz w:val="24"/>
                <w:szCs w:val="24"/>
                <w:lang w:eastAsia="lv-LV"/>
              </w:rPr>
              <w:t xml:space="preserve">iestādēm </w:t>
            </w:r>
            <w:r w:rsidRPr="00D40E90">
              <w:rPr>
                <w:rFonts w:ascii="Times New Roman" w:eastAsia="Times New Roman" w:hAnsi="Times New Roman" w:cs="Times New Roman"/>
                <w:color w:val="000000" w:themeColor="text1"/>
                <w:sz w:val="24"/>
                <w:szCs w:val="24"/>
                <w:lang w:eastAsia="lv-LV"/>
              </w:rPr>
              <w:t>nerada papildu administratīvo slogu</w:t>
            </w:r>
            <w:r w:rsidR="00F24139">
              <w:rPr>
                <w:rFonts w:ascii="Times New Roman" w:eastAsia="Times New Roman" w:hAnsi="Times New Roman" w:cs="Times New Roman"/>
                <w:color w:val="000000" w:themeColor="text1"/>
                <w:sz w:val="24"/>
                <w:szCs w:val="24"/>
                <w:lang w:eastAsia="lv-LV"/>
              </w:rPr>
              <w:t xml:space="preserve"> un izmaksas</w:t>
            </w:r>
            <w:r w:rsidR="00DC3803">
              <w:rPr>
                <w:rFonts w:ascii="Times New Roman" w:eastAsia="Times New Roman" w:hAnsi="Times New Roman" w:cs="Times New Roman"/>
                <w:color w:val="000000" w:themeColor="text1"/>
                <w:sz w:val="24"/>
                <w:szCs w:val="24"/>
                <w:lang w:eastAsia="lv-LV"/>
              </w:rPr>
              <w:t>, jo</w:t>
            </w:r>
            <w:r w:rsidR="00282AB0">
              <w:rPr>
                <w:rFonts w:ascii="Times New Roman" w:eastAsia="Times New Roman" w:hAnsi="Times New Roman" w:cs="Times New Roman"/>
                <w:color w:val="000000" w:themeColor="text1"/>
                <w:sz w:val="24"/>
                <w:szCs w:val="24"/>
                <w:lang w:eastAsia="lv-LV"/>
              </w:rPr>
              <w:t xml:space="preserve"> </w:t>
            </w:r>
            <w:r w:rsidR="00282AB0" w:rsidRPr="00282AB0">
              <w:rPr>
                <w:rFonts w:ascii="Times New Roman" w:eastAsia="Times New Roman" w:hAnsi="Times New Roman" w:cs="Times New Roman"/>
                <w:color w:val="000000" w:themeColor="text1"/>
                <w:sz w:val="24"/>
                <w:szCs w:val="24"/>
                <w:lang w:eastAsia="lv-LV"/>
              </w:rPr>
              <w:t>neparedz būtiskas izmaiņas</w:t>
            </w:r>
            <w:r w:rsidR="00282AB0">
              <w:rPr>
                <w:rFonts w:ascii="Times New Roman" w:eastAsia="Times New Roman" w:hAnsi="Times New Roman" w:cs="Times New Roman"/>
                <w:color w:val="000000" w:themeColor="text1"/>
                <w:sz w:val="24"/>
                <w:szCs w:val="24"/>
                <w:lang w:eastAsia="lv-LV"/>
              </w:rPr>
              <w:t xml:space="preserve"> </w:t>
            </w:r>
            <w:r w:rsidR="00DC3803">
              <w:rPr>
                <w:rFonts w:ascii="Times New Roman" w:eastAsia="Times New Roman" w:hAnsi="Times New Roman" w:cs="Times New Roman"/>
                <w:color w:val="000000" w:themeColor="text1"/>
                <w:sz w:val="24"/>
                <w:szCs w:val="24"/>
                <w:lang w:eastAsia="lv-LV"/>
              </w:rPr>
              <w:t>salīdzin</w:t>
            </w:r>
            <w:r w:rsidR="00D573EE">
              <w:rPr>
                <w:rFonts w:ascii="Times New Roman" w:eastAsia="Times New Roman" w:hAnsi="Times New Roman" w:cs="Times New Roman"/>
                <w:color w:val="000000" w:themeColor="text1"/>
                <w:sz w:val="24"/>
                <w:szCs w:val="24"/>
                <w:lang w:eastAsia="lv-LV"/>
              </w:rPr>
              <w:t>ājumā</w:t>
            </w:r>
            <w:r w:rsidR="00DC3803">
              <w:rPr>
                <w:rFonts w:ascii="Times New Roman" w:eastAsia="Times New Roman" w:hAnsi="Times New Roman" w:cs="Times New Roman"/>
                <w:color w:val="000000" w:themeColor="text1"/>
                <w:sz w:val="24"/>
                <w:szCs w:val="24"/>
                <w:lang w:eastAsia="lv-LV"/>
              </w:rPr>
              <w:t xml:space="preserve"> ar spēkā esošajām prasībām</w:t>
            </w:r>
            <w:r w:rsidR="004B44CC">
              <w:rPr>
                <w:rFonts w:ascii="Times New Roman" w:eastAsia="Times New Roman" w:hAnsi="Times New Roman" w:cs="Times New Roman"/>
                <w:color w:val="000000" w:themeColor="text1"/>
                <w:sz w:val="24"/>
                <w:szCs w:val="24"/>
                <w:lang w:eastAsia="lv-LV"/>
              </w:rPr>
              <w:t>:</w:t>
            </w:r>
          </w:p>
          <w:p w14:paraId="11D54744" w14:textId="6765363A" w:rsidR="004B44CC" w:rsidRPr="001F6098" w:rsidRDefault="004B44CC" w:rsidP="00D573EE">
            <w:pPr>
              <w:pStyle w:val="Sarakstarindkopa"/>
              <w:numPr>
                <w:ilvl w:val="0"/>
                <w:numId w:val="6"/>
              </w:numPr>
              <w:tabs>
                <w:tab w:val="left" w:pos="287"/>
              </w:tabs>
              <w:spacing w:after="120" w:line="240" w:lineRule="auto"/>
              <w:ind w:left="0" w:firstLine="0"/>
              <w:jc w:val="both"/>
              <w:rPr>
                <w:rFonts w:ascii="Times New Roman" w:eastAsia="Times New Roman" w:hAnsi="Times New Roman" w:cs="Times New Roman"/>
                <w:color w:val="000000" w:themeColor="text1"/>
                <w:sz w:val="24"/>
                <w:szCs w:val="24"/>
                <w:lang w:eastAsia="lv-LV"/>
              </w:rPr>
            </w:pPr>
            <w:r w:rsidRPr="001F6098">
              <w:rPr>
                <w:rFonts w:ascii="Times New Roman" w:eastAsia="Times New Roman" w:hAnsi="Times New Roman" w:cs="Times New Roman"/>
                <w:color w:val="000000" w:themeColor="text1"/>
                <w:sz w:val="24"/>
                <w:szCs w:val="24"/>
                <w:lang w:eastAsia="lv-LV"/>
              </w:rPr>
              <w:t>n</w:t>
            </w:r>
            <w:r w:rsidR="00DC3803" w:rsidRPr="001F6098">
              <w:rPr>
                <w:rFonts w:ascii="Times New Roman" w:eastAsia="Times New Roman" w:hAnsi="Times New Roman" w:cs="Times New Roman"/>
                <w:color w:val="000000" w:themeColor="text1"/>
                <w:sz w:val="24"/>
                <w:szCs w:val="24"/>
                <w:lang w:eastAsia="lv-LV"/>
              </w:rPr>
              <w:t>oteikumu projektā</w:t>
            </w:r>
            <w:r w:rsidR="00282AB0" w:rsidRPr="001F6098">
              <w:rPr>
                <w:rFonts w:ascii="Times New Roman" w:eastAsia="Times New Roman" w:hAnsi="Times New Roman" w:cs="Times New Roman"/>
                <w:color w:val="000000" w:themeColor="text1"/>
                <w:sz w:val="24"/>
                <w:szCs w:val="24"/>
                <w:lang w:eastAsia="lv-LV"/>
              </w:rPr>
              <w:t xml:space="preserve"> </w:t>
            </w:r>
            <w:r w:rsidRPr="001F6098">
              <w:rPr>
                <w:rFonts w:ascii="Times New Roman" w:eastAsia="Times New Roman" w:hAnsi="Times New Roman" w:cs="Times New Roman"/>
                <w:color w:val="000000" w:themeColor="text1"/>
                <w:sz w:val="24"/>
                <w:szCs w:val="24"/>
                <w:lang w:eastAsia="lv-LV"/>
              </w:rPr>
              <w:t xml:space="preserve">ir atcelts ierobežojums iestādes risku kontroles un darbības atbilstības kontroles funkcijai atrasties </w:t>
            </w:r>
            <w:r w:rsidRPr="001F6098">
              <w:rPr>
                <w:rFonts w:ascii="Times New Roman" w:eastAsia="Times New Roman" w:hAnsi="Times New Roman" w:cs="Times New Roman"/>
                <w:color w:val="000000" w:themeColor="text1"/>
                <w:sz w:val="24"/>
                <w:szCs w:val="24"/>
                <w:lang w:eastAsia="lv-LV"/>
              </w:rPr>
              <w:lastRenderedPageBreak/>
              <w:t>valdes priekšsēdētāja padotībā</w:t>
            </w:r>
            <w:r w:rsidR="00F24139" w:rsidRPr="001F6098">
              <w:rPr>
                <w:rFonts w:ascii="Times New Roman" w:eastAsia="Times New Roman" w:hAnsi="Times New Roman" w:cs="Times New Roman"/>
                <w:color w:val="000000" w:themeColor="text1"/>
                <w:sz w:val="24"/>
                <w:szCs w:val="24"/>
                <w:lang w:eastAsia="lv-LV"/>
              </w:rPr>
              <w:t>, sniedzot lielāku iespēju iestādēm organizatoriskās struktūras veidošanā izmantot pieejamos resursus</w:t>
            </w:r>
            <w:r w:rsidRPr="001F6098">
              <w:rPr>
                <w:rFonts w:ascii="Times New Roman" w:eastAsia="Times New Roman" w:hAnsi="Times New Roman" w:cs="Times New Roman"/>
                <w:color w:val="000000" w:themeColor="text1"/>
                <w:sz w:val="24"/>
                <w:szCs w:val="24"/>
                <w:lang w:eastAsia="lv-LV"/>
              </w:rPr>
              <w:t>;</w:t>
            </w:r>
          </w:p>
          <w:p w14:paraId="52AA197C" w14:textId="4D3C0724" w:rsidR="00480CA4" w:rsidRPr="001F6098" w:rsidRDefault="00F24139" w:rsidP="00D573EE">
            <w:pPr>
              <w:pStyle w:val="Sarakstarindkopa"/>
              <w:numPr>
                <w:ilvl w:val="0"/>
                <w:numId w:val="6"/>
              </w:numPr>
              <w:tabs>
                <w:tab w:val="left" w:pos="287"/>
              </w:tabs>
              <w:spacing w:after="120" w:line="240" w:lineRule="auto"/>
              <w:ind w:left="0" w:firstLine="0"/>
              <w:jc w:val="both"/>
              <w:rPr>
                <w:rFonts w:ascii="Times New Roman" w:eastAsia="Times New Roman" w:hAnsi="Times New Roman" w:cs="Times New Roman"/>
                <w:color w:val="000000" w:themeColor="text1"/>
                <w:sz w:val="24"/>
                <w:szCs w:val="24"/>
                <w:lang w:eastAsia="lv-LV"/>
              </w:rPr>
            </w:pPr>
            <w:r w:rsidRPr="001F6098">
              <w:rPr>
                <w:rFonts w:ascii="Times New Roman" w:eastAsia="Times New Roman" w:hAnsi="Times New Roman" w:cs="Times New Roman"/>
                <w:color w:val="000000" w:themeColor="text1"/>
                <w:sz w:val="24"/>
                <w:szCs w:val="24"/>
                <w:lang w:eastAsia="lv-LV"/>
              </w:rPr>
              <w:t>p</w:t>
            </w:r>
            <w:r w:rsidR="0016040C" w:rsidRPr="001F6098">
              <w:rPr>
                <w:rFonts w:ascii="Times New Roman" w:eastAsia="Times New Roman" w:hAnsi="Times New Roman" w:cs="Times New Roman"/>
                <w:color w:val="000000" w:themeColor="text1"/>
                <w:sz w:val="24"/>
                <w:szCs w:val="24"/>
                <w:lang w:eastAsia="lv-LV"/>
              </w:rPr>
              <w:t>ārskatu par dažādības politiku un praksi</w:t>
            </w:r>
            <w:r w:rsidRPr="001F6098">
              <w:rPr>
                <w:rFonts w:ascii="Times New Roman" w:eastAsia="Times New Roman" w:hAnsi="Times New Roman" w:cs="Times New Roman"/>
                <w:color w:val="000000" w:themeColor="text1"/>
                <w:sz w:val="24"/>
                <w:szCs w:val="24"/>
                <w:lang w:eastAsia="lv-LV"/>
              </w:rPr>
              <w:t xml:space="preserve">, pamatojoties uz </w:t>
            </w:r>
            <w:r w:rsidR="005E7221" w:rsidRPr="001F6098">
              <w:rPr>
                <w:rFonts w:ascii="Times New Roman" w:eastAsia="Times New Roman" w:hAnsi="Times New Roman" w:cs="Times New Roman"/>
                <w:color w:val="000000" w:themeColor="text1"/>
                <w:sz w:val="24"/>
                <w:szCs w:val="24"/>
                <w:lang w:eastAsia="lv-LV"/>
              </w:rPr>
              <w:t>rakst</w:t>
            </w:r>
            <w:r w:rsidR="00F05A53">
              <w:rPr>
                <w:rFonts w:ascii="Times New Roman" w:eastAsia="Times New Roman" w:hAnsi="Times New Roman" w:cs="Times New Roman"/>
                <w:color w:val="000000" w:themeColor="text1"/>
                <w:sz w:val="24"/>
                <w:szCs w:val="24"/>
                <w:lang w:eastAsia="lv-LV"/>
              </w:rPr>
              <w:t>veida</w:t>
            </w:r>
            <w:r w:rsidR="005E7221" w:rsidRPr="001F6098">
              <w:rPr>
                <w:rFonts w:ascii="Times New Roman" w:eastAsia="Times New Roman" w:hAnsi="Times New Roman" w:cs="Times New Roman"/>
                <w:color w:val="000000" w:themeColor="text1"/>
                <w:sz w:val="24"/>
                <w:szCs w:val="24"/>
                <w:lang w:eastAsia="lv-LV"/>
              </w:rPr>
              <w:t xml:space="preserve"> </w:t>
            </w:r>
            <w:r w:rsidRPr="001F6098">
              <w:rPr>
                <w:rFonts w:ascii="Times New Roman" w:eastAsia="Times New Roman" w:hAnsi="Times New Roman" w:cs="Times New Roman"/>
                <w:color w:val="000000" w:themeColor="text1"/>
                <w:sz w:val="24"/>
                <w:szCs w:val="24"/>
                <w:lang w:eastAsia="lv-LV"/>
              </w:rPr>
              <w:t>informācijas pieprasījumu</w:t>
            </w:r>
            <w:r w:rsidR="00480CA4" w:rsidRPr="001F6098">
              <w:rPr>
                <w:rFonts w:ascii="Times New Roman" w:eastAsia="Times New Roman" w:hAnsi="Times New Roman" w:cs="Times New Roman"/>
                <w:color w:val="000000" w:themeColor="text1"/>
                <w:sz w:val="24"/>
                <w:szCs w:val="24"/>
                <w:lang w:eastAsia="lv-LV"/>
              </w:rPr>
              <w:t xml:space="preserve">, </w:t>
            </w:r>
            <w:r w:rsidR="0016040C" w:rsidRPr="001F6098">
              <w:rPr>
                <w:rFonts w:ascii="Times New Roman" w:eastAsia="Times New Roman" w:hAnsi="Times New Roman" w:cs="Times New Roman"/>
                <w:color w:val="000000" w:themeColor="text1"/>
                <w:sz w:val="24"/>
                <w:szCs w:val="24"/>
                <w:lang w:eastAsia="lv-LV"/>
              </w:rPr>
              <w:t xml:space="preserve">iestādes </w:t>
            </w:r>
            <w:r w:rsidRPr="001F6098">
              <w:rPr>
                <w:rFonts w:ascii="Times New Roman" w:eastAsia="Times New Roman" w:hAnsi="Times New Roman" w:cs="Times New Roman"/>
                <w:color w:val="000000" w:themeColor="text1"/>
                <w:sz w:val="24"/>
                <w:szCs w:val="24"/>
                <w:lang w:eastAsia="lv-LV"/>
              </w:rPr>
              <w:t xml:space="preserve">jau </w:t>
            </w:r>
            <w:r w:rsidR="0016040C" w:rsidRPr="001F6098">
              <w:rPr>
                <w:rFonts w:ascii="Times New Roman" w:eastAsia="Times New Roman" w:hAnsi="Times New Roman" w:cs="Times New Roman"/>
                <w:color w:val="000000" w:themeColor="text1"/>
                <w:sz w:val="24"/>
                <w:szCs w:val="24"/>
                <w:lang w:eastAsia="lv-LV"/>
              </w:rPr>
              <w:t xml:space="preserve">ir </w:t>
            </w:r>
            <w:r w:rsidRPr="001F6098">
              <w:rPr>
                <w:rFonts w:ascii="Times New Roman" w:eastAsia="Times New Roman" w:hAnsi="Times New Roman" w:cs="Times New Roman"/>
                <w:color w:val="000000" w:themeColor="text1"/>
                <w:sz w:val="24"/>
                <w:szCs w:val="24"/>
                <w:lang w:eastAsia="lv-LV"/>
              </w:rPr>
              <w:t xml:space="preserve">sniegušas </w:t>
            </w:r>
            <w:r w:rsidR="0016040C" w:rsidRPr="001F6098">
              <w:rPr>
                <w:rFonts w:ascii="Times New Roman" w:eastAsia="Times New Roman" w:hAnsi="Times New Roman" w:cs="Times New Roman"/>
                <w:color w:val="000000" w:themeColor="text1"/>
                <w:sz w:val="24"/>
                <w:szCs w:val="24"/>
                <w:lang w:eastAsia="lv-LV"/>
              </w:rPr>
              <w:t>2021.</w:t>
            </w:r>
            <w:r w:rsidR="00235E50">
              <w:rPr>
                <w:rFonts w:ascii="Times New Roman" w:eastAsia="Times New Roman" w:hAnsi="Times New Roman" w:cs="Times New Roman"/>
                <w:color w:val="000000" w:themeColor="text1"/>
                <w:sz w:val="24"/>
                <w:szCs w:val="24"/>
                <w:lang w:eastAsia="lv-LV"/>
              </w:rPr>
              <w:t> </w:t>
            </w:r>
            <w:r w:rsidR="0016040C" w:rsidRPr="001F6098">
              <w:rPr>
                <w:rFonts w:ascii="Times New Roman" w:eastAsia="Times New Roman" w:hAnsi="Times New Roman" w:cs="Times New Roman"/>
                <w:color w:val="000000" w:themeColor="text1"/>
                <w:sz w:val="24"/>
                <w:szCs w:val="24"/>
                <w:lang w:eastAsia="lv-LV"/>
              </w:rPr>
              <w:t>gadā un 2018.</w:t>
            </w:r>
            <w:r w:rsidR="00235E50">
              <w:rPr>
                <w:rFonts w:ascii="Times New Roman" w:eastAsia="Times New Roman" w:hAnsi="Times New Roman" w:cs="Times New Roman"/>
                <w:color w:val="000000" w:themeColor="text1"/>
                <w:sz w:val="24"/>
                <w:szCs w:val="24"/>
                <w:lang w:eastAsia="lv-LV"/>
              </w:rPr>
              <w:t> </w:t>
            </w:r>
            <w:r w:rsidR="0016040C" w:rsidRPr="001F6098">
              <w:rPr>
                <w:rFonts w:ascii="Times New Roman" w:eastAsia="Times New Roman" w:hAnsi="Times New Roman" w:cs="Times New Roman"/>
                <w:color w:val="000000" w:themeColor="text1"/>
                <w:sz w:val="24"/>
                <w:szCs w:val="24"/>
                <w:lang w:eastAsia="lv-LV"/>
              </w:rPr>
              <w:t xml:space="preserve">gadā. </w:t>
            </w:r>
            <w:r w:rsidRPr="001F6098">
              <w:rPr>
                <w:rFonts w:ascii="Times New Roman" w:eastAsia="Times New Roman" w:hAnsi="Times New Roman" w:cs="Times New Roman"/>
                <w:color w:val="000000" w:themeColor="text1"/>
                <w:sz w:val="24"/>
                <w:szCs w:val="24"/>
                <w:lang w:eastAsia="lv-LV"/>
              </w:rPr>
              <w:t>Stājoties spēkā</w:t>
            </w:r>
            <w:r w:rsidR="00480CA4">
              <w:t xml:space="preserve"> </w:t>
            </w:r>
            <w:r w:rsidR="00480CA4" w:rsidRPr="001F6098">
              <w:rPr>
                <w:rFonts w:ascii="Times New Roman" w:eastAsia="Times New Roman" w:hAnsi="Times New Roman" w:cs="Times New Roman"/>
                <w:color w:val="000000" w:themeColor="text1"/>
                <w:sz w:val="24"/>
                <w:szCs w:val="24"/>
                <w:lang w:eastAsia="lv-LV"/>
              </w:rPr>
              <w:t>pamatnostādnēm Nr.</w:t>
            </w:r>
            <w:r w:rsidR="00235E50">
              <w:rPr>
                <w:rFonts w:ascii="Times New Roman" w:eastAsia="Times New Roman" w:hAnsi="Times New Roman" w:cs="Times New Roman"/>
                <w:color w:val="000000" w:themeColor="text1"/>
                <w:sz w:val="24"/>
                <w:szCs w:val="24"/>
                <w:lang w:eastAsia="lv-LV"/>
              </w:rPr>
              <w:t> </w:t>
            </w:r>
            <w:r w:rsidR="00480CA4" w:rsidRPr="001F6098">
              <w:rPr>
                <w:rFonts w:ascii="Times New Roman" w:eastAsia="Times New Roman" w:hAnsi="Times New Roman" w:cs="Times New Roman"/>
                <w:color w:val="000000" w:themeColor="text1"/>
                <w:sz w:val="24"/>
                <w:szCs w:val="24"/>
                <w:lang w:eastAsia="lv-LV"/>
              </w:rPr>
              <w:t>EBA/GL/2023/08</w:t>
            </w:r>
            <w:r w:rsidR="00D573EE">
              <w:rPr>
                <w:rFonts w:ascii="Times New Roman" w:eastAsia="Times New Roman" w:hAnsi="Times New Roman" w:cs="Times New Roman"/>
                <w:color w:val="000000" w:themeColor="text1"/>
                <w:sz w:val="24"/>
                <w:szCs w:val="24"/>
                <w:lang w:eastAsia="lv-LV"/>
              </w:rPr>
              <w:t>,</w:t>
            </w:r>
            <w:r w:rsidRPr="001F6098">
              <w:rPr>
                <w:rFonts w:ascii="Times New Roman" w:eastAsia="Times New Roman" w:hAnsi="Times New Roman" w:cs="Times New Roman"/>
                <w:color w:val="000000" w:themeColor="text1"/>
                <w:sz w:val="24"/>
                <w:szCs w:val="24"/>
                <w:lang w:eastAsia="lv-LV"/>
              </w:rPr>
              <w:t xml:space="preserve"> </w:t>
            </w:r>
            <w:r w:rsidR="00480CA4" w:rsidRPr="001F6098">
              <w:rPr>
                <w:rFonts w:ascii="Times New Roman" w:eastAsia="Times New Roman" w:hAnsi="Times New Roman" w:cs="Times New Roman"/>
                <w:color w:val="000000" w:themeColor="text1"/>
                <w:sz w:val="24"/>
                <w:szCs w:val="24"/>
                <w:lang w:eastAsia="lv-LV"/>
              </w:rPr>
              <w:t>š</w:t>
            </w:r>
            <w:r w:rsidR="00D573EE">
              <w:rPr>
                <w:rFonts w:ascii="Times New Roman" w:eastAsia="Times New Roman" w:hAnsi="Times New Roman" w:cs="Times New Roman"/>
                <w:color w:val="000000" w:themeColor="text1"/>
                <w:sz w:val="24"/>
                <w:szCs w:val="24"/>
                <w:lang w:eastAsia="lv-LV"/>
              </w:rPr>
              <w:t>ā</w:t>
            </w:r>
            <w:r w:rsidR="00480CA4" w:rsidRPr="001F6098">
              <w:rPr>
                <w:rFonts w:ascii="Times New Roman" w:eastAsia="Times New Roman" w:hAnsi="Times New Roman" w:cs="Times New Roman"/>
                <w:color w:val="000000" w:themeColor="text1"/>
                <w:sz w:val="24"/>
                <w:szCs w:val="24"/>
                <w:lang w:eastAsia="lv-LV"/>
              </w:rPr>
              <w:t xml:space="preserve"> pārskata sniegšanas prasības ir iekļautas noteikumu projektā, saglabājot </w:t>
            </w:r>
            <w:r w:rsidR="00D573EE">
              <w:rPr>
                <w:rFonts w:ascii="Times New Roman" w:eastAsia="Times New Roman" w:hAnsi="Times New Roman" w:cs="Times New Roman"/>
                <w:color w:val="000000" w:themeColor="text1"/>
                <w:sz w:val="24"/>
                <w:szCs w:val="24"/>
                <w:lang w:eastAsia="lv-LV"/>
              </w:rPr>
              <w:t xml:space="preserve">līdzšinējo </w:t>
            </w:r>
            <w:r w:rsidR="00480CA4" w:rsidRPr="001F6098">
              <w:rPr>
                <w:rFonts w:ascii="Times New Roman" w:eastAsia="Times New Roman" w:hAnsi="Times New Roman" w:cs="Times New Roman"/>
                <w:color w:val="000000" w:themeColor="text1"/>
                <w:sz w:val="24"/>
                <w:szCs w:val="24"/>
                <w:lang w:eastAsia="lv-LV"/>
              </w:rPr>
              <w:t>pārskatā iekļaujamās informācijas apjomu</w:t>
            </w:r>
            <w:r w:rsidR="005E7221" w:rsidRPr="001F6098">
              <w:rPr>
                <w:rFonts w:ascii="Times New Roman" w:eastAsia="Times New Roman" w:hAnsi="Times New Roman" w:cs="Times New Roman"/>
                <w:color w:val="000000" w:themeColor="text1"/>
                <w:sz w:val="24"/>
                <w:szCs w:val="24"/>
                <w:lang w:eastAsia="lv-LV"/>
              </w:rPr>
              <w:t xml:space="preserve"> un nosakot informācijas iesniegšanas prasības</w:t>
            </w:r>
            <w:r w:rsidR="00480CA4" w:rsidRPr="001F6098">
              <w:rPr>
                <w:rFonts w:ascii="Times New Roman" w:eastAsia="Times New Roman" w:hAnsi="Times New Roman" w:cs="Times New Roman"/>
                <w:color w:val="000000" w:themeColor="text1"/>
                <w:sz w:val="24"/>
                <w:szCs w:val="24"/>
                <w:lang w:eastAsia="lv-LV"/>
              </w:rPr>
              <w:t>;</w:t>
            </w:r>
          </w:p>
          <w:p w14:paraId="7CCF9550" w14:textId="4A792EE4" w:rsidR="0016040C" w:rsidRDefault="003E57BA" w:rsidP="00D573EE">
            <w:pPr>
              <w:pStyle w:val="Sarakstarindkopa"/>
              <w:numPr>
                <w:ilvl w:val="0"/>
                <w:numId w:val="6"/>
              </w:numPr>
              <w:tabs>
                <w:tab w:val="left" w:pos="287"/>
              </w:tabs>
              <w:spacing w:after="120" w:line="240" w:lineRule="auto"/>
              <w:ind w:left="0" w:firstLine="0"/>
              <w:jc w:val="both"/>
              <w:rPr>
                <w:rFonts w:ascii="Times New Roman" w:eastAsia="Times New Roman" w:hAnsi="Times New Roman" w:cs="Times New Roman"/>
                <w:color w:val="000000" w:themeColor="text1"/>
                <w:sz w:val="24"/>
                <w:szCs w:val="24"/>
                <w:lang w:eastAsia="lv-LV"/>
              </w:rPr>
            </w:pPr>
            <w:r w:rsidRPr="001F6098">
              <w:rPr>
                <w:rFonts w:ascii="Times New Roman" w:eastAsia="Times New Roman" w:hAnsi="Times New Roman" w:cs="Times New Roman"/>
                <w:color w:val="000000" w:themeColor="text1"/>
                <w:sz w:val="24"/>
                <w:szCs w:val="24"/>
                <w:lang w:eastAsia="lv-LV"/>
              </w:rPr>
              <w:t>Latvijas Banka 2024.</w:t>
            </w:r>
            <w:r w:rsidR="00235E50">
              <w:rPr>
                <w:rFonts w:ascii="Times New Roman" w:eastAsia="Times New Roman" w:hAnsi="Times New Roman" w:cs="Times New Roman"/>
                <w:color w:val="000000" w:themeColor="text1"/>
                <w:sz w:val="24"/>
                <w:szCs w:val="24"/>
                <w:lang w:eastAsia="lv-LV"/>
              </w:rPr>
              <w:t> </w:t>
            </w:r>
            <w:r w:rsidRPr="001F6098">
              <w:rPr>
                <w:rFonts w:ascii="Times New Roman" w:eastAsia="Times New Roman" w:hAnsi="Times New Roman" w:cs="Times New Roman"/>
                <w:color w:val="000000" w:themeColor="text1"/>
                <w:sz w:val="24"/>
                <w:szCs w:val="24"/>
                <w:lang w:eastAsia="lv-LV"/>
              </w:rPr>
              <w:t>gada 9.</w:t>
            </w:r>
            <w:r w:rsidR="00235E50">
              <w:rPr>
                <w:rFonts w:ascii="Times New Roman" w:eastAsia="Times New Roman" w:hAnsi="Times New Roman" w:cs="Times New Roman"/>
                <w:color w:val="000000" w:themeColor="text1"/>
                <w:sz w:val="24"/>
                <w:szCs w:val="24"/>
                <w:lang w:eastAsia="lv-LV"/>
              </w:rPr>
              <w:t> </w:t>
            </w:r>
            <w:r w:rsidRPr="001F6098">
              <w:rPr>
                <w:rFonts w:ascii="Times New Roman" w:eastAsia="Times New Roman" w:hAnsi="Times New Roman" w:cs="Times New Roman"/>
                <w:color w:val="000000" w:themeColor="text1"/>
                <w:sz w:val="24"/>
                <w:szCs w:val="24"/>
                <w:lang w:eastAsia="lv-LV"/>
              </w:rPr>
              <w:t xml:space="preserve">janvārī savā </w:t>
            </w:r>
            <w:r w:rsidR="00D573EE">
              <w:rPr>
                <w:rFonts w:ascii="Times New Roman" w:eastAsia="Times New Roman" w:hAnsi="Times New Roman" w:cs="Times New Roman"/>
                <w:color w:val="000000" w:themeColor="text1"/>
                <w:sz w:val="24"/>
                <w:szCs w:val="24"/>
                <w:lang w:eastAsia="lv-LV"/>
              </w:rPr>
              <w:t>tīmekļvietnē</w:t>
            </w:r>
            <w:r w:rsidR="00D573EE" w:rsidRPr="001F6098">
              <w:rPr>
                <w:rFonts w:ascii="Times New Roman" w:eastAsia="Times New Roman" w:hAnsi="Times New Roman" w:cs="Times New Roman"/>
                <w:color w:val="000000" w:themeColor="text1"/>
                <w:sz w:val="24"/>
                <w:szCs w:val="24"/>
                <w:lang w:eastAsia="lv-LV"/>
              </w:rPr>
              <w:t xml:space="preserve"> </w:t>
            </w:r>
            <w:r w:rsidRPr="001F6098">
              <w:rPr>
                <w:rFonts w:ascii="Times New Roman" w:eastAsia="Times New Roman" w:hAnsi="Times New Roman" w:cs="Times New Roman"/>
                <w:color w:val="000000" w:themeColor="text1"/>
                <w:sz w:val="24"/>
                <w:szCs w:val="24"/>
                <w:lang w:eastAsia="lv-LV"/>
              </w:rPr>
              <w:t xml:space="preserve">ir </w:t>
            </w:r>
            <w:r w:rsidRPr="001B1059">
              <w:rPr>
                <w:rFonts w:ascii="Times New Roman" w:eastAsia="Times New Roman" w:hAnsi="Times New Roman" w:cs="Times New Roman"/>
                <w:color w:val="000000" w:themeColor="text1"/>
                <w:sz w:val="24"/>
                <w:szCs w:val="24"/>
                <w:lang w:eastAsia="lv-LV"/>
              </w:rPr>
              <w:t xml:space="preserve">publicējusi </w:t>
            </w:r>
            <w:hyperlink r:id="rId12" w:history="1">
              <w:r w:rsidRPr="001B1059">
                <w:rPr>
                  <w:rStyle w:val="Hipersaite"/>
                  <w:rFonts w:ascii="Times New Roman" w:eastAsia="Times New Roman" w:hAnsi="Times New Roman" w:cs="Times New Roman"/>
                  <w:color w:val="auto"/>
                  <w:sz w:val="24"/>
                  <w:szCs w:val="24"/>
                  <w:u w:val="none"/>
                  <w:lang w:eastAsia="lv-LV"/>
                </w:rPr>
                <w:t>apkopotu informāciju par aktuālo situāciju un labo praksi Latvijas kredītiestāžu sektorā, kā arī sniegusi ieteikumus un informējusi par uzrauga gaidām dažādības politikas īstenošanas jomā</w:t>
              </w:r>
            </w:hyperlink>
            <w:r w:rsidRPr="001B1059">
              <w:rPr>
                <w:rFonts w:ascii="Times New Roman" w:eastAsia="Times New Roman" w:hAnsi="Times New Roman" w:cs="Times New Roman"/>
                <w:sz w:val="24"/>
                <w:szCs w:val="24"/>
                <w:lang w:eastAsia="lv-LV"/>
              </w:rPr>
              <w:t>, tai skaitā</w:t>
            </w:r>
            <w:r w:rsidRPr="001F6098">
              <w:rPr>
                <w:rFonts w:ascii="Times New Roman" w:eastAsia="Times New Roman" w:hAnsi="Times New Roman" w:cs="Times New Roman"/>
                <w:color w:val="000000" w:themeColor="text1"/>
                <w:sz w:val="24"/>
                <w:szCs w:val="24"/>
                <w:lang w:eastAsia="lv-LV"/>
              </w:rPr>
              <w:t xml:space="preserve"> </w:t>
            </w:r>
            <w:r w:rsidR="001F6098" w:rsidRPr="001F6098">
              <w:rPr>
                <w:rFonts w:ascii="Times New Roman" w:eastAsia="Times New Roman" w:hAnsi="Times New Roman" w:cs="Times New Roman"/>
                <w:color w:val="000000" w:themeColor="text1"/>
                <w:sz w:val="24"/>
                <w:szCs w:val="24"/>
                <w:lang w:eastAsia="lv-LV"/>
              </w:rPr>
              <w:t xml:space="preserve">publikācijā </w:t>
            </w:r>
            <w:r w:rsidRPr="001F6098">
              <w:rPr>
                <w:rFonts w:ascii="Times New Roman" w:eastAsia="Times New Roman" w:hAnsi="Times New Roman" w:cs="Times New Roman"/>
                <w:color w:val="000000" w:themeColor="text1"/>
                <w:sz w:val="24"/>
                <w:szCs w:val="24"/>
                <w:lang w:eastAsia="lv-LV"/>
              </w:rPr>
              <w:t xml:space="preserve">akcentēta </w:t>
            </w:r>
            <w:r w:rsidR="001F6098" w:rsidRPr="001F6098">
              <w:rPr>
                <w:rFonts w:ascii="Times New Roman" w:eastAsia="Times New Roman" w:hAnsi="Times New Roman" w:cs="Times New Roman"/>
                <w:color w:val="000000" w:themeColor="text1"/>
                <w:sz w:val="24"/>
                <w:szCs w:val="24"/>
                <w:lang w:eastAsia="lv-LV"/>
              </w:rPr>
              <w:t xml:space="preserve">neatkarīgu padomes locekļu loma labas pārvaldības nodrošināšanā </w:t>
            </w:r>
            <w:r w:rsidR="00D573EE">
              <w:rPr>
                <w:rFonts w:ascii="Times New Roman" w:eastAsia="Times New Roman" w:hAnsi="Times New Roman" w:cs="Times New Roman"/>
                <w:color w:val="000000" w:themeColor="text1"/>
                <w:sz w:val="24"/>
                <w:szCs w:val="24"/>
                <w:lang w:eastAsia="lv-LV"/>
              </w:rPr>
              <w:t xml:space="preserve">attiecībā uz </w:t>
            </w:r>
            <w:r w:rsidRPr="001F6098">
              <w:rPr>
                <w:rFonts w:ascii="Times New Roman" w:eastAsia="Times New Roman" w:hAnsi="Times New Roman" w:cs="Times New Roman"/>
                <w:color w:val="000000" w:themeColor="text1"/>
                <w:sz w:val="24"/>
                <w:szCs w:val="24"/>
                <w:lang w:eastAsia="lv-LV"/>
              </w:rPr>
              <w:t xml:space="preserve">padomes </w:t>
            </w:r>
            <w:r w:rsidR="001F6098" w:rsidRPr="001F6098">
              <w:rPr>
                <w:rFonts w:ascii="Times New Roman" w:eastAsia="Times New Roman" w:hAnsi="Times New Roman" w:cs="Times New Roman"/>
                <w:color w:val="000000" w:themeColor="text1"/>
                <w:sz w:val="24"/>
                <w:szCs w:val="24"/>
                <w:lang w:eastAsia="lv-LV"/>
              </w:rPr>
              <w:t>funkciju veikšan</w:t>
            </w:r>
            <w:r w:rsidR="00D573EE">
              <w:rPr>
                <w:rFonts w:ascii="Times New Roman" w:eastAsia="Times New Roman" w:hAnsi="Times New Roman" w:cs="Times New Roman"/>
                <w:color w:val="000000" w:themeColor="text1"/>
                <w:sz w:val="24"/>
                <w:szCs w:val="24"/>
                <w:lang w:eastAsia="lv-LV"/>
              </w:rPr>
              <w:t>u</w:t>
            </w:r>
            <w:r w:rsidR="001F6098" w:rsidRPr="001F6098">
              <w:rPr>
                <w:rFonts w:ascii="Times New Roman" w:eastAsia="Times New Roman" w:hAnsi="Times New Roman" w:cs="Times New Roman"/>
                <w:color w:val="000000" w:themeColor="text1"/>
                <w:sz w:val="24"/>
                <w:szCs w:val="24"/>
                <w:lang w:eastAsia="lv-LV"/>
              </w:rPr>
              <w:t>.</w:t>
            </w:r>
            <w:r w:rsidRPr="001F6098">
              <w:rPr>
                <w:rFonts w:ascii="Times New Roman" w:eastAsia="Times New Roman" w:hAnsi="Times New Roman" w:cs="Times New Roman"/>
                <w:color w:val="000000" w:themeColor="text1"/>
                <w:sz w:val="24"/>
                <w:szCs w:val="24"/>
                <w:lang w:eastAsia="lv-LV"/>
              </w:rPr>
              <w:t xml:space="preserve"> </w:t>
            </w:r>
            <w:r w:rsidR="00036379" w:rsidRPr="001F6098">
              <w:rPr>
                <w:rFonts w:ascii="Times New Roman" w:eastAsia="Times New Roman" w:hAnsi="Times New Roman" w:cs="Times New Roman"/>
                <w:color w:val="000000" w:themeColor="text1"/>
                <w:sz w:val="24"/>
                <w:szCs w:val="24"/>
                <w:lang w:eastAsia="lv-LV"/>
              </w:rPr>
              <w:t>2023.</w:t>
            </w:r>
            <w:r w:rsidR="00235E50">
              <w:rPr>
                <w:rFonts w:ascii="Times New Roman" w:eastAsia="Times New Roman" w:hAnsi="Times New Roman" w:cs="Times New Roman"/>
                <w:color w:val="000000" w:themeColor="text1"/>
                <w:sz w:val="24"/>
                <w:szCs w:val="24"/>
                <w:lang w:eastAsia="lv-LV"/>
              </w:rPr>
              <w:t> </w:t>
            </w:r>
            <w:r w:rsidR="00036379" w:rsidRPr="001F6098">
              <w:rPr>
                <w:rFonts w:ascii="Times New Roman" w:eastAsia="Times New Roman" w:hAnsi="Times New Roman" w:cs="Times New Roman"/>
                <w:color w:val="000000" w:themeColor="text1"/>
                <w:sz w:val="24"/>
                <w:szCs w:val="24"/>
                <w:lang w:eastAsia="lv-LV"/>
              </w:rPr>
              <w:t>gadā notika tikšanās ar iestāžu pārstāvjiem, kuras laikā tika pārrunāta sagaidāmā rīcība un iespēja iestādēs, kuras nav nozīmīgas</w:t>
            </w:r>
            <w:r w:rsidR="00D573EE">
              <w:rPr>
                <w:rFonts w:ascii="Times New Roman" w:eastAsia="Times New Roman" w:hAnsi="Times New Roman" w:cs="Times New Roman"/>
                <w:color w:val="000000" w:themeColor="text1"/>
                <w:sz w:val="24"/>
                <w:szCs w:val="24"/>
                <w:lang w:eastAsia="lv-LV"/>
              </w:rPr>
              <w:t xml:space="preserve"> iestādes,</w:t>
            </w:r>
            <w:r w:rsidR="00036379" w:rsidRPr="001F6098">
              <w:rPr>
                <w:rFonts w:ascii="Times New Roman" w:eastAsia="Times New Roman" w:hAnsi="Times New Roman" w:cs="Times New Roman"/>
                <w:color w:val="000000" w:themeColor="text1"/>
                <w:sz w:val="24"/>
                <w:szCs w:val="24"/>
                <w:lang w:eastAsia="lv-LV"/>
              </w:rPr>
              <w:t xml:space="preserve"> iecelt neatkarīgu padomes locekli.</w:t>
            </w:r>
            <w:r w:rsidR="001F6098" w:rsidRPr="001F6098">
              <w:rPr>
                <w:rFonts w:ascii="Times New Roman" w:eastAsia="Times New Roman" w:hAnsi="Times New Roman" w:cs="Times New Roman"/>
                <w:color w:val="000000" w:themeColor="text1"/>
                <w:sz w:val="24"/>
                <w:szCs w:val="24"/>
                <w:lang w:eastAsia="lv-LV"/>
              </w:rPr>
              <w:t xml:space="preserve"> Pašlaik tikai viena kredītiestāde nav nodrošinājusi </w:t>
            </w:r>
            <w:r w:rsidR="003C13A5">
              <w:rPr>
                <w:rFonts w:ascii="Times New Roman" w:eastAsia="Times New Roman" w:hAnsi="Times New Roman" w:cs="Times New Roman"/>
                <w:color w:val="000000" w:themeColor="text1"/>
                <w:sz w:val="24"/>
                <w:szCs w:val="24"/>
                <w:lang w:eastAsia="lv-LV"/>
              </w:rPr>
              <w:t xml:space="preserve">minētās </w:t>
            </w:r>
            <w:r w:rsidR="001F6098" w:rsidRPr="001F6098">
              <w:rPr>
                <w:rFonts w:ascii="Times New Roman" w:eastAsia="Times New Roman" w:hAnsi="Times New Roman" w:cs="Times New Roman"/>
                <w:color w:val="000000" w:themeColor="text1"/>
                <w:sz w:val="24"/>
                <w:szCs w:val="24"/>
                <w:lang w:eastAsia="lv-LV"/>
              </w:rPr>
              <w:t>prasības izpildi</w:t>
            </w:r>
            <w:r w:rsidR="001B1059">
              <w:rPr>
                <w:rFonts w:ascii="Times New Roman" w:eastAsia="Times New Roman" w:hAnsi="Times New Roman" w:cs="Times New Roman"/>
                <w:color w:val="000000" w:themeColor="text1"/>
                <w:sz w:val="24"/>
                <w:szCs w:val="24"/>
                <w:lang w:eastAsia="lv-LV"/>
              </w:rPr>
              <w:t>;</w:t>
            </w:r>
          </w:p>
          <w:p w14:paraId="631B2906" w14:textId="344D3D7F" w:rsidR="0096538A" w:rsidRPr="0096538A" w:rsidRDefault="001B1059" w:rsidP="001B1059">
            <w:pPr>
              <w:pStyle w:val="Sarakstarindkopa"/>
              <w:numPr>
                <w:ilvl w:val="0"/>
                <w:numId w:val="6"/>
              </w:numPr>
              <w:tabs>
                <w:tab w:val="left" w:pos="287"/>
              </w:tabs>
              <w:spacing w:after="120" w:line="240" w:lineRule="auto"/>
              <w:ind w:left="0" w:firstLine="0"/>
              <w:jc w:val="both"/>
              <w:rPr>
                <w:rFonts w:ascii="Times New Roman" w:eastAsia="Times New Roman" w:hAnsi="Times New Roman" w:cs="Times New Roman"/>
                <w:color w:val="000000" w:themeColor="text1"/>
                <w:sz w:val="24"/>
                <w:szCs w:val="24"/>
                <w:lang w:eastAsia="lv-LV"/>
              </w:rPr>
            </w:pPr>
            <w:bookmarkStart w:id="6" w:name="_Hlk178239437"/>
            <w:r>
              <w:rPr>
                <w:rFonts w:ascii="Times New Roman" w:eastAsia="Times New Roman" w:hAnsi="Times New Roman" w:cs="Times New Roman"/>
                <w:color w:val="000000" w:themeColor="text1"/>
                <w:sz w:val="24"/>
                <w:szCs w:val="24"/>
                <w:lang w:eastAsia="lv-LV"/>
              </w:rPr>
              <w:t>i</w:t>
            </w:r>
            <w:r w:rsidR="0096538A" w:rsidRPr="0096538A">
              <w:rPr>
                <w:rFonts w:ascii="Times New Roman" w:eastAsia="Times New Roman" w:hAnsi="Times New Roman" w:cs="Times New Roman"/>
                <w:color w:val="000000" w:themeColor="text1"/>
                <w:sz w:val="24"/>
                <w:szCs w:val="24"/>
                <w:lang w:eastAsia="lv-LV"/>
              </w:rPr>
              <w:t>estādes iekšējā audita funkcija ir viens no galvenajiem iekšējās kontroles sistēmas elementiem, tās uzdevums ir sniegt neatkarīgu viedokli par iestādes darbības efektivitāti un konstatēto nepilnību gadījumā sniegt ieteikumus nepieciešamajiem uzlabojumiem.</w:t>
            </w:r>
          </w:p>
          <w:p w14:paraId="2401A59F" w14:textId="3B808AF7" w:rsidR="0096538A" w:rsidRPr="0096538A" w:rsidRDefault="0096538A" w:rsidP="006E5C0D">
            <w:pPr>
              <w:pStyle w:val="Sarakstarindkopa"/>
              <w:tabs>
                <w:tab w:val="left" w:pos="287"/>
              </w:tabs>
              <w:spacing w:after="120" w:line="240" w:lineRule="auto"/>
              <w:ind w:left="0"/>
              <w:jc w:val="both"/>
              <w:rPr>
                <w:rFonts w:ascii="Times New Roman" w:eastAsia="Times New Roman" w:hAnsi="Times New Roman" w:cs="Times New Roman"/>
                <w:color w:val="000000" w:themeColor="text1"/>
                <w:sz w:val="24"/>
                <w:szCs w:val="24"/>
                <w:lang w:eastAsia="lv-LV"/>
              </w:rPr>
            </w:pPr>
            <w:r w:rsidRPr="0096538A">
              <w:rPr>
                <w:rFonts w:ascii="Times New Roman" w:eastAsia="Times New Roman" w:hAnsi="Times New Roman" w:cs="Times New Roman"/>
                <w:color w:val="000000" w:themeColor="text1"/>
                <w:sz w:val="24"/>
                <w:szCs w:val="24"/>
                <w:lang w:eastAsia="lv-LV"/>
              </w:rPr>
              <w:t>Lai gan noteikumu projektā ietvertā prasība iekšējā audita funkciju iestādē veikt</w:t>
            </w:r>
            <w:r w:rsidR="00EA4F3F">
              <w:rPr>
                <w:rFonts w:ascii="Times New Roman" w:eastAsia="Times New Roman" w:hAnsi="Times New Roman" w:cs="Times New Roman"/>
                <w:color w:val="000000" w:themeColor="text1"/>
                <w:sz w:val="24"/>
                <w:szCs w:val="24"/>
                <w:lang w:eastAsia="lv-LV"/>
              </w:rPr>
              <w:t>,</w:t>
            </w:r>
            <w:r w:rsidRPr="0096538A">
              <w:rPr>
                <w:rFonts w:ascii="Times New Roman" w:eastAsia="Times New Roman" w:hAnsi="Times New Roman" w:cs="Times New Roman"/>
                <w:color w:val="000000" w:themeColor="text1"/>
                <w:sz w:val="24"/>
                <w:szCs w:val="24"/>
                <w:lang w:eastAsia="lv-LV"/>
              </w:rPr>
              <w:t xml:space="preserve"> ievērojot Iekšējā audita profesionālās prakses starptautiskajos standartos (turpmāk</w:t>
            </w:r>
            <w:r w:rsidR="001B1059">
              <w:rPr>
                <w:rFonts w:ascii="Times New Roman" w:eastAsia="Times New Roman" w:hAnsi="Times New Roman" w:cs="Times New Roman"/>
                <w:color w:val="000000" w:themeColor="text1"/>
                <w:sz w:val="24"/>
                <w:szCs w:val="24"/>
                <w:lang w:eastAsia="lv-LV"/>
              </w:rPr>
              <w:t> </w:t>
            </w:r>
            <w:r w:rsidRPr="0096538A">
              <w:rPr>
                <w:rFonts w:ascii="Times New Roman" w:eastAsia="Times New Roman" w:hAnsi="Times New Roman" w:cs="Times New Roman"/>
                <w:color w:val="000000" w:themeColor="text1"/>
                <w:sz w:val="24"/>
                <w:szCs w:val="24"/>
                <w:lang w:eastAsia="lv-LV"/>
              </w:rPr>
              <w:t xml:space="preserve">– standarti) noteiktās prasības, var </w:t>
            </w:r>
            <w:r w:rsidR="001B1059">
              <w:rPr>
                <w:rFonts w:ascii="Times New Roman" w:eastAsia="Times New Roman" w:hAnsi="Times New Roman" w:cs="Times New Roman"/>
                <w:color w:val="000000" w:themeColor="text1"/>
                <w:sz w:val="24"/>
                <w:szCs w:val="24"/>
                <w:lang w:eastAsia="lv-LV"/>
              </w:rPr>
              <w:t xml:space="preserve">radīt </w:t>
            </w:r>
            <w:r w:rsidRPr="0096538A">
              <w:rPr>
                <w:rFonts w:ascii="Times New Roman" w:eastAsia="Times New Roman" w:hAnsi="Times New Roman" w:cs="Times New Roman"/>
                <w:color w:val="000000" w:themeColor="text1"/>
                <w:sz w:val="24"/>
                <w:szCs w:val="24"/>
                <w:lang w:eastAsia="lv-LV"/>
              </w:rPr>
              <w:t>iestādēm izmaksas saistībā ar iekšējā audita funkcijas ārējā novērtējuma veikšanu, sagaidāmais rezultāts ir būtiski uzlabojumi iestāžu pārvaldībā.</w:t>
            </w:r>
          </w:p>
          <w:p w14:paraId="6E3B8173" w14:textId="63D0694D" w:rsidR="0096538A" w:rsidRPr="0096538A" w:rsidRDefault="0096538A" w:rsidP="006E5C0D">
            <w:pPr>
              <w:pStyle w:val="Sarakstarindkopa"/>
              <w:tabs>
                <w:tab w:val="left" w:pos="287"/>
              </w:tabs>
              <w:spacing w:after="120" w:line="240" w:lineRule="auto"/>
              <w:ind w:left="0"/>
              <w:jc w:val="both"/>
              <w:rPr>
                <w:rFonts w:ascii="Times New Roman" w:eastAsia="Times New Roman" w:hAnsi="Times New Roman" w:cs="Times New Roman"/>
                <w:color w:val="000000" w:themeColor="text1"/>
                <w:sz w:val="24"/>
                <w:szCs w:val="24"/>
                <w:lang w:eastAsia="lv-LV"/>
              </w:rPr>
            </w:pPr>
            <w:r w:rsidRPr="0096538A">
              <w:rPr>
                <w:rFonts w:ascii="Times New Roman" w:eastAsia="Times New Roman" w:hAnsi="Times New Roman" w:cs="Times New Roman"/>
                <w:color w:val="000000" w:themeColor="text1"/>
                <w:sz w:val="24"/>
                <w:szCs w:val="24"/>
                <w:lang w:eastAsia="lv-LV"/>
              </w:rPr>
              <w:t>Ievērojot standartus, iestādēs iekšēj</w:t>
            </w:r>
            <w:r w:rsidR="00EA4F3F">
              <w:rPr>
                <w:rFonts w:ascii="Times New Roman" w:eastAsia="Times New Roman" w:hAnsi="Times New Roman" w:cs="Times New Roman"/>
                <w:color w:val="000000" w:themeColor="text1"/>
                <w:sz w:val="24"/>
                <w:szCs w:val="24"/>
                <w:lang w:eastAsia="lv-LV"/>
              </w:rPr>
              <w:t>ais</w:t>
            </w:r>
            <w:r w:rsidRPr="0096538A">
              <w:rPr>
                <w:rFonts w:ascii="Times New Roman" w:eastAsia="Times New Roman" w:hAnsi="Times New Roman" w:cs="Times New Roman"/>
                <w:color w:val="000000" w:themeColor="text1"/>
                <w:sz w:val="24"/>
                <w:szCs w:val="24"/>
                <w:lang w:eastAsia="lv-LV"/>
              </w:rPr>
              <w:t xml:space="preserve"> audit</w:t>
            </w:r>
            <w:r w:rsidR="00EA4F3F">
              <w:rPr>
                <w:rFonts w:ascii="Times New Roman" w:eastAsia="Times New Roman" w:hAnsi="Times New Roman" w:cs="Times New Roman"/>
                <w:color w:val="000000" w:themeColor="text1"/>
                <w:sz w:val="24"/>
                <w:szCs w:val="24"/>
                <w:lang w:eastAsia="lv-LV"/>
              </w:rPr>
              <w:t>s</w:t>
            </w:r>
            <w:r w:rsidRPr="0096538A">
              <w:rPr>
                <w:rFonts w:ascii="Times New Roman" w:eastAsia="Times New Roman" w:hAnsi="Times New Roman" w:cs="Times New Roman"/>
                <w:color w:val="000000" w:themeColor="text1"/>
                <w:sz w:val="24"/>
                <w:szCs w:val="24"/>
                <w:lang w:eastAsia="lv-LV"/>
              </w:rPr>
              <w:t xml:space="preserve"> tik</w:t>
            </w:r>
            <w:r w:rsidR="00EA4F3F">
              <w:rPr>
                <w:rFonts w:ascii="Times New Roman" w:eastAsia="Times New Roman" w:hAnsi="Times New Roman" w:cs="Times New Roman"/>
                <w:color w:val="000000" w:themeColor="text1"/>
                <w:sz w:val="24"/>
                <w:szCs w:val="24"/>
                <w:lang w:eastAsia="lv-LV"/>
              </w:rPr>
              <w:t>tu</w:t>
            </w:r>
            <w:r w:rsidRPr="0096538A">
              <w:rPr>
                <w:rFonts w:ascii="Times New Roman" w:eastAsia="Times New Roman" w:hAnsi="Times New Roman" w:cs="Times New Roman"/>
                <w:color w:val="000000" w:themeColor="text1"/>
                <w:sz w:val="24"/>
                <w:szCs w:val="24"/>
                <w:lang w:eastAsia="lv-LV"/>
              </w:rPr>
              <w:t xml:space="preserve"> veikt</w:t>
            </w:r>
            <w:r w:rsidR="00EA4F3F">
              <w:rPr>
                <w:rFonts w:ascii="Times New Roman" w:eastAsia="Times New Roman" w:hAnsi="Times New Roman" w:cs="Times New Roman"/>
                <w:color w:val="000000" w:themeColor="text1"/>
                <w:sz w:val="24"/>
                <w:szCs w:val="24"/>
                <w:lang w:eastAsia="lv-LV"/>
              </w:rPr>
              <w:t>s</w:t>
            </w:r>
            <w:r w:rsidRPr="0096538A">
              <w:rPr>
                <w:rFonts w:ascii="Times New Roman" w:eastAsia="Times New Roman" w:hAnsi="Times New Roman" w:cs="Times New Roman"/>
                <w:color w:val="000000" w:themeColor="text1"/>
                <w:sz w:val="24"/>
                <w:szCs w:val="24"/>
                <w:lang w:eastAsia="lv-LV"/>
              </w:rPr>
              <w:t xml:space="preserve"> atbilstoši vienotām prasībām, kas ietver audit</w:t>
            </w:r>
            <w:r w:rsidR="00EA4F3F">
              <w:rPr>
                <w:rFonts w:ascii="Times New Roman" w:eastAsia="Times New Roman" w:hAnsi="Times New Roman" w:cs="Times New Roman"/>
                <w:color w:val="000000" w:themeColor="text1"/>
                <w:sz w:val="24"/>
                <w:szCs w:val="24"/>
                <w:lang w:eastAsia="lv-LV"/>
              </w:rPr>
              <w:t>a veicēj</w:t>
            </w:r>
            <w:r w:rsidRPr="0096538A">
              <w:rPr>
                <w:rFonts w:ascii="Times New Roman" w:eastAsia="Times New Roman" w:hAnsi="Times New Roman" w:cs="Times New Roman"/>
                <w:color w:val="000000" w:themeColor="text1"/>
                <w:sz w:val="24"/>
                <w:szCs w:val="24"/>
                <w:lang w:eastAsia="lv-LV"/>
              </w:rPr>
              <w:t>u kvalifikāciju, pastāvīgu profesionālo attīstību un ētikas standartu ievērošanu</w:t>
            </w:r>
            <w:r w:rsidR="00EA4F3F">
              <w:rPr>
                <w:rFonts w:ascii="Times New Roman" w:eastAsia="Times New Roman" w:hAnsi="Times New Roman" w:cs="Times New Roman"/>
                <w:color w:val="000000" w:themeColor="text1"/>
                <w:sz w:val="24"/>
                <w:szCs w:val="24"/>
                <w:lang w:eastAsia="lv-LV"/>
              </w:rPr>
              <w:t xml:space="preserve">, </w:t>
            </w:r>
            <w:r w:rsidRPr="0096538A">
              <w:rPr>
                <w:rFonts w:ascii="Times New Roman" w:eastAsia="Times New Roman" w:hAnsi="Times New Roman" w:cs="Times New Roman"/>
                <w:color w:val="000000" w:themeColor="text1"/>
                <w:sz w:val="24"/>
                <w:szCs w:val="24"/>
                <w:lang w:eastAsia="lv-LV"/>
              </w:rPr>
              <w:t>nodrošin</w:t>
            </w:r>
            <w:r w:rsidR="001B1059">
              <w:rPr>
                <w:rFonts w:ascii="Times New Roman" w:eastAsia="Times New Roman" w:hAnsi="Times New Roman" w:cs="Times New Roman"/>
                <w:color w:val="000000" w:themeColor="text1"/>
                <w:sz w:val="24"/>
                <w:szCs w:val="24"/>
                <w:lang w:eastAsia="lv-LV"/>
              </w:rPr>
              <w:t>ot</w:t>
            </w:r>
            <w:r w:rsidRPr="0096538A">
              <w:rPr>
                <w:rFonts w:ascii="Times New Roman" w:eastAsia="Times New Roman" w:hAnsi="Times New Roman" w:cs="Times New Roman"/>
                <w:color w:val="000000" w:themeColor="text1"/>
                <w:sz w:val="24"/>
                <w:szCs w:val="24"/>
                <w:lang w:eastAsia="lv-LV"/>
              </w:rPr>
              <w:t xml:space="preserve"> iekšēj</w:t>
            </w:r>
            <w:r w:rsidR="00EA4F3F">
              <w:rPr>
                <w:rFonts w:ascii="Times New Roman" w:eastAsia="Times New Roman" w:hAnsi="Times New Roman" w:cs="Times New Roman"/>
                <w:color w:val="000000" w:themeColor="text1"/>
                <w:sz w:val="24"/>
                <w:szCs w:val="24"/>
                <w:lang w:eastAsia="lv-LV"/>
              </w:rPr>
              <w:t>ā</w:t>
            </w:r>
            <w:r w:rsidRPr="0096538A">
              <w:rPr>
                <w:rFonts w:ascii="Times New Roman" w:eastAsia="Times New Roman" w:hAnsi="Times New Roman" w:cs="Times New Roman"/>
                <w:color w:val="000000" w:themeColor="text1"/>
                <w:sz w:val="24"/>
                <w:szCs w:val="24"/>
                <w:lang w:eastAsia="lv-LV"/>
              </w:rPr>
              <w:t xml:space="preserve"> audit</w:t>
            </w:r>
            <w:r w:rsidR="00EA4F3F">
              <w:rPr>
                <w:rFonts w:ascii="Times New Roman" w:eastAsia="Times New Roman" w:hAnsi="Times New Roman" w:cs="Times New Roman"/>
                <w:color w:val="000000" w:themeColor="text1"/>
                <w:sz w:val="24"/>
                <w:szCs w:val="24"/>
                <w:lang w:eastAsia="lv-LV"/>
              </w:rPr>
              <w:t>a veicēj</w:t>
            </w:r>
            <w:r w:rsidRPr="0096538A">
              <w:rPr>
                <w:rFonts w:ascii="Times New Roman" w:eastAsia="Times New Roman" w:hAnsi="Times New Roman" w:cs="Times New Roman"/>
                <w:color w:val="000000" w:themeColor="text1"/>
                <w:sz w:val="24"/>
                <w:szCs w:val="24"/>
                <w:lang w:eastAsia="lv-LV"/>
              </w:rPr>
              <w:t>u augstu profesionalitātes un kompetences līmeni. Prasība iekšējā audita veikšanā ievērot standartus noteikta arī Eiropas Banku iestādes 2021.</w:t>
            </w:r>
            <w:r w:rsidR="001B1059">
              <w:rPr>
                <w:rFonts w:ascii="Times New Roman" w:eastAsia="Times New Roman" w:hAnsi="Times New Roman" w:cs="Times New Roman"/>
                <w:color w:val="000000" w:themeColor="text1"/>
                <w:sz w:val="24"/>
                <w:szCs w:val="24"/>
                <w:lang w:eastAsia="lv-LV"/>
              </w:rPr>
              <w:t> </w:t>
            </w:r>
            <w:r w:rsidRPr="0096538A">
              <w:rPr>
                <w:rFonts w:ascii="Times New Roman" w:eastAsia="Times New Roman" w:hAnsi="Times New Roman" w:cs="Times New Roman"/>
                <w:color w:val="000000" w:themeColor="text1"/>
                <w:sz w:val="24"/>
                <w:szCs w:val="24"/>
                <w:lang w:eastAsia="lv-LV"/>
              </w:rPr>
              <w:t>gada 2.</w:t>
            </w:r>
            <w:r w:rsidR="001B1059">
              <w:rPr>
                <w:rFonts w:ascii="Times New Roman" w:eastAsia="Times New Roman" w:hAnsi="Times New Roman" w:cs="Times New Roman"/>
                <w:color w:val="000000" w:themeColor="text1"/>
                <w:sz w:val="24"/>
                <w:szCs w:val="24"/>
                <w:lang w:eastAsia="lv-LV"/>
              </w:rPr>
              <w:t> </w:t>
            </w:r>
            <w:r w:rsidRPr="0096538A">
              <w:rPr>
                <w:rFonts w:ascii="Times New Roman" w:eastAsia="Times New Roman" w:hAnsi="Times New Roman" w:cs="Times New Roman"/>
                <w:color w:val="000000" w:themeColor="text1"/>
                <w:sz w:val="24"/>
                <w:szCs w:val="24"/>
                <w:lang w:eastAsia="lv-LV"/>
              </w:rPr>
              <w:t>jūlija pamatnostādnēs Nr.</w:t>
            </w:r>
            <w:r w:rsidR="001B1059">
              <w:rPr>
                <w:rFonts w:ascii="Times New Roman" w:eastAsia="Times New Roman" w:hAnsi="Times New Roman" w:cs="Times New Roman"/>
                <w:color w:val="000000" w:themeColor="text1"/>
                <w:sz w:val="24"/>
                <w:szCs w:val="24"/>
                <w:lang w:eastAsia="lv-LV"/>
              </w:rPr>
              <w:t> </w:t>
            </w:r>
            <w:r w:rsidRPr="0096538A">
              <w:rPr>
                <w:rFonts w:ascii="Times New Roman" w:eastAsia="Times New Roman" w:hAnsi="Times New Roman" w:cs="Times New Roman"/>
                <w:color w:val="000000" w:themeColor="text1"/>
                <w:sz w:val="24"/>
                <w:szCs w:val="24"/>
                <w:lang w:eastAsia="lv-LV"/>
              </w:rPr>
              <w:t xml:space="preserve">EBA/GL/2021/05 "Pamatnostādnes par iekšējo pārvaldību". </w:t>
            </w:r>
          </w:p>
          <w:p w14:paraId="7BE21DEC" w14:textId="2948328A" w:rsidR="0096538A" w:rsidRPr="0096538A" w:rsidRDefault="0096538A" w:rsidP="006E5C0D">
            <w:pPr>
              <w:pStyle w:val="Sarakstarindkopa"/>
              <w:tabs>
                <w:tab w:val="left" w:pos="287"/>
              </w:tabs>
              <w:spacing w:after="120" w:line="240" w:lineRule="auto"/>
              <w:ind w:left="0"/>
              <w:jc w:val="both"/>
              <w:rPr>
                <w:rFonts w:ascii="Times New Roman" w:eastAsia="Times New Roman" w:hAnsi="Times New Roman" w:cs="Times New Roman"/>
                <w:color w:val="000000" w:themeColor="text1"/>
                <w:sz w:val="24"/>
                <w:szCs w:val="24"/>
                <w:lang w:eastAsia="lv-LV"/>
              </w:rPr>
            </w:pPr>
            <w:r w:rsidRPr="0096538A">
              <w:rPr>
                <w:rFonts w:ascii="Times New Roman" w:eastAsia="Times New Roman" w:hAnsi="Times New Roman" w:cs="Times New Roman"/>
                <w:color w:val="000000" w:themeColor="text1"/>
                <w:sz w:val="24"/>
                <w:szCs w:val="24"/>
                <w:lang w:eastAsia="lv-LV"/>
              </w:rPr>
              <w:t xml:space="preserve">Profesionāla un kompetenta iestādes iekšējā audita struktūrvienību darbība atbilstoši vienotiem standartiem sniedz iestādes amatpersonām būtisku atbalstu iestādes iekšējo procesu pilnveidošanā un risku pārvaldīšanā un palīdz veikt </w:t>
            </w:r>
            <w:proofErr w:type="spellStart"/>
            <w:r w:rsidRPr="0096538A">
              <w:rPr>
                <w:rFonts w:ascii="Times New Roman" w:eastAsia="Times New Roman" w:hAnsi="Times New Roman" w:cs="Times New Roman"/>
                <w:color w:val="000000" w:themeColor="text1"/>
                <w:sz w:val="24"/>
                <w:szCs w:val="24"/>
                <w:lang w:eastAsia="lv-LV"/>
              </w:rPr>
              <w:t>proaktīvus</w:t>
            </w:r>
            <w:proofErr w:type="spellEnd"/>
            <w:r w:rsidRPr="0096538A">
              <w:rPr>
                <w:rFonts w:ascii="Times New Roman" w:eastAsia="Times New Roman" w:hAnsi="Times New Roman" w:cs="Times New Roman"/>
                <w:color w:val="000000" w:themeColor="text1"/>
                <w:sz w:val="24"/>
                <w:szCs w:val="24"/>
                <w:lang w:eastAsia="lv-LV"/>
              </w:rPr>
              <w:t xml:space="preserve"> pasākumus potenciālo risku mazināšanai, tādējādi aizsargājot iestād</w:t>
            </w:r>
            <w:r w:rsidR="001B1059">
              <w:rPr>
                <w:rFonts w:ascii="Times New Roman" w:eastAsia="Times New Roman" w:hAnsi="Times New Roman" w:cs="Times New Roman"/>
                <w:color w:val="000000" w:themeColor="text1"/>
                <w:sz w:val="24"/>
                <w:szCs w:val="24"/>
                <w:lang w:eastAsia="lv-LV"/>
              </w:rPr>
              <w:t>e</w:t>
            </w:r>
            <w:r w:rsidRPr="0096538A">
              <w:rPr>
                <w:rFonts w:ascii="Times New Roman" w:eastAsia="Times New Roman" w:hAnsi="Times New Roman" w:cs="Times New Roman"/>
                <w:color w:val="000000" w:themeColor="text1"/>
                <w:sz w:val="24"/>
                <w:szCs w:val="24"/>
                <w:lang w:eastAsia="lv-LV"/>
              </w:rPr>
              <w:t>s aktīvus un reputāciju.</w:t>
            </w:r>
          </w:p>
          <w:p w14:paraId="2CA2DE65" w14:textId="6EB69167" w:rsidR="0096538A" w:rsidRPr="0096538A" w:rsidRDefault="0096538A" w:rsidP="006E5C0D">
            <w:pPr>
              <w:pStyle w:val="Sarakstarindkopa"/>
              <w:tabs>
                <w:tab w:val="left" w:pos="287"/>
              </w:tabs>
              <w:spacing w:after="120" w:line="240" w:lineRule="auto"/>
              <w:ind w:left="0"/>
              <w:jc w:val="both"/>
              <w:rPr>
                <w:rFonts w:ascii="Times New Roman" w:eastAsia="Times New Roman" w:hAnsi="Times New Roman" w:cs="Times New Roman"/>
                <w:color w:val="000000" w:themeColor="text1"/>
                <w:sz w:val="24"/>
                <w:szCs w:val="24"/>
                <w:lang w:eastAsia="lv-LV"/>
              </w:rPr>
            </w:pPr>
            <w:r w:rsidRPr="0096538A">
              <w:rPr>
                <w:rFonts w:ascii="Times New Roman" w:eastAsia="Times New Roman" w:hAnsi="Times New Roman" w:cs="Times New Roman"/>
                <w:color w:val="000000" w:themeColor="text1"/>
                <w:sz w:val="24"/>
                <w:szCs w:val="24"/>
                <w:lang w:eastAsia="lv-LV"/>
              </w:rPr>
              <w:t xml:space="preserve">Standartu ievērošana nodrošina labākās prakses piemērošanu </w:t>
            </w:r>
            <w:r w:rsidR="00EA4F3F">
              <w:rPr>
                <w:rFonts w:ascii="Times New Roman" w:eastAsia="Times New Roman" w:hAnsi="Times New Roman" w:cs="Times New Roman"/>
                <w:color w:val="000000" w:themeColor="text1"/>
                <w:sz w:val="24"/>
                <w:szCs w:val="24"/>
                <w:lang w:eastAsia="lv-LV"/>
              </w:rPr>
              <w:t xml:space="preserve">iekšējā </w:t>
            </w:r>
            <w:r w:rsidRPr="0096538A">
              <w:rPr>
                <w:rFonts w:ascii="Times New Roman" w:eastAsia="Times New Roman" w:hAnsi="Times New Roman" w:cs="Times New Roman"/>
                <w:color w:val="000000" w:themeColor="text1"/>
                <w:sz w:val="24"/>
                <w:szCs w:val="24"/>
                <w:lang w:eastAsia="lv-LV"/>
              </w:rPr>
              <w:t>audit</w:t>
            </w:r>
            <w:r w:rsidR="00EA4F3F">
              <w:rPr>
                <w:rFonts w:ascii="Times New Roman" w:eastAsia="Times New Roman" w:hAnsi="Times New Roman" w:cs="Times New Roman"/>
                <w:color w:val="000000" w:themeColor="text1"/>
                <w:sz w:val="24"/>
                <w:szCs w:val="24"/>
                <w:lang w:eastAsia="lv-LV"/>
              </w:rPr>
              <w:t>a procesa</w:t>
            </w:r>
            <w:r w:rsidRPr="0096538A">
              <w:rPr>
                <w:rFonts w:ascii="Times New Roman" w:eastAsia="Times New Roman" w:hAnsi="Times New Roman" w:cs="Times New Roman"/>
                <w:color w:val="000000" w:themeColor="text1"/>
                <w:sz w:val="24"/>
                <w:szCs w:val="24"/>
                <w:lang w:eastAsia="lv-LV"/>
              </w:rPr>
              <w:t xml:space="preserve"> plānošanā, izpildē un rezultātu paziņošanā, tādējādi paaugstinot iekšējā audita procesa efektivitāti un ļaujot identificēt iestādes darbības jomas, kurās nepieciešami uzlabojumi.</w:t>
            </w:r>
          </w:p>
          <w:p w14:paraId="7F3AA5AD" w14:textId="74513725" w:rsidR="0096538A" w:rsidRPr="0096538A" w:rsidRDefault="0096538A" w:rsidP="006E5C0D">
            <w:pPr>
              <w:pStyle w:val="Sarakstarindkopa"/>
              <w:tabs>
                <w:tab w:val="left" w:pos="287"/>
              </w:tabs>
              <w:spacing w:after="120" w:line="240" w:lineRule="auto"/>
              <w:ind w:left="0"/>
              <w:jc w:val="both"/>
              <w:rPr>
                <w:rFonts w:ascii="Times New Roman" w:eastAsia="Times New Roman" w:hAnsi="Times New Roman" w:cs="Times New Roman"/>
                <w:color w:val="000000" w:themeColor="text1"/>
                <w:sz w:val="24"/>
                <w:szCs w:val="24"/>
                <w:lang w:eastAsia="lv-LV"/>
              </w:rPr>
            </w:pPr>
            <w:r w:rsidRPr="0096538A">
              <w:rPr>
                <w:rFonts w:ascii="Times New Roman" w:eastAsia="Times New Roman" w:hAnsi="Times New Roman" w:cs="Times New Roman"/>
                <w:color w:val="000000" w:themeColor="text1"/>
                <w:sz w:val="24"/>
                <w:szCs w:val="24"/>
                <w:lang w:eastAsia="lv-LV"/>
              </w:rPr>
              <w:t xml:space="preserve">Iestādēm būs nepieciešams ieguldīt resursus, lai novērtētu savas iekšējā audita prakses atbilstību standartu prasībām, taču </w:t>
            </w:r>
            <w:r w:rsidRPr="0096538A">
              <w:rPr>
                <w:rFonts w:ascii="Times New Roman" w:eastAsia="Times New Roman" w:hAnsi="Times New Roman" w:cs="Times New Roman"/>
                <w:color w:val="000000" w:themeColor="text1"/>
                <w:sz w:val="24"/>
                <w:szCs w:val="24"/>
                <w:lang w:eastAsia="lv-LV"/>
              </w:rPr>
              <w:lastRenderedPageBreak/>
              <w:t>ilgtermiņā tas veicinās sabiedrības uzticību iestāžu darbībai un stabilitāti</w:t>
            </w:r>
            <w:r w:rsidR="00EA4F3F">
              <w:rPr>
                <w:rFonts w:ascii="Times New Roman" w:eastAsia="Times New Roman" w:hAnsi="Times New Roman" w:cs="Times New Roman"/>
                <w:color w:val="000000" w:themeColor="text1"/>
                <w:sz w:val="24"/>
                <w:szCs w:val="24"/>
                <w:lang w:eastAsia="lv-LV"/>
              </w:rPr>
              <w:t xml:space="preserve"> finanšu</w:t>
            </w:r>
            <w:r w:rsidRPr="0096538A">
              <w:rPr>
                <w:rFonts w:ascii="Times New Roman" w:eastAsia="Times New Roman" w:hAnsi="Times New Roman" w:cs="Times New Roman"/>
                <w:color w:val="000000" w:themeColor="text1"/>
                <w:sz w:val="24"/>
                <w:szCs w:val="24"/>
                <w:lang w:eastAsia="lv-LV"/>
              </w:rPr>
              <w:t xml:space="preserve"> tirgū</w:t>
            </w:r>
            <w:r w:rsidR="00EA4F3F">
              <w:rPr>
                <w:rFonts w:ascii="Times New Roman" w:eastAsia="Times New Roman" w:hAnsi="Times New Roman" w:cs="Times New Roman"/>
                <w:color w:val="000000" w:themeColor="text1"/>
                <w:sz w:val="24"/>
                <w:szCs w:val="24"/>
                <w:lang w:eastAsia="lv-LV"/>
              </w:rPr>
              <w:t xml:space="preserve"> kopumā</w:t>
            </w:r>
            <w:r w:rsidRPr="0096538A">
              <w:rPr>
                <w:rFonts w:ascii="Times New Roman" w:eastAsia="Times New Roman" w:hAnsi="Times New Roman" w:cs="Times New Roman"/>
                <w:color w:val="000000" w:themeColor="text1"/>
                <w:sz w:val="24"/>
                <w:szCs w:val="24"/>
                <w:lang w:eastAsia="lv-LV"/>
              </w:rPr>
              <w:t>.</w:t>
            </w:r>
          </w:p>
          <w:p w14:paraId="518C7DDB" w14:textId="77777777" w:rsidR="00080852" w:rsidRDefault="0096538A" w:rsidP="00F32652">
            <w:pPr>
              <w:pStyle w:val="Sarakstarindkopa"/>
              <w:tabs>
                <w:tab w:val="left" w:pos="287"/>
              </w:tabs>
              <w:spacing w:after="120" w:line="240" w:lineRule="auto"/>
              <w:ind w:left="0"/>
              <w:jc w:val="both"/>
              <w:rPr>
                <w:rFonts w:ascii="Times New Roman" w:eastAsia="Times New Roman" w:hAnsi="Times New Roman" w:cs="Times New Roman"/>
                <w:color w:val="000000" w:themeColor="text1"/>
                <w:sz w:val="24"/>
                <w:szCs w:val="24"/>
                <w:lang w:eastAsia="lv-LV"/>
              </w:rPr>
            </w:pPr>
            <w:r w:rsidRPr="0096538A">
              <w:rPr>
                <w:rFonts w:ascii="Times New Roman" w:eastAsia="Times New Roman" w:hAnsi="Times New Roman" w:cs="Times New Roman"/>
                <w:color w:val="000000" w:themeColor="text1"/>
                <w:sz w:val="24"/>
                <w:szCs w:val="24"/>
                <w:lang w:eastAsia="lv-LV"/>
              </w:rPr>
              <w:t>Tādējādi administratīvais slogs</w:t>
            </w:r>
            <w:r w:rsidR="00EA4F3F">
              <w:rPr>
                <w:rFonts w:ascii="Times New Roman" w:eastAsia="Times New Roman" w:hAnsi="Times New Roman" w:cs="Times New Roman"/>
                <w:color w:val="000000" w:themeColor="text1"/>
                <w:sz w:val="24"/>
                <w:szCs w:val="24"/>
                <w:lang w:eastAsia="lv-LV"/>
              </w:rPr>
              <w:t>, kas iestādēm radīsies nodrošinot minētās prasības izpildi,</w:t>
            </w:r>
            <w:r w:rsidRPr="0096538A">
              <w:rPr>
                <w:rFonts w:ascii="Times New Roman" w:eastAsia="Times New Roman" w:hAnsi="Times New Roman" w:cs="Times New Roman"/>
                <w:color w:val="000000" w:themeColor="text1"/>
                <w:sz w:val="24"/>
                <w:szCs w:val="24"/>
                <w:lang w:eastAsia="lv-LV"/>
              </w:rPr>
              <w:t xml:space="preserve"> ir samērojams ar sagaidāmo rezultātu, jo tas nodrošina būtiskus ieguvumus gan iestādēm, gan sabiedrībai kopumā.</w:t>
            </w:r>
            <w:bookmarkEnd w:id="6"/>
          </w:p>
          <w:p w14:paraId="6CB065E2" w14:textId="0F7C62F3" w:rsidR="00744E78" w:rsidRPr="00545274" w:rsidRDefault="00744E78" w:rsidP="00F32652">
            <w:pPr>
              <w:pStyle w:val="Sarakstarindkopa"/>
              <w:tabs>
                <w:tab w:val="left" w:pos="287"/>
              </w:tabs>
              <w:spacing w:after="120" w:line="240" w:lineRule="auto"/>
              <w:ind w:left="0"/>
              <w:jc w:val="both"/>
              <w:rPr>
                <w:rFonts w:ascii="Times New Roman" w:eastAsia="Times New Roman" w:hAnsi="Times New Roman" w:cs="Times New Roman"/>
                <w:color w:val="000000" w:themeColor="text1"/>
                <w:sz w:val="24"/>
                <w:szCs w:val="24"/>
                <w:lang w:eastAsia="lv-LV"/>
              </w:rPr>
            </w:pPr>
          </w:p>
        </w:tc>
      </w:tr>
      <w:tr w:rsidR="00D63F50" w:rsidRPr="000B4E0A" w14:paraId="5E6D0405" w14:textId="77777777" w:rsidTr="00115CFD">
        <w:trPr>
          <w:trHeight w:val="567"/>
        </w:trPr>
        <w:tc>
          <w:tcPr>
            <w:tcW w:w="1405" w:type="pct"/>
            <w:shd w:val="clear" w:color="auto" w:fill="auto"/>
            <w:hideMark/>
          </w:tcPr>
          <w:p w14:paraId="2F4E3287" w14:textId="77777777" w:rsidR="00D63F50" w:rsidRPr="00E253DA" w:rsidRDefault="00D63F50" w:rsidP="00D63F50">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lastRenderedPageBreak/>
              <w:t>Saistītie dokumenti</w:t>
            </w:r>
          </w:p>
          <w:p w14:paraId="378C981E" w14:textId="6DB40C71" w:rsidR="00D63F50" w:rsidRPr="00E253DA" w:rsidRDefault="00D63F50" w:rsidP="00D63F50">
            <w:pPr>
              <w:spacing w:after="0" w:line="240" w:lineRule="auto"/>
              <w:rPr>
                <w:rFonts w:ascii="Times New Roman" w:eastAsia="Times New Roman" w:hAnsi="Times New Roman" w:cs="Times New Roman"/>
                <w:b/>
                <w:bCs/>
                <w:sz w:val="24"/>
                <w:szCs w:val="24"/>
                <w:lang w:eastAsia="lv-LV"/>
              </w:rPr>
            </w:pPr>
          </w:p>
        </w:tc>
        <w:tc>
          <w:tcPr>
            <w:tcW w:w="3595" w:type="pct"/>
            <w:shd w:val="clear" w:color="auto" w:fill="auto"/>
          </w:tcPr>
          <w:p w14:paraId="5BABB73F" w14:textId="373019D4" w:rsidR="00BB7921" w:rsidRDefault="00BB7921" w:rsidP="006B649E">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Ar noteikumu projektu saistītie dokumenti:</w:t>
            </w:r>
          </w:p>
          <w:p w14:paraId="1D510D13" w14:textId="5E205920" w:rsidR="0045371F" w:rsidRDefault="001A112D" w:rsidP="001A112D">
            <w:pPr>
              <w:spacing w:after="120" w:line="240" w:lineRule="auto"/>
              <w:jc w:val="both"/>
              <w:rPr>
                <w:rFonts w:ascii="Times New Roman" w:eastAsia="Times New Roman" w:hAnsi="Times New Roman" w:cs="Times New Roman"/>
                <w:sz w:val="24"/>
                <w:szCs w:val="24"/>
                <w:lang w:eastAsia="lv-LV"/>
              </w:rPr>
            </w:pPr>
            <w:r w:rsidRPr="001A112D">
              <w:rPr>
                <w:rFonts w:ascii="Times New Roman" w:eastAsia="Times New Roman" w:hAnsi="Times New Roman" w:cs="Times New Roman"/>
                <w:sz w:val="24"/>
                <w:szCs w:val="24"/>
                <w:lang w:eastAsia="lv-LV"/>
              </w:rPr>
              <w:t>1)</w:t>
            </w:r>
            <w:r w:rsidR="00571475">
              <w:rPr>
                <w:rFonts w:ascii="Times New Roman" w:eastAsia="Times New Roman" w:hAnsi="Times New Roman" w:cs="Times New Roman"/>
                <w:sz w:val="24"/>
                <w:szCs w:val="24"/>
                <w:lang w:eastAsia="lv-LV"/>
              </w:rPr>
              <w:t> </w:t>
            </w:r>
            <w:r w:rsidR="0045371F" w:rsidRPr="001A112D">
              <w:rPr>
                <w:rFonts w:ascii="Times New Roman" w:eastAsia="Times New Roman" w:hAnsi="Times New Roman" w:cs="Times New Roman"/>
                <w:sz w:val="24"/>
                <w:szCs w:val="24"/>
                <w:lang w:eastAsia="lv-LV"/>
              </w:rPr>
              <w:t>Kredītiestāžu likums;</w:t>
            </w:r>
          </w:p>
          <w:p w14:paraId="2D5C6184" w14:textId="42D904B5" w:rsidR="001A112D" w:rsidRDefault="001A112D" w:rsidP="001A112D">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2)</w:t>
            </w:r>
            <w:r w:rsidR="00571475">
              <w:rPr>
                <w:rFonts w:ascii="Times New Roman" w:eastAsia="Times New Roman" w:hAnsi="Times New Roman" w:cs="Times New Roman"/>
                <w:sz w:val="24"/>
                <w:szCs w:val="24"/>
                <w:lang w:eastAsia="lv-LV"/>
              </w:rPr>
              <w:t> </w:t>
            </w:r>
            <w:r w:rsidR="002F2F54" w:rsidRPr="002F2F54">
              <w:rPr>
                <w:rFonts w:ascii="Times New Roman" w:eastAsia="Times New Roman" w:hAnsi="Times New Roman" w:cs="Times New Roman"/>
                <w:sz w:val="24"/>
                <w:szCs w:val="24"/>
                <w:lang w:eastAsia="lv-LV"/>
              </w:rPr>
              <w:t>Eiropas Parlamenta un Padomes 2013.</w:t>
            </w:r>
            <w:r w:rsidR="00235E50">
              <w:rPr>
                <w:rFonts w:ascii="Times New Roman" w:eastAsia="Times New Roman" w:hAnsi="Times New Roman" w:cs="Times New Roman"/>
                <w:sz w:val="24"/>
                <w:szCs w:val="24"/>
                <w:lang w:eastAsia="lv-LV"/>
              </w:rPr>
              <w:t> </w:t>
            </w:r>
            <w:r w:rsidR="002F2F54" w:rsidRPr="002F2F54">
              <w:rPr>
                <w:rFonts w:ascii="Times New Roman" w:eastAsia="Times New Roman" w:hAnsi="Times New Roman" w:cs="Times New Roman"/>
                <w:sz w:val="24"/>
                <w:szCs w:val="24"/>
                <w:lang w:eastAsia="lv-LV"/>
              </w:rPr>
              <w:t>gada 26.</w:t>
            </w:r>
            <w:r w:rsidR="00235E50">
              <w:rPr>
                <w:rFonts w:ascii="Times New Roman" w:eastAsia="Times New Roman" w:hAnsi="Times New Roman" w:cs="Times New Roman"/>
                <w:sz w:val="24"/>
                <w:szCs w:val="24"/>
                <w:lang w:eastAsia="lv-LV"/>
              </w:rPr>
              <w:t> </w:t>
            </w:r>
            <w:r w:rsidR="002F2F54" w:rsidRPr="002F2F54">
              <w:rPr>
                <w:rFonts w:ascii="Times New Roman" w:eastAsia="Times New Roman" w:hAnsi="Times New Roman" w:cs="Times New Roman"/>
                <w:sz w:val="24"/>
                <w:szCs w:val="24"/>
                <w:lang w:eastAsia="lv-LV"/>
              </w:rPr>
              <w:t>jūnija regula (ES) Nr.</w:t>
            </w:r>
            <w:r w:rsidR="00235E50">
              <w:rPr>
                <w:rFonts w:ascii="Times New Roman" w:eastAsia="Times New Roman" w:hAnsi="Times New Roman" w:cs="Times New Roman"/>
                <w:sz w:val="24"/>
                <w:szCs w:val="24"/>
                <w:lang w:eastAsia="lv-LV"/>
              </w:rPr>
              <w:t> </w:t>
            </w:r>
            <w:r w:rsidR="002F2F54" w:rsidRPr="002F2F54">
              <w:rPr>
                <w:rFonts w:ascii="Times New Roman" w:eastAsia="Times New Roman" w:hAnsi="Times New Roman" w:cs="Times New Roman"/>
                <w:sz w:val="24"/>
                <w:szCs w:val="24"/>
                <w:lang w:eastAsia="lv-LV"/>
              </w:rPr>
              <w:t xml:space="preserve">575/2013 par </w:t>
            </w:r>
            <w:proofErr w:type="spellStart"/>
            <w:r w:rsidR="002F2F54" w:rsidRPr="002F2F54">
              <w:rPr>
                <w:rFonts w:ascii="Times New Roman" w:eastAsia="Times New Roman" w:hAnsi="Times New Roman" w:cs="Times New Roman"/>
                <w:sz w:val="24"/>
                <w:szCs w:val="24"/>
                <w:lang w:eastAsia="lv-LV"/>
              </w:rPr>
              <w:t>prudenciālajām</w:t>
            </w:r>
            <w:proofErr w:type="spellEnd"/>
            <w:r w:rsidR="002F2F54" w:rsidRPr="002F2F54">
              <w:rPr>
                <w:rFonts w:ascii="Times New Roman" w:eastAsia="Times New Roman" w:hAnsi="Times New Roman" w:cs="Times New Roman"/>
                <w:sz w:val="24"/>
                <w:szCs w:val="24"/>
                <w:lang w:eastAsia="lv-LV"/>
              </w:rPr>
              <w:t xml:space="preserve"> prasībām attiecībā uz kredītiestādēm, un ar ko groza regulu (ES) Nr.</w:t>
            </w:r>
            <w:r w:rsidR="00235E50">
              <w:rPr>
                <w:rFonts w:ascii="Times New Roman" w:eastAsia="Times New Roman" w:hAnsi="Times New Roman" w:cs="Times New Roman"/>
                <w:sz w:val="24"/>
                <w:szCs w:val="24"/>
                <w:lang w:eastAsia="lv-LV"/>
              </w:rPr>
              <w:t> </w:t>
            </w:r>
            <w:r w:rsidR="002F2F54" w:rsidRPr="002F2F54">
              <w:rPr>
                <w:rFonts w:ascii="Times New Roman" w:eastAsia="Times New Roman" w:hAnsi="Times New Roman" w:cs="Times New Roman"/>
                <w:sz w:val="24"/>
                <w:szCs w:val="24"/>
                <w:lang w:eastAsia="lv-LV"/>
              </w:rPr>
              <w:t>648/2012;</w:t>
            </w:r>
          </w:p>
          <w:p w14:paraId="53F6FC9B" w14:textId="7AD7DA2F" w:rsidR="002F2F54" w:rsidRDefault="001A112D" w:rsidP="001A112D">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3)</w:t>
            </w:r>
            <w:r w:rsidR="00571475">
              <w:rPr>
                <w:rFonts w:ascii="Times New Roman" w:eastAsia="Times New Roman" w:hAnsi="Times New Roman" w:cs="Times New Roman"/>
                <w:sz w:val="24"/>
                <w:szCs w:val="24"/>
                <w:lang w:eastAsia="lv-LV"/>
              </w:rPr>
              <w:t> </w:t>
            </w:r>
            <w:r w:rsidR="002F2F54" w:rsidRPr="0045371F">
              <w:rPr>
                <w:rFonts w:ascii="Times New Roman" w:eastAsia="Times New Roman" w:hAnsi="Times New Roman" w:cs="Times New Roman"/>
                <w:sz w:val="24"/>
                <w:szCs w:val="24"/>
                <w:lang w:eastAsia="lv-LV"/>
              </w:rPr>
              <w:t>Finanšu un kapitāla tirgus komisijas 2020. gada 1.</w:t>
            </w:r>
            <w:r w:rsidR="002F2F54">
              <w:rPr>
                <w:rFonts w:ascii="Times New Roman" w:eastAsia="Times New Roman" w:hAnsi="Times New Roman" w:cs="Times New Roman"/>
                <w:sz w:val="24"/>
                <w:szCs w:val="24"/>
                <w:lang w:eastAsia="lv-LV"/>
              </w:rPr>
              <w:t xml:space="preserve"> decembra </w:t>
            </w:r>
            <w:r w:rsidR="002F2F54" w:rsidRPr="0045371F">
              <w:rPr>
                <w:rFonts w:ascii="Times New Roman" w:eastAsia="Times New Roman" w:hAnsi="Times New Roman" w:cs="Times New Roman"/>
                <w:sz w:val="24"/>
                <w:szCs w:val="24"/>
                <w:lang w:eastAsia="lv-LV"/>
              </w:rPr>
              <w:t>normatīvie noteikumi Nr. 2</w:t>
            </w:r>
            <w:r w:rsidR="002F2F54">
              <w:rPr>
                <w:rFonts w:ascii="Times New Roman" w:eastAsia="Times New Roman" w:hAnsi="Times New Roman" w:cs="Times New Roman"/>
                <w:sz w:val="24"/>
                <w:szCs w:val="24"/>
                <w:lang w:eastAsia="lv-LV"/>
              </w:rPr>
              <w:t>27</w:t>
            </w:r>
            <w:r w:rsidR="002F2F54" w:rsidRPr="0045371F">
              <w:rPr>
                <w:rFonts w:ascii="Times New Roman" w:eastAsia="Times New Roman" w:hAnsi="Times New Roman" w:cs="Times New Roman"/>
                <w:sz w:val="24"/>
                <w:szCs w:val="24"/>
                <w:lang w:eastAsia="lv-LV"/>
              </w:rPr>
              <w:t xml:space="preserve"> "</w:t>
            </w:r>
            <w:r w:rsidR="002F2F54" w:rsidRPr="00282AB0">
              <w:rPr>
                <w:rFonts w:ascii="Times New Roman" w:eastAsia="Times New Roman" w:hAnsi="Times New Roman" w:cs="Times New Roman"/>
                <w:sz w:val="24"/>
                <w:szCs w:val="24"/>
                <w:lang w:eastAsia="lv-LV"/>
              </w:rPr>
              <w:t>Iekšējās kontroles sistēmas izveides normatīvie noteikumi"</w:t>
            </w:r>
            <w:r w:rsidR="002F2F54" w:rsidRPr="0045371F">
              <w:rPr>
                <w:rFonts w:ascii="Times New Roman" w:eastAsia="Times New Roman" w:hAnsi="Times New Roman" w:cs="Times New Roman"/>
                <w:sz w:val="24"/>
                <w:szCs w:val="24"/>
                <w:lang w:eastAsia="lv-LV"/>
              </w:rPr>
              <w:t>;</w:t>
            </w:r>
          </w:p>
          <w:p w14:paraId="51F1B8E3" w14:textId="04E78A61" w:rsidR="002F2F54" w:rsidRDefault="001A112D" w:rsidP="001A112D">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4)</w:t>
            </w:r>
            <w:r w:rsidR="00571475">
              <w:rPr>
                <w:rFonts w:ascii="Times New Roman" w:eastAsia="Times New Roman" w:hAnsi="Times New Roman" w:cs="Times New Roman"/>
                <w:sz w:val="24"/>
                <w:szCs w:val="24"/>
                <w:lang w:eastAsia="lv-LV"/>
              </w:rPr>
              <w:t> </w:t>
            </w:r>
            <w:r w:rsidR="002F2F54" w:rsidRPr="002F2F54">
              <w:rPr>
                <w:rFonts w:ascii="Times New Roman" w:eastAsia="Times New Roman" w:hAnsi="Times New Roman" w:cs="Times New Roman"/>
                <w:sz w:val="24"/>
                <w:szCs w:val="24"/>
                <w:lang w:eastAsia="lv-LV"/>
              </w:rPr>
              <w:t>Finanšu un kapitāla tirgus komisijas 2020.</w:t>
            </w:r>
            <w:r w:rsidR="00235E50">
              <w:rPr>
                <w:rFonts w:ascii="Times New Roman" w:eastAsia="Times New Roman" w:hAnsi="Times New Roman" w:cs="Times New Roman"/>
                <w:sz w:val="24"/>
                <w:szCs w:val="24"/>
                <w:lang w:eastAsia="lv-LV"/>
              </w:rPr>
              <w:t> </w:t>
            </w:r>
            <w:r w:rsidR="002F2F54" w:rsidRPr="002F2F54">
              <w:rPr>
                <w:rFonts w:ascii="Times New Roman" w:eastAsia="Times New Roman" w:hAnsi="Times New Roman" w:cs="Times New Roman"/>
                <w:sz w:val="24"/>
                <w:szCs w:val="24"/>
                <w:lang w:eastAsia="lv-LV"/>
              </w:rPr>
              <w:t>gada 1</w:t>
            </w:r>
            <w:r w:rsidR="002F2F54">
              <w:rPr>
                <w:rFonts w:ascii="Times New Roman" w:eastAsia="Times New Roman" w:hAnsi="Times New Roman" w:cs="Times New Roman"/>
                <w:sz w:val="24"/>
                <w:szCs w:val="24"/>
                <w:lang w:eastAsia="lv-LV"/>
              </w:rPr>
              <w:t xml:space="preserve">4. jūlija </w:t>
            </w:r>
            <w:r w:rsidR="002F2F54" w:rsidRPr="002F2F54">
              <w:rPr>
                <w:rFonts w:ascii="Times New Roman" w:eastAsia="Times New Roman" w:hAnsi="Times New Roman" w:cs="Times New Roman"/>
                <w:sz w:val="24"/>
                <w:szCs w:val="24"/>
                <w:lang w:eastAsia="lv-LV"/>
              </w:rPr>
              <w:t>normatīvie noteikumi Nr.</w:t>
            </w:r>
            <w:r w:rsidR="002F2F54">
              <w:rPr>
                <w:rFonts w:ascii="Times New Roman" w:eastAsia="Times New Roman" w:hAnsi="Times New Roman" w:cs="Times New Roman"/>
                <w:sz w:val="24"/>
                <w:szCs w:val="24"/>
                <w:lang w:eastAsia="lv-LV"/>
              </w:rPr>
              <w:t> 94</w:t>
            </w:r>
            <w:r w:rsidR="00235E50">
              <w:rPr>
                <w:rFonts w:ascii="Times New Roman" w:eastAsia="Times New Roman" w:hAnsi="Times New Roman" w:cs="Times New Roman"/>
                <w:sz w:val="24"/>
                <w:szCs w:val="24"/>
                <w:lang w:eastAsia="lv-LV"/>
              </w:rPr>
              <w:t xml:space="preserve"> </w:t>
            </w:r>
            <w:r w:rsidR="002F2F54" w:rsidRPr="002F2F54">
              <w:rPr>
                <w:rFonts w:ascii="Times New Roman" w:eastAsia="Times New Roman" w:hAnsi="Times New Roman" w:cs="Times New Roman"/>
                <w:sz w:val="24"/>
                <w:szCs w:val="24"/>
                <w:lang w:eastAsia="lv-LV"/>
              </w:rPr>
              <w:t>"Valdes un padomes locekļu un personu, kuras pilda pamatfunkcijas, piemērotības novērtēšanas normatīvie noteikumi";</w:t>
            </w:r>
          </w:p>
          <w:p w14:paraId="64C3A4C3" w14:textId="46C0DD35" w:rsidR="009468AB" w:rsidRDefault="001A112D" w:rsidP="006B649E">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5)</w:t>
            </w:r>
            <w:r w:rsidR="00571475">
              <w:rPr>
                <w:rFonts w:ascii="Times New Roman" w:eastAsia="Times New Roman" w:hAnsi="Times New Roman" w:cs="Times New Roman"/>
                <w:sz w:val="24"/>
                <w:szCs w:val="24"/>
                <w:lang w:eastAsia="lv-LV"/>
              </w:rPr>
              <w:t xml:space="preserve"> Latvijas Bankas </w:t>
            </w:r>
            <w:r w:rsidR="009468AB" w:rsidRPr="0045371F">
              <w:rPr>
                <w:rFonts w:ascii="Times New Roman" w:eastAsia="Times New Roman" w:hAnsi="Times New Roman" w:cs="Times New Roman"/>
                <w:sz w:val="24"/>
                <w:szCs w:val="24"/>
                <w:lang w:eastAsia="lv-LV"/>
              </w:rPr>
              <w:t>202</w:t>
            </w:r>
            <w:r w:rsidR="00571475">
              <w:rPr>
                <w:rFonts w:ascii="Times New Roman" w:eastAsia="Times New Roman" w:hAnsi="Times New Roman" w:cs="Times New Roman"/>
                <w:sz w:val="24"/>
                <w:szCs w:val="24"/>
                <w:lang w:eastAsia="lv-LV"/>
              </w:rPr>
              <w:t>4</w:t>
            </w:r>
            <w:r w:rsidR="009468AB" w:rsidRPr="0045371F">
              <w:rPr>
                <w:rFonts w:ascii="Times New Roman" w:eastAsia="Times New Roman" w:hAnsi="Times New Roman" w:cs="Times New Roman"/>
                <w:sz w:val="24"/>
                <w:szCs w:val="24"/>
                <w:lang w:eastAsia="lv-LV"/>
              </w:rPr>
              <w:t>.</w:t>
            </w:r>
            <w:r w:rsidR="00090C91" w:rsidRPr="0045371F">
              <w:rPr>
                <w:rFonts w:ascii="Times New Roman" w:eastAsia="Times New Roman" w:hAnsi="Times New Roman" w:cs="Times New Roman"/>
                <w:sz w:val="24"/>
                <w:szCs w:val="24"/>
                <w:lang w:eastAsia="lv-LV"/>
              </w:rPr>
              <w:t> </w:t>
            </w:r>
            <w:r w:rsidR="009468AB" w:rsidRPr="0045371F">
              <w:rPr>
                <w:rFonts w:ascii="Times New Roman" w:eastAsia="Times New Roman" w:hAnsi="Times New Roman" w:cs="Times New Roman"/>
                <w:sz w:val="24"/>
                <w:szCs w:val="24"/>
                <w:lang w:eastAsia="lv-LV"/>
              </w:rPr>
              <w:t xml:space="preserve">gada </w:t>
            </w:r>
            <w:r w:rsidR="00571475">
              <w:rPr>
                <w:rFonts w:ascii="Times New Roman" w:eastAsia="Times New Roman" w:hAnsi="Times New Roman" w:cs="Times New Roman"/>
                <w:sz w:val="24"/>
                <w:szCs w:val="24"/>
                <w:lang w:eastAsia="lv-LV"/>
              </w:rPr>
              <w:t>25</w:t>
            </w:r>
            <w:r w:rsidR="009468AB" w:rsidRPr="0045371F">
              <w:rPr>
                <w:rFonts w:ascii="Times New Roman" w:eastAsia="Times New Roman" w:hAnsi="Times New Roman" w:cs="Times New Roman"/>
                <w:sz w:val="24"/>
                <w:szCs w:val="24"/>
                <w:lang w:eastAsia="lv-LV"/>
              </w:rPr>
              <w:t>.</w:t>
            </w:r>
            <w:r w:rsidR="00090C91" w:rsidRPr="0045371F">
              <w:rPr>
                <w:rFonts w:ascii="Times New Roman" w:eastAsia="Times New Roman" w:hAnsi="Times New Roman" w:cs="Times New Roman"/>
                <w:sz w:val="24"/>
                <w:szCs w:val="24"/>
                <w:lang w:eastAsia="lv-LV"/>
              </w:rPr>
              <w:t> </w:t>
            </w:r>
            <w:r w:rsidR="00571475">
              <w:rPr>
                <w:rFonts w:ascii="Times New Roman" w:eastAsia="Times New Roman" w:hAnsi="Times New Roman" w:cs="Times New Roman"/>
                <w:sz w:val="24"/>
                <w:szCs w:val="24"/>
                <w:lang w:eastAsia="lv-LV"/>
              </w:rPr>
              <w:t xml:space="preserve">marta </w:t>
            </w:r>
            <w:r w:rsidR="009468AB" w:rsidRPr="0045371F">
              <w:rPr>
                <w:rFonts w:ascii="Times New Roman" w:eastAsia="Times New Roman" w:hAnsi="Times New Roman" w:cs="Times New Roman"/>
                <w:sz w:val="24"/>
                <w:szCs w:val="24"/>
                <w:lang w:eastAsia="lv-LV"/>
              </w:rPr>
              <w:t>noteikumi Nr.</w:t>
            </w:r>
            <w:r w:rsidR="00090C91" w:rsidRPr="0045371F">
              <w:rPr>
                <w:rFonts w:ascii="Times New Roman" w:eastAsia="Times New Roman" w:hAnsi="Times New Roman" w:cs="Times New Roman"/>
                <w:sz w:val="24"/>
                <w:szCs w:val="24"/>
                <w:lang w:eastAsia="lv-LV"/>
              </w:rPr>
              <w:t> </w:t>
            </w:r>
            <w:r w:rsidR="009468AB" w:rsidRPr="0045371F">
              <w:rPr>
                <w:rFonts w:ascii="Times New Roman" w:eastAsia="Times New Roman" w:hAnsi="Times New Roman" w:cs="Times New Roman"/>
                <w:sz w:val="24"/>
                <w:szCs w:val="24"/>
                <w:lang w:eastAsia="lv-LV"/>
              </w:rPr>
              <w:t>2</w:t>
            </w:r>
            <w:r w:rsidR="00571475">
              <w:rPr>
                <w:rFonts w:ascii="Times New Roman" w:eastAsia="Times New Roman" w:hAnsi="Times New Roman" w:cs="Times New Roman"/>
                <w:sz w:val="24"/>
                <w:szCs w:val="24"/>
                <w:lang w:eastAsia="lv-LV"/>
              </w:rPr>
              <w:t xml:space="preserve">77 </w:t>
            </w:r>
            <w:r w:rsidR="009468AB" w:rsidRPr="0045371F">
              <w:rPr>
                <w:rFonts w:ascii="Times New Roman" w:eastAsia="Times New Roman" w:hAnsi="Times New Roman" w:cs="Times New Roman"/>
                <w:sz w:val="24"/>
                <w:szCs w:val="24"/>
                <w:lang w:eastAsia="lv-LV"/>
              </w:rPr>
              <w:t>"</w:t>
            </w:r>
            <w:r w:rsidR="00571475" w:rsidRPr="00571475">
              <w:rPr>
                <w:rFonts w:ascii="Times New Roman" w:eastAsia="Times New Roman" w:hAnsi="Times New Roman" w:cs="Times New Roman"/>
                <w:sz w:val="24"/>
                <w:szCs w:val="24"/>
                <w:lang w:eastAsia="lv-LV"/>
              </w:rPr>
              <w:t>Sankciju riska pārvaldīšanas iekšējās kontroles sistēmas izveides un kontroles prasības</w:t>
            </w:r>
            <w:r w:rsidR="009468AB" w:rsidRPr="0045371F">
              <w:rPr>
                <w:rFonts w:ascii="Times New Roman" w:eastAsia="Times New Roman" w:hAnsi="Times New Roman" w:cs="Times New Roman"/>
                <w:sz w:val="24"/>
                <w:szCs w:val="24"/>
                <w:lang w:eastAsia="lv-LV"/>
              </w:rPr>
              <w:t>"</w:t>
            </w:r>
            <w:r w:rsidR="000E37A1" w:rsidRPr="0045371F">
              <w:rPr>
                <w:rFonts w:ascii="Times New Roman" w:eastAsia="Times New Roman" w:hAnsi="Times New Roman" w:cs="Times New Roman"/>
                <w:sz w:val="24"/>
                <w:szCs w:val="24"/>
                <w:lang w:eastAsia="lv-LV"/>
              </w:rPr>
              <w:t>;</w:t>
            </w:r>
          </w:p>
          <w:p w14:paraId="199F0569" w14:textId="5A53FA07" w:rsidR="00D40E90" w:rsidRDefault="001A112D" w:rsidP="006B649E">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6</w:t>
            </w:r>
            <w:r w:rsidR="00093F6A">
              <w:rPr>
                <w:rFonts w:ascii="Times New Roman" w:eastAsia="Times New Roman" w:hAnsi="Times New Roman" w:cs="Times New Roman"/>
                <w:sz w:val="24"/>
                <w:szCs w:val="24"/>
                <w:lang w:eastAsia="lv-LV"/>
              </w:rPr>
              <w:t>)</w:t>
            </w:r>
            <w:r w:rsidR="00571475">
              <w:rPr>
                <w:rFonts w:ascii="Times New Roman" w:eastAsia="Times New Roman" w:hAnsi="Times New Roman" w:cs="Times New Roman"/>
                <w:sz w:val="24"/>
                <w:szCs w:val="24"/>
                <w:lang w:eastAsia="lv-LV"/>
              </w:rPr>
              <w:t> </w:t>
            </w:r>
            <w:r w:rsidR="00282AB0" w:rsidRPr="00282AB0">
              <w:rPr>
                <w:rFonts w:ascii="Times New Roman" w:eastAsia="Times New Roman" w:hAnsi="Times New Roman" w:cs="Times New Roman"/>
                <w:sz w:val="24"/>
                <w:szCs w:val="24"/>
                <w:lang w:eastAsia="lv-LV"/>
              </w:rPr>
              <w:t>Latvijas Bankas 2022. gada 24. oktobra noteikumi Nr. 226 "Noteikumi par elektronisko informācijas apmaiņu ar Latvijas Banku";</w:t>
            </w:r>
          </w:p>
          <w:p w14:paraId="73192243" w14:textId="38C99567" w:rsidR="001A112D" w:rsidRDefault="001A112D" w:rsidP="006B649E">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7)</w:t>
            </w:r>
            <w:r w:rsidR="00571475">
              <w:rPr>
                <w:rFonts w:ascii="Times New Roman" w:eastAsia="Times New Roman" w:hAnsi="Times New Roman" w:cs="Times New Roman"/>
                <w:sz w:val="24"/>
                <w:szCs w:val="24"/>
                <w:lang w:eastAsia="lv-LV"/>
              </w:rPr>
              <w:t> </w:t>
            </w:r>
            <w:r w:rsidRPr="001A112D">
              <w:rPr>
                <w:rFonts w:ascii="Times New Roman" w:eastAsia="Times New Roman" w:hAnsi="Times New Roman" w:cs="Times New Roman"/>
                <w:sz w:val="24"/>
                <w:szCs w:val="24"/>
                <w:lang w:eastAsia="lv-LV"/>
              </w:rPr>
              <w:t>Latvijas Bankas 202</w:t>
            </w:r>
            <w:r>
              <w:rPr>
                <w:rFonts w:ascii="Times New Roman" w:eastAsia="Times New Roman" w:hAnsi="Times New Roman" w:cs="Times New Roman"/>
                <w:sz w:val="24"/>
                <w:szCs w:val="24"/>
                <w:lang w:eastAsia="lv-LV"/>
              </w:rPr>
              <w:t>3</w:t>
            </w:r>
            <w:r w:rsidRPr="001A112D">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w:t>
            </w:r>
            <w:r w:rsidRPr="001A112D">
              <w:rPr>
                <w:rFonts w:ascii="Times New Roman" w:eastAsia="Times New Roman" w:hAnsi="Times New Roman" w:cs="Times New Roman"/>
                <w:sz w:val="24"/>
                <w:szCs w:val="24"/>
                <w:lang w:eastAsia="lv-LV"/>
              </w:rPr>
              <w:t>gada</w:t>
            </w:r>
            <w:r>
              <w:rPr>
                <w:rFonts w:ascii="Times New Roman" w:eastAsia="Times New Roman" w:hAnsi="Times New Roman" w:cs="Times New Roman"/>
                <w:sz w:val="24"/>
                <w:szCs w:val="24"/>
                <w:lang w:eastAsia="lv-LV"/>
              </w:rPr>
              <w:t> 18. decembra noteik</w:t>
            </w:r>
            <w:r w:rsidRPr="001A112D">
              <w:rPr>
                <w:rFonts w:ascii="Times New Roman" w:eastAsia="Times New Roman" w:hAnsi="Times New Roman" w:cs="Times New Roman"/>
                <w:sz w:val="24"/>
                <w:szCs w:val="24"/>
                <w:lang w:eastAsia="lv-LV"/>
              </w:rPr>
              <w:t>umi Nr</w:t>
            </w:r>
            <w:r>
              <w:rPr>
                <w:rFonts w:ascii="Times New Roman" w:eastAsia="Times New Roman" w:hAnsi="Times New Roman" w:cs="Times New Roman"/>
                <w:sz w:val="24"/>
                <w:szCs w:val="24"/>
                <w:lang w:eastAsia="lv-LV"/>
              </w:rPr>
              <w:t>. 264</w:t>
            </w:r>
            <w:r w:rsidR="00235E50">
              <w:rPr>
                <w:rFonts w:ascii="Times New Roman" w:eastAsia="Times New Roman" w:hAnsi="Times New Roman" w:cs="Times New Roman"/>
                <w:sz w:val="24"/>
                <w:szCs w:val="24"/>
                <w:lang w:eastAsia="lv-LV"/>
              </w:rPr>
              <w:t xml:space="preserve"> </w:t>
            </w:r>
            <w:r w:rsidRPr="002F2F54">
              <w:rPr>
                <w:rFonts w:ascii="Times New Roman" w:eastAsia="Times New Roman" w:hAnsi="Times New Roman" w:cs="Times New Roman"/>
                <w:sz w:val="24"/>
                <w:szCs w:val="24"/>
                <w:lang w:eastAsia="lv-LV"/>
              </w:rPr>
              <w:t>"</w:t>
            </w:r>
            <w:r w:rsidRPr="001A112D">
              <w:rPr>
                <w:rFonts w:ascii="Times New Roman" w:eastAsia="Times New Roman" w:hAnsi="Times New Roman" w:cs="Times New Roman"/>
                <w:sz w:val="24"/>
                <w:szCs w:val="24"/>
                <w:lang w:eastAsia="lv-LV"/>
              </w:rPr>
              <w:t>Papildu prasības kredītiestāžu būtiskas, aizsargājamas vai konfidenciālas informācijas atklāšanai</w:t>
            </w:r>
            <w:r w:rsidR="00D573EE">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w:t>
            </w:r>
          </w:p>
          <w:p w14:paraId="050932D9" w14:textId="04B46A23" w:rsidR="00402621" w:rsidRPr="00402621" w:rsidRDefault="00402621" w:rsidP="006B649E">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8)</w:t>
            </w:r>
            <w:r w:rsidR="00571475">
              <w:rPr>
                <w:rFonts w:ascii="Times New Roman" w:eastAsia="Times New Roman" w:hAnsi="Times New Roman" w:cs="Times New Roman"/>
                <w:sz w:val="24"/>
                <w:szCs w:val="24"/>
                <w:lang w:eastAsia="lv-LV"/>
              </w:rPr>
              <w:t> </w:t>
            </w:r>
            <w:r w:rsidRPr="00402621">
              <w:rPr>
                <w:rFonts w:ascii="Times New Roman" w:eastAsia="Times New Roman" w:hAnsi="Times New Roman" w:cs="Times New Roman"/>
                <w:sz w:val="24"/>
                <w:szCs w:val="24"/>
                <w:lang w:eastAsia="lv-LV"/>
              </w:rPr>
              <w:t xml:space="preserve">Finanšu un kapitāla tirgus komisijas </w:t>
            </w:r>
            <w:r>
              <w:rPr>
                <w:rFonts w:ascii="Times New Roman" w:eastAsia="Times New Roman" w:hAnsi="Times New Roman" w:cs="Times New Roman"/>
                <w:sz w:val="24"/>
                <w:szCs w:val="24"/>
                <w:lang w:eastAsia="lv-LV"/>
              </w:rPr>
              <w:t>2020.</w:t>
            </w:r>
            <w:r w:rsidR="00235E50">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gada 3.</w:t>
            </w:r>
            <w:r w:rsidR="00235E50">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novembra normatīvie noteikumi Nr.</w:t>
            </w:r>
            <w:r w:rsidR="00235E50">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 xml:space="preserve">209 </w:t>
            </w:r>
            <w:r w:rsidRPr="00402621">
              <w:rPr>
                <w:rFonts w:ascii="Times New Roman" w:eastAsia="Times New Roman" w:hAnsi="Times New Roman" w:cs="Times New Roman"/>
                <w:sz w:val="24"/>
                <w:szCs w:val="24"/>
                <w:lang w:eastAsia="lv-LV"/>
              </w:rPr>
              <w:t>"Kapitāla un likviditātes pietiekamības novērtēšanas procesa izveides normatīvie noteikumi";</w:t>
            </w:r>
          </w:p>
          <w:p w14:paraId="61C62AD4" w14:textId="4885A57B" w:rsidR="000C6B17" w:rsidRDefault="00402621" w:rsidP="006B649E">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9</w:t>
            </w:r>
            <w:r w:rsidR="000C6B17">
              <w:rPr>
                <w:rFonts w:ascii="Times New Roman" w:eastAsia="Times New Roman" w:hAnsi="Times New Roman" w:cs="Times New Roman"/>
                <w:sz w:val="24"/>
                <w:szCs w:val="24"/>
                <w:lang w:eastAsia="lv-LV"/>
              </w:rPr>
              <w:t>)</w:t>
            </w:r>
            <w:r w:rsidR="00571475">
              <w:rPr>
                <w:rFonts w:ascii="Times New Roman" w:eastAsia="Times New Roman" w:hAnsi="Times New Roman" w:cs="Times New Roman"/>
                <w:sz w:val="24"/>
                <w:szCs w:val="24"/>
                <w:lang w:eastAsia="lv-LV"/>
              </w:rPr>
              <w:t> </w:t>
            </w:r>
            <w:r w:rsidR="000C6B17" w:rsidRPr="000C6B17">
              <w:rPr>
                <w:rFonts w:ascii="Times New Roman" w:eastAsia="Times New Roman" w:hAnsi="Times New Roman" w:cs="Times New Roman"/>
                <w:sz w:val="24"/>
                <w:szCs w:val="24"/>
                <w:lang w:eastAsia="lv-LV"/>
              </w:rPr>
              <w:t>Finanšu un kapitāla tirgus komisijas 202</w:t>
            </w:r>
            <w:r w:rsidR="000C6B17">
              <w:rPr>
                <w:rFonts w:ascii="Times New Roman" w:eastAsia="Times New Roman" w:hAnsi="Times New Roman" w:cs="Times New Roman"/>
                <w:sz w:val="24"/>
                <w:szCs w:val="24"/>
                <w:lang w:eastAsia="lv-LV"/>
              </w:rPr>
              <w:t>1</w:t>
            </w:r>
            <w:r w:rsidR="000C6B17" w:rsidRPr="000C6B17">
              <w:rPr>
                <w:rFonts w:ascii="Times New Roman" w:eastAsia="Times New Roman" w:hAnsi="Times New Roman" w:cs="Times New Roman"/>
                <w:sz w:val="24"/>
                <w:szCs w:val="24"/>
                <w:lang w:eastAsia="lv-LV"/>
              </w:rPr>
              <w:t>.</w:t>
            </w:r>
            <w:r w:rsidR="00235E50">
              <w:rPr>
                <w:rFonts w:ascii="Times New Roman" w:eastAsia="Times New Roman" w:hAnsi="Times New Roman" w:cs="Times New Roman"/>
                <w:sz w:val="24"/>
                <w:szCs w:val="24"/>
                <w:lang w:eastAsia="lv-LV"/>
              </w:rPr>
              <w:t> </w:t>
            </w:r>
            <w:r w:rsidR="000C6B17" w:rsidRPr="000C6B17">
              <w:rPr>
                <w:rFonts w:ascii="Times New Roman" w:eastAsia="Times New Roman" w:hAnsi="Times New Roman" w:cs="Times New Roman"/>
                <w:sz w:val="24"/>
                <w:szCs w:val="24"/>
                <w:lang w:eastAsia="lv-LV"/>
              </w:rPr>
              <w:t>gada 1</w:t>
            </w:r>
            <w:r w:rsidR="000C6B17">
              <w:rPr>
                <w:rFonts w:ascii="Times New Roman" w:eastAsia="Times New Roman" w:hAnsi="Times New Roman" w:cs="Times New Roman"/>
                <w:sz w:val="24"/>
                <w:szCs w:val="24"/>
                <w:lang w:eastAsia="lv-LV"/>
              </w:rPr>
              <w:t>6</w:t>
            </w:r>
            <w:r w:rsidR="000C6B17" w:rsidRPr="000C6B17">
              <w:rPr>
                <w:rFonts w:ascii="Times New Roman" w:eastAsia="Times New Roman" w:hAnsi="Times New Roman" w:cs="Times New Roman"/>
                <w:sz w:val="24"/>
                <w:szCs w:val="24"/>
                <w:lang w:eastAsia="lv-LV"/>
              </w:rPr>
              <w:t>.</w:t>
            </w:r>
            <w:r w:rsidR="00235E50">
              <w:rPr>
                <w:rFonts w:ascii="Times New Roman" w:eastAsia="Times New Roman" w:hAnsi="Times New Roman" w:cs="Times New Roman"/>
                <w:sz w:val="24"/>
                <w:szCs w:val="24"/>
                <w:lang w:eastAsia="lv-LV"/>
              </w:rPr>
              <w:t> </w:t>
            </w:r>
            <w:r w:rsidR="000C6B17">
              <w:rPr>
                <w:rFonts w:ascii="Times New Roman" w:eastAsia="Times New Roman" w:hAnsi="Times New Roman" w:cs="Times New Roman"/>
                <w:sz w:val="24"/>
                <w:szCs w:val="24"/>
                <w:lang w:eastAsia="lv-LV"/>
              </w:rPr>
              <w:t xml:space="preserve">novembra </w:t>
            </w:r>
            <w:r w:rsidR="000C6B17" w:rsidRPr="000C6B17">
              <w:rPr>
                <w:rFonts w:ascii="Times New Roman" w:eastAsia="Times New Roman" w:hAnsi="Times New Roman" w:cs="Times New Roman"/>
                <w:sz w:val="24"/>
                <w:szCs w:val="24"/>
                <w:lang w:eastAsia="lv-LV"/>
              </w:rPr>
              <w:t>normatīvie noteikumi Nr.</w:t>
            </w:r>
            <w:r w:rsidR="00235E50">
              <w:rPr>
                <w:rFonts w:ascii="Times New Roman" w:eastAsia="Times New Roman" w:hAnsi="Times New Roman" w:cs="Times New Roman"/>
                <w:sz w:val="24"/>
                <w:szCs w:val="24"/>
                <w:lang w:eastAsia="lv-LV"/>
              </w:rPr>
              <w:t> </w:t>
            </w:r>
            <w:r w:rsidR="000C6B17">
              <w:rPr>
                <w:rFonts w:ascii="Times New Roman" w:eastAsia="Times New Roman" w:hAnsi="Times New Roman" w:cs="Times New Roman"/>
                <w:sz w:val="24"/>
                <w:szCs w:val="24"/>
                <w:lang w:eastAsia="lv-LV"/>
              </w:rPr>
              <w:t xml:space="preserve">154 </w:t>
            </w:r>
            <w:r w:rsidR="000C6B17" w:rsidRPr="000C6B17">
              <w:rPr>
                <w:rFonts w:ascii="Times New Roman" w:eastAsia="Times New Roman" w:hAnsi="Times New Roman" w:cs="Times New Roman"/>
                <w:sz w:val="24"/>
                <w:szCs w:val="24"/>
                <w:lang w:eastAsia="lv-LV"/>
              </w:rPr>
              <w:t>"</w:t>
            </w:r>
            <w:r w:rsidR="000C6B17">
              <w:rPr>
                <w:rFonts w:ascii="Times New Roman" w:eastAsia="Times New Roman" w:hAnsi="Times New Roman" w:cs="Times New Roman"/>
                <w:sz w:val="24"/>
                <w:szCs w:val="24"/>
                <w:lang w:eastAsia="lv-LV"/>
              </w:rPr>
              <w:t>Normatīvie noteikumi par atalgojuma politiku un praksi</w:t>
            </w:r>
            <w:r w:rsidR="000C6B17" w:rsidRPr="000C6B17">
              <w:rPr>
                <w:rFonts w:ascii="Times New Roman" w:eastAsia="Times New Roman" w:hAnsi="Times New Roman" w:cs="Times New Roman"/>
                <w:sz w:val="24"/>
                <w:szCs w:val="24"/>
                <w:lang w:eastAsia="lv-LV"/>
              </w:rPr>
              <w:t>";</w:t>
            </w:r>
          </w:p>
          <w:p w14:paraId="68FB9401" w14:textId="2AD77B3F" w:rsidR="00282AB0" w:rsidRDefault="00402621" w:rsidP="006B649E">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10</w:t>
            </w:r>
            <w:r w:rsidR="001A112D">
              <w:rPr>
                <w:rFonts w:ascii="Times New Roman" w:eastAsia="Times New Roman" w:hAnsi="Times New Roman" w:cs="Times New Roman"/>
                <w:sz w:val="24"/>
                <w:szCs w:val="24"/>
                <w:lang w:eastAsia="lv-LV"/>
              </w:rPr>
              <w:t>)</w:t>
            </w:r>
            <w:r w:rsidR="00571475">
              <w:rPr>
                <w:rFonts w:ascii="Times New Roman" w:eastAsia="Times New Roman" w:hAnsi="Times New Roman" w:cs="Times New Roman"/>
                <w:sz w:val="24"/>
                <w:szCs w:val="24"/>
                <w:lang w:eastAsia="lv-LV"/>
              </w:rPr>
              <w:t> </w:t>
            </w:r>
            <w:r w:rsidR="002F2F54" w:rsidRPr="002F2F54">
              <w:rPr>
                <w:rFonts w:ascii="Times New Roman" w:eastAsia="Times New Roman" w:hAnsi="Times New Roman" w:cs="Times New Roman"/>
                <w:sz w:val="24"/>
                <w:szCs w:val="24"/>
                <w:lang w:eastAsia="lv-LV"/>
              </w:rPr>
              <w:t>Eiropas Banku iestādes 2023.</w:t>
            </w:r>
            <w:r w:rsidR="00235E50">
              <w:rPr>
                <w:rFonts w:ascii="Times New Roman" w:eastAsia="Times New Roman" w:hAnsi="Times New Roman" w:cs="Times New Roman"/>
                <w:sz w:val="24"/>
                <w:szCs w:val="24"/>
                <w:lang w:eastAsia="lv-LV"/>
              </w:rPr>
              <w:t> </w:t>
            </w:r>
            <w:r w:rsidR="002F2F54" w:rsidRPr="002F2F54">
              <w:rPr>
                <w:rFonts w:ascii="Times New Roman" w:eastAsia="Times New Roman" w:hAnsi="Times New Roman" w:cs="Times New Roman"/>
                <w:sz w:val="24"/>
                <w:szCs w:val="24"/>
                <w:lang w:eastAsia="lv-LV"/>
              </w:rPr>
              <w:t>gada 18.</w:t>
            </w:r>
            <w:r w:rsidR="00235E50">
              <w:rPr>
                <w:rFonts w:ascii="Times New Roman" w:eastAsia="Times New Roman" w:hAnsi="Times New Roman" w:cs="Times New Roman"/>
                <w:sz w:val="24"/>
                <w:szCs w:val="24"/>
                <w:lang w:eastAsia="lv-LV"/>
              </w:rPr>
              <w:t> </w:t>
            </w:r>
            <w:r w:rsidR="002F2F54" w:rsidRPr="002F2F54">
              <w:rPr>
                <w:rFonts w:ascii="Times New Roman" w:eastAsia="Times New Roman" w:hAnsi="Times New Roman" w:cs="Times New Roman"/>
                <w:sz w:val="24"/>
                <w:szCs w:val="24"/>
                <w:lang w:eastAsia="lv-LV"/>
              </w:rPr>
              <w:t>decembra pamatnostādn</w:t>
            </w:r>
            <w:r w:rsidR="002F2F54">
              <w:rPr>
                <w:rFonts w:ascii="Times New Roman" w:eastAsia="Times New Roman" w:hAnsi="Times New Roman" w:cs="Times New Roman"/>
                <w:sz w:val="24"/>
                <w:szCs w:val="24"/>
                <w:lang w:eastAsia="lv-LV"/>
              </w:rPr>
              <w:t>es</w:t>
            </w:r>
            <w:r w:rsidR="002F2F54" w:rsidRPr="002F2F54">
              <w:rPr>
                <w:rFonts w:ascii="Times New Roman" w:eastAsia="Times New Roman" w:hAnsi="Times New Roman" w:cs="Times New Roman"/>
                <w:sz w:val="24"/>
                <w:szCs w:val="24"/>
                <w:lang w:eastAsia="lv-LV"/>
              </w:rPr>
              <w:t xml:space="preserve"> Nr.</w:t>
            </w:r>
            <w:r w:rsidR="00235E50">
              <w:rPr>
                <w:rFonts w:ascii="Times New Roman" w:eastAsia="Times New Roman" w:hAnsi="Times New Roman" w:cs="Times New Roman"/>
                <w:sz w:val="24"/>
                <w:szCs w:val="24"/>
                <w:lang w:eastAsia="lv-LV"/>
              </w:rPr>
              <w:t> </w:t>
            </w:r>
            <w:r w:rsidR="002F2F54" w:rsidRPr="002F2F54">
              <w:rPr>
                <w:rFonts w:ascii="Times New Roman" w:eastAsia="Times New Roman" w:hAnsi="Times New Roman" w:cs="Times New Roman"/>
                <w:sz w:val="24"/>
                <w:szCs w:val="24"/>
                <w:lang w:eastAsia="lv-LV"/>
              </w:rPr>
              <w:t xml:space="preserve">EBA/GL/2023/08 "Pamatnostādnes par dažādības prakses, tostarp dažādības politikas un vīriešu un sieviešu darba samaksas atšķirību, salīdzinošo novērtēšanu saskaņā ar </w:t>
            </w:r>
            <w:r w:rsidR="00235E50">
              <w:rPr>
                <w:rFonts w:ascii="Times New Roman" w:eastAsia="Times New Roman" w:hAnsi="Times New Roman" w:cs="Times New Roman"/>
                <w:sz w:val="24"/>
                <w:szCs w:val="24"/>
                <w:lang w:eastAsia="lv-LV"/>
              </w:rPr>
              <w:t>D</w:t>
            </w:r>
            <w:r w:rsidR="00235E50" w:rsidRPr="002F2F54">
              <w:rPr>
                <w:rFonts w:ascii="Times New Roman" w:eastAsia="Times New Roman" w:hAnsi="Times New Roman" w:cs="Times New Roman"/>
                <w:sz w:val="24"/>
                <w:szCs w:val="24"/>
                <w:lang w:eastAsia="lv-LV"/>
              </w:rPr>
              <w:t>irektīvu</w:t>
            </w:r>
            <w:r w:rsidR="00235E50">
              <w:rPr>
                <w:rFonts w:ascii="Times New Roman" w:eastAsia="Times New Roman" w:hAnsi="Times New Roman" w:cs="Times New Roman"/>
                <w:sz w:val="24"/>
                <w:szCs w:val="24"/>
                <w:lang w:eastAsia="lv-LV"/>
              </w:rPr>
              <w:t> </w:t>
            </w:r>
            <w:r w:rsidR="002F2F54" w:rsidRPr="002F2F54">
              <w:rPr>
                <w:rFonts w:ascii="Times New Roman" w:eastAsia="Times New Roman" w:hAnsi="Times New Roman" w:cs="Times New Roman"/>
                <w:sz w:val="24"/>
                <w:szCs w:val="24"/>
                <w:lang w:eastAsia="lv-LV"/>
              </w:rPr>
              <w:t xml:space="preserve">2013/36/ES un </w:t>
            </w:r>
            <w:r w:rsidR="00235E50">
              <w:rPr>
                <w:rFonts w:ascii="Times New Roman" w:eastAsia="Times New Roman" w:hAnsi="Times New Roman" w:cs="Times New Roman"/>
                <w:sz w:val="24"/>
                <w:szCs w:val="24"/>
                <w:lang w:eastAsia="lv-LV"/>
              </w:rPr>
              <w:t>D</w:t>
            </w:r>
            <w:r w:rsidR="00235E50" w:rsidRPr="002F2F54">
              <w:rPr>
                <w:rFonts w:ascii="Times New Roman" w:eastAsia="Times New Roman" w:hAnsi="Times New Roman" w:cs="Times New Roman"/>
                <w:sz w:val="24"/>
                <w:szCs w:val="24"/>
                <w:lang w:eastAsia="lv-LV"/>
              </w:rPr>
              <w:t xml:space="preserve">irektīvu </w:t>
            </w:r>
            <w:r w:rsidR="002F2F54" w:rsidRPr="002F2F54">
              <w:rPr>
                <w:rFonts w:ascii="Times New Roman" w:eastAsia="Times New Roman" w:hAnsi="Times New Roman" w:cs="Times New Roman"/>
                <w:sz w:val="24"/>
                <w:szCs w:val="24"/>
                <w:lang w:eastAsia="lv-LV"/>
              </w:rPr>
              <w:t>(ES)</w:t>
            </w:r>
            <w:r w:rsidR="00235E50">
              <w:rPr>
                <w:rFonts w:ascii="Times New Roman" w:eastAsia="Times New Roman" w:hAnsi="Times New Roman" w:cs="Times New Roman"/>
                <w:sz w:val="24"/>
                <w:szCs w:val="24"/>
                <w:lang w:eastAsia="lv-LV"/>
              </w:rPr>
              <w:t> </w:t>
            </w:r>
            <w:r w:rsidR="002F2F54" w:rsidRPr="002F2F54">
              <w:rPr>
                <w:rFonts w:ascii="Times New Roman" w:eastAsia="Times New Roman" w:hAnsi="Times New Roman" w:cs="Times New Roman"/>
                <w:sz w:val="24"/>
                <w:szCs w:val="24"/>
                <w:lang w:eastAsia="lv-LV"/>
              </w:rPr>
              <w:t>2019/2034"</w:t>
            </w:r>
            <w:r w:rsidR="002F2F54">
              <w:rPr>
                <w:rFonts w:ascii="Times New Roman" w:eastAsia="Times New Roman" w:hAnsi="Times New Roman" w:cs="Times New Roman"/>
                <w:sz w:val="24"/>
                <w:szCs w:val="24"/>
                <w:lang w:eastAsia="lv-LV"/>
              </w:rPr>
              <w:t>;</w:t>
            </w:r>
          </w:p>
          <w:p w14:paraId="36B25790" w14:textId="7609ACBF" w:rsidR="002F2F54" w:rsidRDefault="00402621" w:rsidP="002F2F54">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11</w:t>
            </w:r>
            <w:r w:rsidR="001A112D">
              <w:rPr>
                <w:rFonts w:ascii="Times New Roman" w:eastAsia="Times New Roman" w:hAnsi="Times New Roman" w:cs="Times New Roman"/>
                <w:sz w:val="24"/>
                <w:szCs w:val="24"/>
                <w:lang w:eastAsia="lv-LV"/>
              </w:rPr>
              <w:t xml:space="preserve">) </w:t>
            </w:r>
            <w:r w:rsidR="002F2F54" w:rsidRPr="002F2F54">
              <w:rPr>
                <w:rFonts w:ascii="Times New Roman" w:eastAsia="Times New Roman" w:hAnsi="Times New Roman" w:cs="Times New Roman"/>
                <w:sz w:val="24"/>
                <w:szCs w:val="24"/>
                <w:lang w:eastAsia="lv-LV"/>
              </w:rPr>
              <w:t>Eiropas Banku iestādes 2021.</w:t>
            </w:r>
            <w:r w:rsidR="00235E50">
              <w:rPr>
                <w:rFonts w:ascii="Times New Roman" w:eastAsia="Times New Roman" w:hAnsi="Times New Roman" w:cs="Times New Roman"/>
                <w:sz w:val="24"/>
                <w:szCs w:val="24"/>
                <w:lang w:eastAsia="lv-LV"/>
              </w:rPr>
              <w:t> </w:t>
            </w:r>
            <w:r w:rsidR="002F2F54" w:rsidRPr="002F2F54">
              <w:rPr>
                <w:rFonts w:ascii="Times New Roman" w:eastAsia="Times New Roman" w:hAnsi="Times New Roman" w:cs="Times New Roman"/>
                <w:sz w:val="24"/>
                <w:szCs w:val="24"/>
                <w:lang w:eastAsia="lv-LV"/>
              </w:rPr>
              <w:t>gada 2.</w:t>
            </w:r>
            <w:r w:rsidR="00235E50">
              <w:rPr>
                <w:rFonts w:ascii="Times New Roman" w:eastAsia="Times New Roman" w:hAnsi="Times New Roman" w:cs="Times New Roman"/>
                <w:sz w:val="24"/>
                <w:szCs w:val="24"/>
                <w:lang w:eastAsia="lv-LV"/>
              </w:rPr>
              <w:t> </w:t>
            </w:r>
            <w:r w:rsidR="002F2F54" w:rsidRPr="002F2F54">
              <w:rPr>
                <w:rFonts w:ascii="Times New Roman" w:eastAsia="Times New Roman" w:hAnsi="Times New Roman" w:cs="Times New Roman"/>
                <w:sz w:val="24"/>
                <w:szCs w:val="24"/>
                <w:lang w:eastAsia="lv-LV"/>
              </w:rPr>
              <w:t>jūlija pamatnostādn</w:t>
            </w:r>
            <w:r w:rsidR="002F2F54">
              <w:rPr>
                <w:rFonts w:ascii="Times New Roman" w:eastAsia="Times New Roman" w:hAnsi="Times New Roman" w:cs="Times New Roman"/>
                <w:sz w:val="24"/>
                <w:szCs w:val="24"/>
                <w:lang w:eastAsia="lv-LV"/>
              </w:rPr>
              <w:t>es</w:t>
            </w:r>
            <w:r w:rsidR="002F2F54" w:rsidRPr="002F2F54">
              <w:rPr>
                <w:rFonts w:ascii="Times New Roman" w:eastAsia="Times New Roman" w:hAnsi="Times New Roman" w:cs="Times New Roman"/>
                <w:sz w:val="24"/>
                <w:szCs w:val="24"/>
                <w:lang w:eastAsia="lv-LV"/>
              </w:rPr>
              <w:t xml:space="preserve"> Nr.</w:t>
            </w:r>
            <w:r w:rsidR="00235E50">
              <w:rPr>
                <w:rFonts w:ascii="Times New Roman" w:eastAsia="Times New Roman" w:hAnsi="Times New Roman" w:cs="Times New Roman"/>
                <w:sz w:val="24"/>
                <w:szCs w:val="24"/>
                <w:lang w:eastAsia="lv-LV"/>
              </w:rPr>
              <w:t> </w:t>
            </w:r>
            <w:r w:rsidR="002F2F54" w:rsidRPr="002F2F54">
              <w:rPr>
                <w:rFonts w:ascii="Times New Roman" w:eastAsia="Times New Roman" w:hAnsi="Times New Roman" w:cs="Times New Roman"/>
                <w:sz w:val="24"/>
                <w:szCs w:val="24"/>
                <w:lang w:eastAsia="lv-LV"/>
              </w:rPr>
              <w:t xml:space="preserve">EBA/GL/2021/04 "Pamatnostādnes par pareizu atalgojuma politiku saskaņā ar </w:t>
            </w:r>
            <w:r w:rsidR="00235E50">
              <w:rPr>
                <w:rFonts w:ascii="Times New Roman" w:eastAsia="Times New Roman" w:hAnsi="Times New Roman" w:cs="Times New Roman"/>
                <w:sz w:val="24"/>
                <w:szCs w:val="24"/>
                <w:lang w:eastAsia="lv-LV"/>
              </w:rPr>
              <w:t>D</w:t>
            </w:r>
            <w:r w:rsidR="00235E50" w:rsidRPr="002F2F54">
              <w:rPr>
                <w:rFonts w:ascii="Times New Roman" w:eastAsia="Times New Roman" w:hAnsi="Times New Roman" w:cs="Times New Roman"/>
                <w:sz w:val="24"/>
                <w:szCs w:val="24"/>
                <w:lang w:eastAsia="lv-LV"/>
              </w:rPr>
              <w:t>irektīvu</w:t>
            </w:r>
            <w:r w:rsidR="00235E50">
              <w:rPr>
                <w:rFonts w:ascii="Times New Roman" w:eastAsia="Times New Roman" w:hAnsi="Times New Roman" w:cs="Times New Roman"/>
                <w:sz w:val="24"/>
                <w:szCs w:val="24"/>
                <w:lang w:eastAsia="lv-LV"/>
              </w:rPr>
              <w:t> </w:t>
            </w:r>
            <w:r w:rsidR="002F2F54" w:rsidRPr="002F2F54">
              <w:rPr>
                <w:rFonts w:ascii="Times New Roman" w:eastAsia="Times New Roman" w:hAnsi="Times New Roman" w:cs="Times New Roman"/>
                <w:sz w:val="24"/>
                <w:szCs w:val="24"/>
                <w:lang w:eastAsia="lv-LV"/>
              </w:rPr>
              <w:t>2013/36/ES";</w:t>
            </w:r>
          </w:p>
          <w:p w14:paraId="72D5F1EC" w14:textId="6C351238" w:rsidR="002F2F54" w:rsidRDefault="001A112D" w:rsidP="002F2F54">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1</w:t>
            </w:r>
            <w:r w:rsidR="00402621">
              <w:rPr>
                <w:rFonts w:ascii="Times New Roman" w:eastAsia="Times New Roman" w:hAnsi="Times New Roman" w:cs="Times New Roman"/>
                <w:sz w:val="24"/>
                <w:szCs w:val="24"/>
                <w:lang w:eastAsia="lv-LV"/>
              </w:rPr>
              <w:t>2</w:t>
            </w:r>
            <w:r>
              <w:rPr>
                <w:rFonts w:ascii="Times New Roman" w:eastAsia="Times New Roman" w:hAnsi="Times New Roman" w:cs="Times New Roman"/>
                <w:sz w:val="24"/>
                <w:szCs w:val="24"/>
                <w:lang w:eastAsia="lv-LV"/>
              </w:rPr>
              <w:t>)</w:t>
            </w:r>
            <w:r w:rsidR="00571475">
              <w:rPr>
                <w:rFonts w:ascii="Times New Roman" w:eastAsia="Times New Roman" w:hAnsi="Times New Roman" w:cs="Times New Roman"/>
                <w:sz w:val="24"/>
                <w:szCs w:val="24"/>
                <w:lang w:eastAsia="lv-LV"/>
              </w:rPr>
              <w:t> </w:t>
            </w:r>
            <w:r w:rsidR="002F2F54" w:rsidRPr="002F2F54">
              <w:rPr>
                <w:rFonts w:ascii="Times New Roman" w:eastAsia="Times New Roman" w:hAnsi="Times New Roman" w:cs="Times New Roman"/>
                <w:sz w:val="24"/>
                <w:szCs w:val="24"/>
                <w:lang w:eastAsia="lv-LV"/>
              </w:rPr>
              <w:t>Eiropas Banku iestādes un Eiropas Vērtspapīru un tirgu iestādes 2021.</w:t>
            </w:r>
            <w:r>
              <w:rPr>
                <w:rFonts w:ascii="Times New Roman" w:eastAsia="Times New Roman" w:hAnsi="Times New Roman" w:cs="Times New Roman"/>
                <w:sz w:val="24"/>
                <w:szCs w:val="24"/>
                <w:lang w:eastAsia="lv-LV"/>
              </w:rPr>
              <w:t> </w:t>
            </w:r>
            <w:r w:rsidR="002F2F54" w:rsidRPr="002F2F54">
              <w:rPr>
                <w:rFonts w:ascii="Times New Roman" w:eastAsia="Times New Roman" w:hAnsi="Times New Roman" w:cs="Times New Roman"/>
                <w:sz w:val="24"/>
                <w:szCs w:val="24"/>
                <w:lang w:eastAsia="lv-LV"/>
              </w:rPr>
              <w:t>gada</w:t>
            </w:r>
            <w:r>
              <w:rPr>
                <w:rFonts w:ascii="Times New Roman" w:eastAsia="Times New Roman" w:hAnsi="Times New Roman" w:cs="Times New Roman"/>
                <w:sz w:val="24"/>
                <w:szCs w:val="24"/>
                <w:lang w:eastAsia="lv-LV"/>
              </w:rPr>
              <w:t xml:space="preserve"> </w:t>
            </w:r>
            <w:r w:rsidR="002F2F54" w:rsidRPr="002F2F54">
              <w:rPr>
                <w:rFonts w:ascii="Times New Roman" w:eastAsia="Times New Roman" w:hAnsi="Times New Roman" w:cs="Times New Roman"/>
                <w:sz w:val="24"/>
                <w:szCs w:val="24"/>
                <w:lang w:eastAsia="lv-LV"/>
              </w:rPr>
              <w:t>2.</w:t>
            </w:r>
            <w:r>
              <w:rPr>
                <w:rFonts w:ascii="Times New Roman" w:eastAsia="Times New Roman" w:hAnsi="Times New Roman" w:cs="Times New Roman"/>
                <w:sz w:val="24"/>
                <w:szCs w:val="24"/>
                <w:lang w:eastAsia="lv-LV"/>
              </w:rPr>
              <w:t> </w:t>
            </w:r>
            <w:r w:rsidR="002F2F54" w:rsidRPr="002F2F54">
              <w:rPr>
                <w:rFonts w:ascii="Times New Roman" w:eastAsia="Times New Roman" w:hAnsi="Times New Roman" w:cs="Times New Roman"/>
                <w:sz w:val="24"/>
                <w:szCs w:val="24"/>
                <w:lang w:eastAsia="lv-LV"/>
              </w:rPr>
              <w:t>jūlija</w:t>
            </w:r>
            <w:r>
              <w:rPr>
                <w:rFonts w:ascii="Times New Roman" w:eastAsia="Times New Roman" w:hAnsi="Times New Roman" w:cs="Times New Roman"/>
                <w:sz w:val="24"/>
                <w:szCs w:val="24"/>
                <w:lang w:eastAsia="lv-LV"/>
              </w:rPr>
              <w:t xml:space="preserve"> </w:t>
            </w:r>
            <w:r w:rsidR="002F2F54" w:rsidRPr="002F2F54">
              <w:rPr>
                <w:rFonts w:ascii="Times New Roman" w:eastAsia="Times New Roman" w:hAnsi="Times New Roman" w:cs="Times New Roman"/>
                <w:sz w:val="24"/>
                <w:szCs w:val="24"/>
                <w:lang w:eastAsia="lv-LV"/>
              </w:rPr>
              <w:t>pamatnostādn</w:t>
            </w:r>
            <w:r w:rsidR="002F2F54">
              <w:rPr>
                <w:rFonts w:ascii="Times New Roman" w:eastAsia="Times New Roman" w:hAnsi="Times New Roman" w:cs="Times New Roman"/>
                <w:sz w:val="24"/>
                <w:szCs w:val="24"/>
                <w:lang w:eastAsia="lv-LV"/>
              </w:rPr>
              <w:t>es</w:t>
            </w:r>
            <w:r w:rsidR="002F2F54" w:rsidRPr="002F2F54">
              <w:rPr>
                <w:rFonts w:ascii="Times New Roman" w:eastAsia="Times New Roman" w:hAnsi="Times New Roman" w:cs="Times New Roman"/>
                <w:sz w:val="24"/>
                <w:szCs w:val="24"/>
                <w:lang w:eastAsia="lv-LV"/>
              </w:rPr>
              <w:t xml:space="preserve"> Nr.</w:t>
            </w:r>
            <w:r>
              <w:rPr>
                <w:rFonts w:ascii="Times New Roman" w:eastAsia="Times New Roman" w:hAnsi="Times New Roman" w:cs="Times New Roman"/>
                <w:sz w:val="24"/>
                <w:szCs w:val="24"/>
                <w:lang w:eastAsia="lv-LV"/>
              </w:rPr>
              <w:t> </w:t>
            </w:r>
            <w:r w:rsidR="002F2F54" w:rsidRPr="002F2F54">
              <w:rPr>
                <w:rFonts w:ascii="Times New Roman" w:eastAsia="Times New Roman" w:hAnsi="Times New Roman" w:cs="Times New Roman"/>
                <w:sz w:val="24"/>
                <w:szCs w:val="24"/>
                <w:lang w:eastAsia="lv-LV"/>
              </w:rPr>
              <w:t xml:space="preserve">EBA/GL/2021/06; ESMA35-36-2319 "Pamatnostādnes par </w:t>
            </w:r>
            <w:r w:rsidR="002F2F54" w:rsidRPr="002F2F54">
              <w:rPr>
                <w:rFonts w:ascii="Times New Roman" w:eastAsia="Times New Roman" w:hAnsi="Times New Roman" w:cs="Times New Roman"/>
                <w:sz w:val="24"/>
                <w:szCs w:val="24"/>
                <w:lang w:eastAsia="lv-LV"/>
              </w:rPr>
              <w:lastRenderedPageBreak/>
              <w:t>vadības struktūras locekļu un personu, kuras pilda pamatfunkcijas, piemērotības novērtēšanu";</w:t>
            </w:r>
          </w:p>
          <w:p w14:paraId="14AED6EF" w14:textId="0B2C0AF3" w:rsidR="002F2F54" w:rsidRPr="002F2F54" w:rsidRDefault="001A112D" w:rsidP="002F2F54">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1</w:t>
            </w:r>
            <w:r w:rsidR="00402621">
              <w:rPr>
                <w:rFonts w:ascii="Times New Roman" w:eastAsia="Times New Roman" w:hAnsi="Times New Roman" w:cs="Times New Roman"/>
                <w:sz w:val="24"/>
                <w:szCs w:val="24"/>
                <w:lang w:eastAsia="lv-LV"/>
              </w:rPr>
              <w:t>3</w:t>
            </w:r>
            <w:r>
              <w:rPr>
                <w:rFonts w:ascii="Times New Roman" w:eastAsia="Times New Roman" w:hAnsi="Times New Roman" w:cs="Times New Roman"/>
                <w:sz w:val="24"/>
                <w:szCs w:val="24"/>
                <w:lang w:eastAsia="lv-LV"/>
              </w:rPr>
              <w:t>)</w:t>
            </w:r>
            <w:r w:rsidR="00571475">
              <w:rPr>
                <w:rFonts w:ascii="Times New Roman" w:eastAsia="Times New Roman" w:hAnsi="Times New Roman" w:cs="Times New Roman"/>
                <w:sz w:val="24"/>
                <w:szCs w:val="24"/>
                <w:lang w:eastAsia="lv-LV"/>
              </w:rPr>
              <w:t> </w:t>
            </w:r>
            <w:r w:rsidR="002F2F54" w:rsidRPr="002F2F54">
              <w:rPr>
                <w:rFonts w:ascii="Times New Roman" w:eastAsia="Times New Roman" w:hAnsi="Times New Roman" w:cs="Times New Roman"/>
                <w:sz w:val="24"/>
                <w:szCs w:val="24"/>
                <w:lang w:eastAsia="lv-LV"/>
              </w:rPr>
              <w:t>Eiropas Banku iestādes 2018.</w:t>
            </w:r>
            <w:r w:rsidR="00235E50">
              <w:rPr>
                <w:rFonts w:ascii="Times New Roman" w:eastAsia="Times New Roman" w:hAnsi="Times New Roman" w:cs="Times New Roman"/>
                <w:sz w:val="24"/>
                <w:szCs w:val="24"/>
                <w:lang w:eastAsia="lv-LV"/>
              </w:rPr>
              <w:t> </w:t>
            </w:r>
            <w:r w:rsidR="002F2F54" w:rsidRPr="002F2F54">
              <w:rPr>
                <w:rFonts w:ascii="Times New Roman" w:eastAsia="Times New Roman" w:hAnsi="Times New Roman" w:cs="Times New Roman"/>
                <w:sz w:val="24"/>
                <w:szCs w:val="24"/>
                <w:lang w:eastAsia="lv-LV"/>
              </w:rPr>
              <w:t>gada 19.</w:t>
            </w:r>
            <w:r w:rsidR="00235E50">
              <w:rPr>
                <w:rFonts w:ascii="Times New Roman" w:eastAsia="Times New Roman" w:hAnsi="Times New Roman" w:cs="Times New Roman"/>
                <w:sz w:val="24"/>
                <w:szCs w:val="24"/>
                <w:lang w:eastAsia="lv-LV"/>
              </w:rPr>
              <w:t> </w:t>
            </w:r>
            <w:r w:rsidR="002F2F54" w:rsidRPr="002F2F54">
              <w:rPr>
                <w:rFonts w:ascii="Times New Roman" w:eastAsia="Times New Roman" w:hAnsi="Times New Roman" w:cs="Times New Roman"/>
                <w:sz w:val="24"/>
                <w:szCs w:val="24"/>
                <w:lang w:eastAsia="lv-LV"/>
              </w:rPr>
              <w:t>jūlija pamatnostādn</w:t>
            </w:r>
            <w:r w:rsidR="002F2F54">
              <w:rPr>
                <w:rFonts w:ascii="Times New Roman" w:eastAsia="Times New Roman" w:hAnsi="Times New Roman" w:cs="Times New Roman"/>
                <w:sz w:val="24"/>
                <w:szCs w:val="24"/>
                <w:lang w:eastAsia="lv-LV"/>
              </w:rPr>
              <w:t>es</w:t>
            </w:r>
            <w:r w:rsidR="002F2F54" w:rsidRPr="002F2F54">
              <w:rPr>
                <w:rFonts w:ascii="Times New Roman" w:eastAsia="Times New Roman" w:hAnsi="Times New Roman" w:cs="Times New Roman"/>
                <w:sz w:val="24"/>
                <w:szCs w:val="24"/>
                <w:lang w:eastAsia="lv-LV"/>
              </w:rPr>
              <w:t xml:space="preserve"> Nr.</w:t>
            </w:r>
            <w:r w:rsidR="00235E50">
              <w:rPr>
                <w:rFonts w:ascii="Times New Roman" w:eastAsia="Times New Roman" w:hAnsi="Times New Roman" w:cs="Times New Roman"/>
                <w:sz w:val="24"/>
                <w:szCs w:val="24"/>
                <w:lang w:eastAsia="lv-LV"/>
              </w:rPr>
              <w:t> </w:t>
            </w:r>
            <w:r w:rsidR="002F2F54" w:rsidRPr="002F2F54">
              <w:rPr>
                <w:rFonts w:ascii="Times New Roman" w:eastAsia="Times New Roman" w:hAnsi="Times New Roman" w:cs="Times New Roman"/>
                <w:sz w:val="24"/>
                <w:szCs w:val="24"/>
                <w:lang w:eastAsia="lv-LV"/>
              </w:rPr>
              <w:t>EBA/GL/2018/04 "Pamatnostādnes par iestāžu spriedzes testiem";</w:t>
            </w:r>
          </w:p>
          <w:p w14:paraId="12784D64" w14:textId="4A2B53FF" w:rsidR="002F2F54" w:rsidRPr="002F2F54" w:rsidRDefault="001A112D" w:rsidP="002F2F54">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1</w:t>
            </w:r>
            <w:r w:rsidR="00402621">
              <w:rPr>
                <w:rFonts w:ascii="Times New Roman" w:eastAsia="Times New Roman" w:hAnsi="Times New Roman" w:cs="Times New Roman"/>
                <w:sz w:val="24"/>
                <w:szCs w:val="24"/>
                <w:lang w:eastAsia="lv-LV"/>
              </w:rPr>
              <w:t>4</w:t>
            </w:r>
            <w:r w:rsidR="002F2F54" w:rsidRPr="002F2F54">
              <w:rPr>
                <w:rFonts w:ascii="Times New Roman" w:eastAsia="Times New Roman" w:hAnsi="Times New Roman" w:cs="Times New Roman"/>
                <w:sz w:val="24"/>
                <w:szCs w:val="24"/>
                <w:lang w:eastAsia="lv-LV"/>
              </w:rPr>
              <w:t>)</w:t>
            </w:r>
            <w:r w:rsidR="00571475">
              <w:rPr>
                <w:rFonts w:ascii="Times New Roman" w:eastAsia="Times New Roman" w:hAnsi="Times New Roman" w:cs="Times New Roman"/>
                <w:sz w:val="24"/>
                <w:szCs w:val="24"/>
                <w:lang w:eastAsia="lv-LV"/>
              </w:rPr>
              <w:t> </w:t>
            </w:r>
            <w:r w:rsidR="002F2F54" w:rsidRPr="002F2F54">
              <w:rPr>
                <w:rFonts w:ascii="Times New Roman" w:eastAsia="Times New Roman" w:hAnsi="Times New Roman" w:cs="Times New Roman"/>
                <w:sz w:val="24"/>
                <w:szCs w:val="24"/>
                <w:lang w:eastAsia="lv-LV"/>
              </w:rPr>
              <w:t>Eiropas Banku iestādes 2016.</w:t>
            </w:r>
            <w:r w:rsidR="00235E50">
              <w:rPr>
                <w:rFonts w:ascii="Times New Roman" w:eastAsia="Times New Roman" w:hAnsi="Times New Roman" w:cs="Times New Roman"/>
                <w:sz w:val="24"/>
                <w:szCs w:val="24"/>
                <w:lang w:eastAsia="lv-LV"/>
              </w:rPr>
              <w:t> </w:t>
            </w:r>
            <w:r w:rsidR="002F2F54" w:rsidRPr="002F2F54">
              <w:rPr>
                <w:rFonts w:ascii="Times New Roman" w:eastAsia="Times New Roman" w:hAnsi="Times New Roman" w:cs="Times New Roman"/>
                <w:sz w:val="24"/>
                <w:szCs w:val="24"/>
                <w:lang w:eastAsia="lv-LV"/>
              </w:rPr>
              <w:t>gada 28.</w:t>
            </w:r>
            <w:r w:rsidR="00235E50">
              <w:rPr>
                <w:rFonts w:ascii="Times New Roman" w:eastAsia="Times New Roman" w:hAnsi="Times New Roman" w:cs="Times New Roman"/>
                <w:sz w:val="24"/>
                <w:szCs w:val="24"/>
                <w:lang w:eastAsia="lv-LV"/>
              </w:rPr>
              <w:t> </w:t>
            </w:r>
            <w:r w:rsidR="002F2F54" w:rsidRPr="002F2F54">
              <w:rPr>
                <w:rFonts w:ascii="Times New Roman" w:eastAsia="Times New Roman" w:hAnsi="Times New Roman" w:cs="Times New Roman"/>
                <w:sz w:val="24"/>
                <w:szCs w:val="24"/>
                <w:lang w:eastAsia="lv-LV"/>
              </w:rPr>
              <w:t>septembra pamatnostādn</w:t>
            </w:r>
            <w:r w:rsidR="002F2F54">
              <w:rPr>
                <w:rFonts w:ascii="Times New Roman" w:eastAsia="Times New Roman" w:hAnsi="Times New Roman" w:cs="Times New Roman"/>
                <w:sz w:val="24"/>
                <w:szCs w:val="24"/>
                <w:lang w:eastAsia="lv-LV"/>
              </w:rPr>
              <w:t>es</w:t>
            </w:r>
            <w:r w:rsidR="002F2F54" w:rsidRPr="002F2F54">
              <w:rPr>
                <w:rFonts w:ascii="Times New Roman" w:eastAsia="Times New Roman" w:hAnsi="Times New Roman" w:cs="Times New Roman"/>
                <w:sz w:val="24"/>
                <w:szCs w:val="24"/>
                <w:lang w:eastAsia="lv-LV"/>
              </w:rPr>
              <w:t xml:space="preserve"> Nr.</w:t>
            </w:r>
            <w:r w:rsidR="00235E50">
              <w:rPr>
                <w:rFonts w:ascii="Times New Roman" w:eastAsia="Times New Roman" w:hAnsi="Times New Roman" w:cs="Times New Roman"/>
                <w:sz w:val="24"/>
                <w:szCs w:val="24"/>
                <w:lang w:eastAsia="lv-LV"/>
              </w:rPr>
              <w:t> </w:t>
            </w:r>
            <w:r w:rsidR="002F2F54" w:rsidRPr="002F2F54">
              <w:rPr>
                <w:rFonts w:ascii="Times New Roman" w:eastAsia="Times New Roman" w:hAnsi="Times New Roman" w:cs="Times New Roman"/>
                <w:sz w:val="24"/>
                <w:szCs w:val="24"/>
                <w:lang w:eastAsia="lv-LV"/>
              </w:rPr>
              <w:t>EBA/GL/2016/06 "Pamatnostādnes par atalgojuma politiku un praksi saistībā ar banku mazumtirdzniecības produktu pārdošanu un pakalpojumu sniegšanu";</w:t>
            </w:r>
          </w:p>
          <w:p w14:paraId="3A94A435" w14:textId="43D6FAF9" w:rsidR="002F2F54" w:rsidRDefault="001A112D" w:rsidP="002F2F54">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1</w:t>
            </w:r>
            <w:r w:rsidR="00402621">
              <w:rPr>
                <w:rFonts w:ascii="Times New Roman" w:eastAsia="Times New Roman" w:hAnsi="Times New Roman" w:cs="Times New Roman"/>
                <w:sz w:val="24"/>
                <w:szCs w:val="24"/>
                <w:lang w:eastAsia="lv-LV"/>
              </w:rPr>
              <w:t>5</w:t>
            </w:r>
            <w:r w:rsidR="002F2F54" w:rsidRPr="002F2F54">
              <w:rPr>
                <w:rFonts w:ascii="Times New Roman" w:eastAsia="Times New Roman" w:hAnsi="Times New Roman" w:cs="Times New Roman"/>
                <w:sz w:val="24"/>
                <w:szCs w:val="24"/>
                <w:lang w:eastAsia="lv-LV"/>
              </w:rPr>
              <w:t>)</w:t>
            </w:r>
            <w:r w:rsidR="00571475">
              <w:rPr>
                <w:rFonts w:ascii="Times New Roman" w:eastAsia="Times New Roman" w:hAnsi="Times New Roman" w:cs="Times New Roman"/>
                <w:sz w:val="24"/>
                <w:szCs w:val="24"/>
                <w:lang w:eastAsia="lv-LV"/>
              </w:rPr>
              <w:t> </w:t>
            </w:r>
            <w:r w:rsidR="002F2F54" w:rsidRPr="002F2F54">
              <w:rPr>
                <w:rFonts w:ascii="Times New Roman" w:eastAsia="Times New Roman" w:hAnsi="Times New Roman" w:cs="Times New Roman"/>
                <w:sz w:val="24"/>
                <w:szCs w:val="24"/>
                <w:lang w:eastAsia="lv-LV"/>
              </w:rPr>
              <w:t>Eiropas Banku iestādes 2015.</w:t>
            </w:r>
            <w:r w:rsidR="00235E50">
              <w:rPr>
                <w:rFonts w:ascii="Times New Roman" w:eastAsia="Times New Roman" w:hAnsi="Times New Roman" w:cs="Times New Roman"/>
                <w:sz w:val="24"/>
                <w:szCs w:val="24"/>
                <w:lang w:eastAsia="lv-LV"/>
              </w:rPr>
              <w:t> </w:t>
            </w:r>
            <w:r w:rsidR="002F2F54" w:rsidRPr="002F2F54">
              <w:rPr>
                <w:rFonts w:ascii="Times New Roman" w:eastAsia="Times New Roman" w:hAnsi="Times New Roman" w:cs="Times New Roman"/>
                <w:sz w:val="24"/>
                <w:szCs w:val="24"/>
                <w:lang w:eastAsia="lv-LV"/>
              </w:rPr>
              <w:t>gada 15.</w:t>
            </w:r>
            <w:r w:rsidR="00235E50">
              <w:rPr>
                <w:rFonts w:ascii="Times New Roman" w:eastAsia="Times New Roman" w:hAnsi="Times New Roman" w:cs="Times New Roman"/>
                <w:sz w:val="24"/>
                <w:szCs w:val="24"/>
                <w:lang w:eastAsia="lv-LV"/>
              </w:rPr>
              <w:t> </w:t>
            </w:r>
            <w:r w:rsidR="002F2F54" w:rsidRPr="002F2F54">
              <w:rPr>
                <w:rFonts w:ascii="Times New Roman" w:eastAsia="Times New Roman" w:hAnsi="Times New Roman" w:cs="Times New Roman"/>
                <w:sz w:val="24"/>
                <w:szCs w:val="24"/>
                <w:lang w:eastAsia="lv-LV"/>
              </w:rPr>
              <w:t>jūlija pamatnostādn</w:t>
            </w:r>
            <w:r w:rsidR="002F2F54">
              <w:rPr>
                <w:rFonts w:ascii="Times New Roman" w:eastAsia="Times New Roman" w:hAnsi="Times New Roman" w:cs="Times New Roman"/>
                <w:sz w:val="24"/>
                <w:szCs w:val="24"/>
                <w:lang w:eastAsia="lv-LV"/>
              </w:rPr>
              <w:t>es</w:t>
            </w:r>
            <w:r w:rsidR="002F2F54" w:rsidRPr="002F2F54">
              <w:rPr>
                <w:rFonts w:ascii="Times New Roman" w:eastAsia="Times New Roman" w:hAnsi="Times New Roman" w:cs="Times New Roman"/>
                <w:sz w:val="24"/>
                <w:szCs w:val="24"/>
                <w:lang w:eastAsia="lv-LV"/>
              </w:rPr>
              <w:t xml:space="preserve"> Nr.</w:t>
            </w:r>
            <w:r w:rsidR="00235E50">
              <w:rPr>
                <w:rFonts w:ascii="Times New Roman" w:eastAsia="Times New Roman" w:hAnsi="Times New Roman" w:cs="Times New Roman"/>
                <w:sz w:val="24"/>
                <w:szCs w:val="24"/>
                <w:lang w:eastAsia="lv-LV"/>
              </w:rPr>
              <w:t> </w:t>
            </w:r>
            <w:r w:rsidR="002F2F54" w:rsidRPr="002F2F54">
              <w:rPr>
                <w:rFonts w:ascii="Times New Roman" w:eastAsia="Times New Roman" w:hAnsi="Times New Roman" w:cs="Times New Roman"/>
                <w:sz w:val="24"/>
                <w:szCs w:val="24"/>
                <w:lang w:eastAsia="lv-LV"/>
              </w:rPr>
              <w:t>EBA/GL/2015/18 "Pamatnostādnes par produktu pārraudzības un pārvaldības pasākumiem banku mazumtirdzniecības produktiem"</w:t>
            </w:r>
            <w:r w:rsidR="000C6B17">
              <w:rPr>
                <w:rFonts w:ascii="Times New Roman" w:eastAsia="Times New Roman" w:hAnsi="Times New Roman" w:cs="Times New Roman"/>
                <w:sz w:val="24"/>
                <w:szCs w:val="24"/>
                <w:lang w:eastAsia="lv-LV"/>
              </w:rPr>
              <w:t>;</w:t>
            </w:r>
          </w:p>
          <w:p w14:paraId="27B485CD" w14:textId="41B45067" w:rsidR="000C6B17" w:rsidRPr="00317A94" w:rsidRDefault="000C6B17" w:rsidP="002F2F54">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1</w:t>
            </w:r>
            <w:r w:rsidR="00402621">
              <w:rPr>
                <w:rFonts w:ascii="Times New Roman" w:eastAsia="Times New Roman" w:hAnsi="Times New Roman" w:cs="Times New Roman"/>
                <w:sz w:val="24"/>
                <w:szCs w:val="24"/>
                <w:lang w:eastAsia="lv-LV"/>
              </w:rPr>
              <w:t>6</w:t>
            </w:r>
            <w:r>
              <w:rPr>
                <w:rFonts w:ascii="Times New Roman" w:eastAsia="Times New Roman" w:hAnsi="Times New Roman" w:cs="Times New Roman"/>
                <w:sz w:val="24"/>
                <w:szCs w:val="24"/>
                <w:lang w:eastAsia="lv-LV"/>
              </w:rPr>
              <w:t xml:space="preserve">) </w:t>
            </w:r>
            <w:r w:rsidRPr="000C6B17">
              <w:rPr>
                <w:rFonts w:ascii="Times New Roman" w:eastAsia="Times New Roman" w:hAnsi="Times New Roman" w:cs="Times New Roman"/>
                <w:sz w:val="24"/>
                <w:szCs w:val="24"/>
                <w:lang w:eastAsia="lv-LV"/>
              </w:rPr>
              <w:t>Eiropas Parlamenta un Padomes 2016.</w:t>
            </w:r>
            <w:r w:rsidR="00235E50">
              <w:rPr>
                <w:rFonts w:ascii="Times New Roman" w:eastAsia="Times New Roman" w:hAnsi="Times New Roman" w:cs="Times New Roman"/>
                <w:sz w:val="24"/>
                <w:szCs w:val="24"/>
                <w:lang w:eastAsia="lv-LV"/>
              </w:rPr>
              <w:t> </w:t>
            </w:r>
            <w:r w:rsidRPr="000C6B17">
              <w:rPr>
                <w:rFonts w:ascii="Times New Roman" w:eastAsia="Times New Roman" w:hAnsi="Times New Roman" w:cs="Times New Roman"/>
                <w:sz w:val="24"/>
                <w:szCs w:val="24"/>
                <w:lang w:eastAsia="lv-LV"/>
              </w:rPr>
              <w:t>gada 27.</w:t>
            </w:r>
            <w:r w:rsidR="00235E50">
              <w:rPr>
                <w:rFonts w:ascii="Times New Roman" w:eastAsia="Times New Roman" w:hAnsi="Times New Roman" w:cs="Times New Roman"/>
                <w:sz w:val="24"/>
                <w:szCs w:val="24"/>
                <w:lang w:eastAsia="lv-LV"/>
              </w:rPr>
              <w:t> </w:t>
            </w:r>
            <w:r w:rsidRPr="000C6B17">
              <w:rPr>
                <w:rFonts w:ascii="Times New Roman" w:eastAsia="Times New Roman" w:hAnsi="Times New Roman" w:cs="Times New Roman"/>
                <w:sz w:val="24"/>
                <w:szCs w:val="24"/>
                <w:lang w:eastAsia="lv-LV"/>
              </w:rPr>
              <w:t>aprīļa regula (ES) Nr.</w:t>
            </w:r>
            <w:r w:rsidR="00235E50">
              <w:rPr>
                <w:rFonts w:ascii="Times New Roman" w:eastAsia="Times New Roman" w:hAnsi="Times New Roman" w:cs="Times New Roman"/>
                <w:sz w:val="24"/>
                <w:szCs w:val="24"/>
                <w:lang w:eastAsia="lv-LV"/>
              </w:rPr>
              <w:t> </w:t>
            </w:r>
            <w:r w:rsidRPr="000C6B17">
              <w:rPr>
                <w:rFonts w:ascii="Times New Roman" w:eastAsia="Times New Roman" w:hAnsi="Times New Roman" w:cs="Times New Roman"/>
                <w:sz w:val="24"/>
                <w:szCs w:val="24"/>
                <w:lang w:eastAsia="lv-LV"/>
              </w:rPr>
              <w:t>2016/679 par fizisku personu aizsardzību attiecībā uz personas datu apstrādi un šādu datu brīvu apriti un ar ko atceļ direktīvu</w:t>
            </w:r>
            <w:r w:rsidR="00235E50">
              <w:rPr>
                <w:rFonts w:ascii="Times New Roman" w:eastAsia="Times New Roman" w:hAnsi="Times New Roman" w:cs="Times New Roman"/>
                <w:sz w:val="24"/>
                <w:szCs w:val="24"/>
                <w:lang w:eastAsia="lv-LV"/>
              </w:rPr>
              <w:t> </w:t>
            </w:r>
            <w:r w:rsidRPr="000C6B17">
              <w:rPr>
                <w:rFonts w:ascii="Times New Roman" w:eastAsia="Times New Roman" w:hAnsi="Times New Roman" w:cs="Times New Roman"/>
                <w:sz w:val="24"/>
                <w:szCs w:val="24"/>
                <w:lang w:eastAsia="lv-LV"/>
              </w:rPr>
              <w:t>94/46/EK</w:t>
            </w:r>
            <w:r>
              <w:rPr>
                <w:rFonts w:ascii="Times New Roman" w:eastAsia="Times New Roman" w:hAnsi="Times New Roman" w:cs="Times New Roman"/>
                <w:sz w:val="24"/>
                <w:szCs w:val="24"/>
                <w:lang w:eastAsia="lv-LV"/>
              </w:rPr>
              <w:t>.</w:t>
            </w:r>
          </w:p>
        </w:tc>
      </w:tr>
      <w:tr w:rsidR="00D63F50" w:rsidRPr="000B4E0A" w14:paraId="7B39A4DD" w14:textId="77777777" w:rsidTr="00115CFD">
        <w:trPr>
          <w:trHeight w:val="567"/>
        </w:trPr>
        <w:tc>
          <w:tcPr>
            <w:tcW w:w="1405" w:type="pct"/>
            <w:shd w:val="clear" w:color="auto" w:fill="auto"/>
            <w:hideMark/>
          </w:tcPr>
          <w:p w14:paraId="0B99FFDD" w14:textId="77777777" w:rsidR="00D63F50" w:rsidRPr="00E253DA" w:rsidRDefault="00D63F50" w:rsidP="00D63F50">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lastRenderedPageBreak/>
              <w:t>Saskaņošana ar Eiropas Centrālo banku</w:t>
            </w:r>
          </w:p>
          <w:p w14:paraId="4A756E9D" w14:textId="65F53909" w:rsidR="00D63F50" w:rsidRPr="00E253DA" w:rsidRDefault="00D63F50" w:rsidP="00D63F50">
            <w:pPr>
              <w:spacing w:after="0" w:line="240" w:lineRule="auto"/>
              <w:rPr>
                <w:rFonts w:ascii="Times New Roman" w:eastAsia="Times New Roman" w:hAnsi="Times New Roman" w:cs="Times New Roman"/>
                <w:b/>
                <w:bCs/>
                <w:sz w:val="24"/>
                <w:szCs w:val="24"/>
                <w:lang w:eastAsia="lv-LV"/>
              </w:rPr>
            </w:pPr>
          </w:p>
        </w:tc>
        <w:tc>
          <w:tcPr>
            <w:tcW w:w="3595" w:type="pct"/>
            <w:shd w:val="clear" w:color="auto" w:fill="auto"/>
          </w:tcPr>
          <w:p w14:paraId="162166C3" w14:textId="41D27612" w:rsidR="00D63F50" w:rsidRPr="00317A94" w:rsidRDefault="00D63F50" w:rsidP="006B649E">
            <w:pPr>
              <w:spacing w:after="120" w:line="240" w:lineRule="auto"/>
              <w:rPr>
                <w:rFonts w:ascii="Times New Roman" w:eastAsia="Times New Roman" w:hAnsi="Times New Roman" w:cs="Times New Roman"/>
                <w:sz w:val="24"/>
                <w:szCs w:val="24"/>
                <w:lang w:eastAsia="lv-LV"/>
              </w:rPr>
            </w:pPr>
            <w:r w:rsidRPr="009F23B8">
              <w:rPr>
                <w:rFonts w:ascii="Times New Roman" w:eastAsia="Times New Roman" w:hAnsi="Times New Roman" w:cs="Times New Roman"/>
                <w:sz w:val="24"/>
                <w:szCs w:val="24"/>
                <w:lang w:eastAsia="lv-LV"/>
              </w:rPr>
              <w:t xml:space="preserve">Noteikumu projekts nav jāsaskaņo ar </w:t>
            </w:r>
            <w:r>
              <w:rPr>
                <w:rFonts w:ascii="Times New Roman" w:eastAsia="Times New Roman" w:hAnsi="Times New Roman" w:cs="Times New Roman"/>
                <w:sz w:val="24"/>
                <w:szCs w:val="24"/>
                <w:lang w:eastAsia="lv-LV"/>
              </w:rPr>
              <w:t>Eiropas Centrālo banku</w:t>
            </w:r>
            <w:r w:rsidR="00D40E90">
              <w:rPr>
                <w:rFonts w:ascii="Times New Roman" w:eastAsia="Times New Roman" w:hAnsi="Times New Roman" w:cs="Times New Roman"/>
                <w:sz w:val="24"/>
                <w:szCs w:val="24"/>
                <w:lang w:eastAsia="lv-LV"/>
              </w:rPr>
              <w:t>.</w:t>
            </w:r>
          </w:p>
        </w:tc>
      </w:tr>
      <w:tr w:rsidR="00D63F50" w:rsidRPr="000B4E0A" w14:paraId="79622963" w14:textId="77777777" w:rsidTr="00115CFD">
        <w:trPr>
          <w:trHeight w:val="567"/>
        </w:trPr>
        <w:tc>
          <w:tcPr>
            <w:tcW w:w="1405" w:type="pct"/>
            <w:shd w:val="clear" w:color="auto" w:fill="auto"/>
            <w:hideMark/>
          </w:tcPr>
          <w:p w14:paraId="581D9633" w14:textId="77777777" w:rsidR="00D63F50" w:rsidRPr="00E253DA" w:rsidRDefault="00D63F50" w:rsidP="00D63F50">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Saskaņošana ar citām publiskām un privātām personām</w:t>
            </w:r>
          </w:p>
          <w:p w14:paraId="6D76A17A" w14:textId="2DF982D9" w:rsidR="00D63F50" w:rsidRPr="00E253DA" w:rsidRDefault="00D63F50" w:rsidP="00D63F50">
            <w:pPr>
              <w:spacing w:after="0" w:line="240" w:lineRule="auto"/>
              <w:rPr>
                <w:rFonts w:ascii="Times New Roman" w:eastAsia="Times New Roman" w:hAnsi="Times New Roman" w:cs="Times New Roman"/>
                <w:b/>
                <w:bCs/>
                <w:sz w:val="24"/>
                <w:szCs w:val="24"/>
                <w:lang w:eastAsia="lv-LV"/>
              </w:rPr>
            </w:pPr>
          </w:p>
        </w:tc>
        <w:tc>
          <w:tcPr>
            <w:tcW w:w="3595" w:type="pct"/>
            <w:shd w:val="clear" w:color="auto" w:fill="auto"/>
          </w:tcPr>
          <w:p w14:paraId="7B1DB470" w14:textId="28CC6D4C" w:rsidR="00D63F50" w:rsidRPr="00317A94" w:rsidRDefault="00D63F50" w:rsidP="006B649E">
            <w:pPr>
              <w:spacing w:after="120" w:line="240" w:lineRule="auto"/>
              <w:jc w:val="both"/>
              <w:rPr>
                <w:rFonts w:ascii="Times New Roman" w:eastAsia="Times New Roman" w:hAnsi="Times New Roman" w:cs="Times New Roman"/>
                <w:sz w:val="24"/>
                <w:szCs w:val="24"/>
                <w:lang w:eastAsia="lv-LV"/>
              </w:rPr>
            </w:pPr>
            <w:r w:rsidRPr="000C29D8">
              <w:rPr>
                <w:rFonts w:ascii="Times New Roman" w:eastAsia="Times New Roman" w:hAnsi="Times New Roman" w:cs="Times New Roman"/>
                <w:sz w:val="24"/>
                <w:szCs w:val="24"/>
                <w:lang w:eastAsia="lv-LV"/>
              </w:rPr>
              <w:t xml:space="preserve">Noteikumu projekts </w:t>
            </w:r>
            <w:r w:rsidR="00EC2BFA">
              <w:rPr>
                <w:rFonts w:ascii="Times New Roman" w:eastAsia="Times New Roman" w:hAnsi="Times New Roman" w:cs="Times New Roman"/>
                <w:sz w:val="24"/>
                <w:szCs w:val="24"/>
                <w:lang w:eastAsia="lv-LV"/>
              </w:rPr>
              <w:t>tik</w:t>
            </w:r>
            <w:r w:rsidR="00997EDB">
              <w:rPr>
                <w:rFonts w:ascii="Times New Roman" w:eastAsia="Times New Roman" w:hAnsi="Times New Roman" w:cs="Times New Roman"/>
                <w:sz w:val="24"/>
                <w:szCs w:val="24"/>
                <w:lang w:eastAsia="lv-LV"/>
              </w:rPr>
              <w:t>a</w:t>
            </w:r>
            <w:r w:rsidR="00EC2BFA">
              <w:rPr>
                <w:rFonts w:ascii="Times New Roman" w:eastAsia="Times New Roman" w:hAnsi="Times New Roman" w:cs="Times New Roman"/>
                <w:sz w:val="24"/>
                <w:szCs w:val="24"/>
                <w:lang w:eastAsia="lv-LV"/>
              </w:rPr>
              <w:t xml:space="preserve"> </w:t>
            </w:r>
            <w:bookmarkStart w:id="7" w:name="_Hlk180419923"/>
            <w:r w:rsidRPr="000C29D8">
              <w:rPr>
                <w:rFonts w:ascii="Times New Roman" w:eastAsia="Times New Roman" w:hAnsi="Times New Roman" w:cs="Times New Roman"/>
                <w:sz w:val="24"/>
                <w:szCs w:val="24"/>
                <w:lang w:eastAsia="lv-LV"/>
              </w:rPr>
              <w:t>publicēts Latvijas Bankas tīmekļvietnes</w:t>
            </w:r>
            <w:r>
              <w:rPr>
                <w:rFonts w:ascii="Times New Roman" w:eastAsia="Times New Roman" w:hAnsi="Times New Roman" w:cs="Times New Roman"/>
                <w:sz w:val="24"/>
                <w:szCs w:val="24"/>
                <w:lang w:eastAsia="lv-LV"/>
              </w:rPr>
              <w:t xml:space="preserve"> </w:t>
            </w:r>
            <w:hyperlink r:id="rId13" w:history="1">
              <w:r w:rsidRPr="00481EB2">
                <w:rPr>
                  <w:rStyle w:val="Hipersaite"/>
                  <w:rFonts w:ascii="Times New Roman" w:eastAsia="Times New Roman" w:hAnsi="Times New Roman" w:cs="Times New Roman"/>
                  <w:sz w:val="24"/>
                  <w:szCs w:val="24"/>
                  <w:lang w:eastAsia="lv-LV"/>
                </w:rPr>
                <w:t>www.bank.lv</w:t>
              </w:r>
            </w:hyperlink>
            <w:r>
              <w:rPr>
                <w:rFonts w:ascii="Times New Roman" w:eastAsia="Times New Roman" w:hAnsi="Times New Roman" w:cs="Times New Roman"/>
                <w:sz w:val="24"/>
                <w:szCs w:val="24"/>
                <w:lang w:eastAsia="lv-LV"/>
              </w:rPr>
              <w:t xml:space="preserve"> </w:t>
            </w:r>
            <w:r w:rsidRPr="000C29D8">
              <w:rPr>
                <w:rFonts w:ascii="Times New Roman" w:eastAsia="Times New Roman" w:hAnsi="Times New Roman" w:cs="Times New Roman"/>
                <w:sz w:val="24"/>
                <w:szCs w:val="24"/>
                <w:lang w:eastAsia="lv-LV"/>
              </w:rPr>
              <w:t>sadaļ</w:t>
            </w:r>
            <w:r w:rsidR="00754106">
              <w:rPr>
                <w:rFonts w:ascii="Times New Roman" w:eastAsia="Times New Roman" w:hAnsi="Times New Roman" w:cs="Times New Roman"/>
                <w:sz w:val="24"/>
                <w:szCs w:val="24"/>
                <w:lang w:eastAsia="lv-LV"/>
              </w:rPr>
              <w:t>as "Tiesību akti"</w:t>
            </w:r>
            <w:r w:rsidR="00154FBB">
              <w:rPr>
                <w:rFonts w:ascii="Times New Roman" w:eastAsia="Times New Roman" w:hAnsi="Times New Roman" w:cs="Times New Roman"/>
                <w:sz w:val="24"/>
                <w:szCs w:val="24"/>
                <w:lang w:eastAsia="lv-LV"/>
              </w:rPr>
              <w:t xml:space="preserve"> </w:t>
            </w:r>
            <w:proofErr w:type="spellStart"/>
            <w:r w:rsidR="00754106">
              <w:rPr>
                <w:rFonts w:ascii="Times New Roman" w:eastAsia="Times New Roman" w:hAnsi="Times New Roman" w:cs="Times New Roman"/>
                <w:sz w:val="24"/>
                <w:szCs w:val="24"/>
                <w:lang w:eastAsia="lv-LV"/>
              </w:rPr>
              <w:t>apakšsadaļā</w:t>
            </w:r>
            <w:proofErr w:type="spellEnd"/>
            <w:r w:rsidRPr="000C29D8">
              <w:rPr>
                <w:rFonts w:ascii="Times New Roman" w:eastAsia="Times New Roman" w:hAnsi="Times New Roman" w:cs="Times New Roman"/>
                <w:sz w:val="24"/>
                <w:szCs w:val="24"/>
                <w:lang w:eastAsia="lv-LV"/>
              </w:rPr>
              <w:t xml:space="preserve"> "Sabiedrības līdzdalība"</w:t>
            </w:r>
            <w:bookmarkEnd w:id="7"/>
            <w:r w:rsidRPr="000C29D8">
              <w:rPr>
                <w:rFonts w:ascii="Times New Roman" w:eastAsia="Times New Roman" w:hAnsi="Times New Roman" w:cs="Times New Roman"/>
                <w:sz w:val="24"/>
                <w:szCs w:val="24"/>
                <w:lang w:eastAsia="lv-LV"/>
              </w:rPr>
              <w:t xml:space="preserve">, </w:t>
            </w:r>
            <w:r w:rsidR="00997EDB">
              <w:rPr>
                <w:rFonts w:ascii="Times New Roman" w:eastAsia="Times New Roman" w:hAnsi="Times New Roman" w:cs="Times New Roman"/>
                <w:sz w:val="24"/>
                <w:szCs w:val="24"/>
                <w:lang w:eastAsia="lv-LV"/>
              </w:rPr>
              <w:t xml:space="preserve">un sabiedrībai bija iespēja iesaistīties tā apspriešanā līdz 2024.gada 15.oktobrim. </w:t>
            </w:r>
            <w:r w:rsidRPr="000C29D8">
              <w:rPr>
                <w:rFonts w:ascii="Times New Roman" w:eastAsia="Times New Roman" w:hAnsi="Times New Roman" w:cs="Times New Roman"/>
                <w:sz w:val="24"/>
                <w:szCs w:val="24"/>
                <w:lang w:eastAsia="lv-LV"/>
              </w:rPr>
              <w:t xml:space="preserve">Vienlaikus par </w:t>
            </w:r>
            <w:r>
              <w:rPr>
                <w:rFonts w:ascii="Times New Roman" w:eastAsia="Times New Roman" w:hAnsi="Times New Roman" w:cs="Times New Roman"/>
                <w:sz w:val="24"/>
                <w:szCs w:val="24"/>
                <w:lang w:eastAsia="lv-LV"/>
              </w:rPr>
              <w:t>n</w:t>
            </w:r>
            <w:r w:rsidRPr="000C29D8">
              <w:rPr>
                <w:rFonts w:ascii="Times New Roman" w:eastAsia="Times New Roman" w:hAnsi="Times New Roman" w:cs="Times New Roman"/>
                <w:sz w:val="24"/>
                <w:szCs w:val="24"/>
                <w:lang w:eastAsia="lv-LV"/>
              </w:rPr>
              <w:t>oteikumu projektu un notiekošo sabiedrības līdzdalību</w:t>
            </w:r>
            <w:r w:rsidR="002C4548">
              <w:rPr>
                <w:rFonts w:ascii="Times New Roman" w:eastAsia="Times New Roman" w:hAnsi="Times New Roman" w:cs="Times New Roman"/>
                <w:sz w:val="24"/>
                <w:szCs w:val="24"/>
                <w:lang w:eastAsia="lv-LV"/>
              </w:rPr>
              <w:t xml:space="preserve"> individuāli </w:t>
            </w:r>
            <w:r w:rsidRPr="000C29D8">
              <w:rPr>
                <w:rFonts w:ascii="Times New Roman" w:eastAsia="Times New Roman" w:hAnsi="Times New Roman" w:cs="Times New Roman"/>
                <w:sz w:val="24"/>
                <w:szCs w:val="24"/>
                <w:lang w:eastAsia="lv-LV"/>
              </w:rPr>
              <w:t>tik</w:t>
            </w:r>
            <w:r w:rsidR="00997EDB">
              <w:rPr>
                <w:rFonts w:ascii="Times New Roman" w:eastAsia="Times New Roman" w:hAnsi="Times New Roman" w:cs="Times New Roman"/>
                <w:sz w:val="24"/>
                <w:szCs w:val="24"/>
                <w:lang w:eastAsia="lv-LV"/>
              </w:rPr>
              <w:t>a</w:t>
            </w:r>
            <w:r w:rsidR="001579BC">
              <w:rPr>
                <w:rFonts w:ascii="Times New Roman" w:eastAsia="Times New Roman" w:hAnsi="Times New Roman" w:cs="Times New Roman"/>
                <w:sz w:val="24"/>
                <w:szCs w:val="24"/>
                <w:lang w:eastAsia="lv-LV"/>
              </w:rPr>
              <w:t xml:space="preserve"> </w:t>
            </w:r>
            <w:r w:rsidRPr="000C29D8">
              <w:rPr>
                <w:rFonts w:ascii="Times New Roman" w:eastAsia="Times New Roman" w:hAnsi="Times New Roman" w:cs="Times New Roman"/>
                <w:sz w:val="24"/>
                <w:szCs w:val="24"/>
                <w:lang w:eastAsia="lv-LV"/>
              </w:rPr>
              <w:t>informēt</w:t>
            </w:r>
            <w:r w:rsidR="001579BC">
              <w:rPr>
                <w:rFonts w:ascii="Times New Roman" w:eastAsia="Times New Roman" w:hAnsi="Times New Roman" w:cs="Times New Roman"/>
                <w:sz w:val="24"/>
                <w:szCs w:val="24"/>
                <w:lang w:eastAsia="lv-LV"/>
              </w:rPr>
              <w:t xml:space="preserve">a </w:t>
            </w:r>
            <w:r w:rsidR="000631C9">
              <w:rPr>
                <w:rFonts w:ascii="Times New Roman" w:eastAsia="Times New Roman" w:hAnsi="Times New Roman" w:cs="Times New Roman"/>
                <w:sz w:val="24"/>
                <w:szCs w:val="24"/>
                <w:lang w:eastAsia="lv-LV"/>
              </w:rPr>
              <w:t>biedrība "</w:t>
            </w:r>
            <w:r w:rsidR="001579BC" w:rsidRPr="001579BC">
              <w:rPr>
                <w:rFonts w:ascii="Times New Roman" w:eastAsia="Times New Roman" w:hAnsi="Times New Roman" w:cs="Times New Roman"/>
                <w:sz w:val="24"/>
                <w:szCs w:val="24"/>
                <w:lang w:eastAsia="lv-LV"/>
              </w:rPr>
              <w:t xml:space="preserve">Latvijas </w:t>
            </w:r>
            <w:r w:rsidR="0045371F">
              <w:rPr>
                <w:rFonts w:ascii="Times New Roman" w:eastAsia="Times New Roman" w:hAnsi="Times New Roman" w:cs="Times New Roman"/>
                <w:sz w:val="24"/>
                <w:szCs w:val="24"/>
                <w:lang w:eastAsia="lv-LV"/>
              </w:rPr>
              <w:t>Finanšu nozares asociācija</w:t>
            </w:r>
            <w:r w:rsidR="000631C9">
              <w:rPr>
                <w:rFonts w:ascii="Times New Roman" w:eastAsia="Times New Roman" w:hAnsi="Times New Roman" w:cs="Times New Roman"/>
                <w:sz w:val="24"/>
                <w:szCs w:val="24"/>
                <w:lang w:eastAsia="lv-LV"/>
              </w:rPr>
              <w:t>"</w:t>
            </w:r>
            <w:r w:rsidR="00A14CBD">
              <w:rPr>
                <w:rFonts w:ascii="Times New Roman" w:eastAsia="Times New Roman" w:hAnsi="Times New Roman" w:cs="Times New Roman"/>
                <w:sz w:val="24"/>
                <w:szCs w:val="24"/>
                <w:lang w:eastAsia="lv-LV"/>
              </w:rPr>
              <w:t xml:space="preserve">, </w:t>
            </w:r>
            <w:r w:rsidR="000631C9">
              <w:rPr>
                <w:rFonts w:ascii="Times New Roman" w:eastAsia="Times New Roman" w:hAnsi="Times New Roman" w:cs="Times New Roman"/>
                <w:sz w:val="24"/>
                <w:szCs w:val="24"/>
                <w:lang w:eastAsia="lv-LV"/>
              </w:rPr>
              <w:t>kā arī</w:t>
            </w:r>
            <w:r w:rsidR="0004229D">
              <w:rPr>
                <w:rFonts w:ascii="Times New Roman" w:eastAsia="Times New Roman" w:hAnsi="Times New Roman" w:cs="Times New Roman"/>
                <w:sz w:val="24"/>
                <w:szCs w:val="24"/>
                <w:lang w:eastAsia="lv-LV"/>
              </w:rPr>
              <w:t xml:space="preserve"> </w:t>
            </w:r>
            <w:r w:rsidR="000631C9">
              <w:rPr>
                <w:rFonts w:ascii="Times New Roman" w:eastAsia="Times New Roman" w:hAnsi="Times New Roman" w:cs="Times New Roman"/>
                <w:sz w:val="24"/>
                <w:szCs w:val="24"/>
                <w:lang w:eastAsia="lv-LV"/>
              </w:rPr>
              <w:t xml:space="preserve">akciju sabiedrība </w:t>
            </w:r>
            <w:r w:rsidR="00754106">
              <w:rPr>
                <w:rFonts w:ascii="Times New Roman" w:eastAsia="Times New Roman" w:hAnsi="Times New Roman" w:cs="Times New Roman"/>
                <w:sz w:val="24"/>
                <w:szCs w:val="24"/>
                <w:lang w:eastAsia="lv-LV"/>
              </w:rPr>
              <w:t>"</w:t>
            </w:r>
            <w:r w:rsidR="0045371F">
              <w:rPr>
                <w:rFonts w:ascii="Times New Roman" w:eastAsia="Times New Roman" w:hAnsi="Times New Roman" w:cs="Times New Roman"/>
                <w:sz w:val="24"/>
                <w:szCs w:val="24"/>
                <w:lang w:eastAsia="lv-LV"/>
              </w:rPr>
              <w:t xml:space="preserve">Rietumu </w:t>
            </w:r>
            <w:r w:rsidR="00754106">
              <w:rPr>
                <w:rFonts w:ascii="Times New Roman" w:eastAsia="Times New Roman" w:hAnsi="Times New Roman" w:cs="Times New Roman"/>
                <w:sz w:val="24"/>
                <w:szCs w:val="24"/>
                <w:lang w:eastAsia="lv-LV"/>
              </w:rPr>
              <w:t>B</w:t>
            </w:r>
            <w:r w:rsidR="0045371F">
              <w:rPr>
                <w:rFonts w:ascii="Times New Roman" w:eastAsia="Times New Roman" w:hAnsi="Times New Roman" w:cs="Times New Roman"/>
                <w:sz w:val="24"/>
                <w:szCs w:val="24"/>
                <w:lang w:eastAsia="lv-LV"/>
              </w:rPr>
              <w:t>anka</w:t>
            </w:r>
            <w:r w:rsidR="00754106">
              <w:rPr>
                <w:rFonts w:ascii="Times New Roman" w:eastAsia="Times New Roman" w:hAnsi="Times New Roman" w:cs="Times New Roman"/>
                <w:sz w:val="24"/>
                <w:szCs w:val="24"/>
                <w:lang w:eastAsia="lv-LV"/>
              </w:rPr>
              <w:t>"</w:t>
            </w:r>
            <w:r w:rsidR="00A14CBD">
              <w:rPr>
                <w:rFonts w:ascii="Times New Roman" w:eastAsia="Times New Roman" w:hAnsi="Times New Roman" w:cs="Times New Roman"/>
                <w:sz w:val="24"/>
                <w:szCs w:val="24"/>
                <w:lang w:eastAsia="lv-LV"/>
              </w:rPr>
              <w:t xml:space="preserve"> un </w:t>
            </w:r>
            <w:r w:rsidR="00754106">
              <w:rPr>
                <w:rFonts w:ascii="Times New Roman" w:eastAsia="Times New Roman" w:hAnsi="Times New Roman" w:cs="Times New Roman"/>
                <w:sz w:val="24"/>
                <w:szCs w:val="24"/>
                <w:lang w:eastAsia="lv-LV"/>
              </w:rPr>
              <w:t>AS </w:t>
            </w:r>
            <w:r w:rsidR="00A14CBD">
              <w:rPr>
                <w:rFonts w:ascii="Times New Roman" w:eastAsia="Times New Roman" w:hAnsi="Times New Roman" w:cs="Times New Roman"/>
                <w:sz w:val="24"/>
                <w:szCs w:val="24"/>
                <w:lang w:eastAsia="lv-LV"/>
              </w:rPr>
              <w:t>INDEXO</w:t>
            </w:r>
            <w:r w:rsidR="00754106">
              <w:rPr>
                <w:rFonts w:ascii="Times New Roman" w:eastAsia="Times New Roman" w:hAnsi="Times New Roman" w:cs="Times New Roman"/>
                <w:sz w:val="24"/>
                <w:szCs w:val="24"/>
                <w:lang w:eastAsia="lv-LV"/>
              </w:rPr>
              <w:t> B</w:t>
            </w:r>
            <w:r w:rsidR="00A14CBD">
              <w:rPr>
                <w:rFonts w:ascii="Times New Roman" w:eastAsia="Times New Roman" w:hAnsi="Times New Roman" w:cs="Times New Roman"/>
                <w:sz w:val="24"/>
                <w:szCs w:val="24"/>
                <w:lang w:eastAsia="lv-LV"/>
              </w:rPr>
              <w:t>anka</w:t>
            </w:r>
            <w:r w:rsidR="0090488B">
              <w:rPr>
                <w:rFonts w:ascii="Times New Roman" w:eastAsia="Times New Roman" w:hAnsi="Times New Roman" w:cs="Times New Roman"/>
                <w:sz w:val="24"/>
                <w:szCs w:val="24"/>
                <w:lang w:eastAsia="lv-LV"/>
              </w:rPr>
              <w:t xml:space="preserve">, </w:t>
            </w:r>
            <w:r w:rsidR="0090488B" w:rsidRPr="0090488B">
              <w:rPr>
                <w:rFonts w:ascii="Times New Roman" w:eastAsia="Times New Roman" w:hAnsi="Times New Roman" w:cs="Times New Roman"/>
                <w:sz w:val="24"/>
                <w:szCs w:val="24"/>
                <w:lang w:eastAsia="lv-LV"/>
              </w:rPr>
              <w:t>kura</w:t>
            </w:r>
            <w:r w:rsidR="000631C9">
              <w:rPr>
                <w:rFonts w:ascii="Times New Roman" w:eastAsia="Times New Roman" w:hAnsi="Times New Roman" w:cs="Times New Roman"/>
                <w:sz w:val="24"/>
                <w:szCs w:val="24"/>
                <w:lang w:eastAsia="lv-LV"/>
              </w:rPr>
              <w:t>s</w:t>
            </w:r>
            <w:r w:rsidR="0090488B" w:rsidRPr="0090488B">
              <w:rPr>
                <w:rFonts w:ascii="Times New Roman" w:eastAsia="Times New Roman" w:hAnsi="Times New Roman" w:cs="Times New Roman"/>
                <w:sz w:val="24"/>
                <w:szCs w:val="24"/>
                <w:lang w:eastAsia="lv-LV"/>
              </w:rPr>
              <w:t xml:space="preserve"> nav </w:t>
            </w:r>
            <w:r w:rsidR="000631C9">
              <w:rPr>
                <w:rFonts w:ascii="Times New Roman" w:eastAsia="Times New Roman" w:hAnsi="Times New Roman" w:cs="Times New Roman"/>
                <w:sz w:val="24"/>
                <w:szCs w:val="24"/>
                <w:lang w:eastAsia="lv-LV"/>
              </w:rPr>
              <w:t>biedrības "</w:t>
            </w:r>
            <w:r w:rsidR="0090488B" w:rsidRPr="0090488B">
              <w:rPr>
                <w:rFonts w:ascii="Times New Roman" w:eastAsia="Times New Roman" w:hAnsi="Times New Roman" w:cs="Times New Roman"/>
                <w:sz w:val="24"/>
                <w:szCs w:val="24"/>
                <w:lang w:eastAsia="lv-LV"/>
              </w:rPr>
              <w:t>Latvijas Finanšu nozares asociācija</w:t>
            </w:r>
            <w:r w:rsidR="000631C9">
              <w:rPr>
                <w:rFonts w:ascii="Times New Roman" w:eastAsia="Times New Roman" w:hAnsi="Times New Roman" w:cs="Times New Roman"/>
                <w:sz w:val="24"/>
                <w:szCs w:val="24"/>
                <w:lang w:eastAsia="lv-LV"/>
              </w:rPr>
              <w:t>"</w:t>
            </w:r>
            <w:r w:rsidR="0090488B" w:rsidRPr="0090488B">
              <w:rPr>
                <w:rFonts w:ascii="Times New Roman" w:eastAsia="Times New Roman" w:hAnsi="Times New Roman" w:cs="Times New Roman"/>
                <w:sz w:val="24"/>
                <w:szCs w:val="24"/>
                <w:lang w:eastAsia="lv-LV"/>
              </w:rPr>
              <w:t xml:space="preserve"> biedr</w:t>
            </w:r>
            <w:r w:rsidR="00754106">
              <w:rPr>
                <w:rFonts w:ascii="Times New Roman" w:eastAsia="Times New Roman" w:hAnsi="Times New Roman" w:cs="Times New Roman"/>
                <w:sz w:val="24"/>
                <w:szCs w:val="24"/>
                <w:lang w:eastAsia="lv-LV"/>
              </w:rPr>
              <w:t>es</w:t>
            </w:r>
            <w:r w:rsidR="001579BC">
              <w:rPr>
                <w:rFonts w:ascii="Times New Roman" w:eastAsia="Times New Roman" w:hAnsi="Times New Roman" w:cs="Times New Roman"/>
                <w:sz w:val="24"/>
                <w:szCs w:val="24"/>
                <w:lang w:eastAsia="lv-LV"/>
              </w:rPr>
              <w:t>.</w:t>
            </w:r>
          </w:p>
        </w:tc>
      </w:tr>
      <w:tr w:rsidR="00D63F50" w:rsidRPr="000B4E0A" w14:paraId="4A3E4A01" w14:textId="77777777" w:rsidTr="00115CFD">
        <w:trPr>
          <w:trHeight w:val="567"/>
        </w:trPr>
        <w:tc>
          <w:tcPr>
            <w:tcW w:w="1405" w:type="pct"/>
            <w:shd w:val="clear" w:color="auto" w:fill="auto"/>
            <w:hideMark/>
          </w:tcPr>
          <w:p w14:paraId="11A86D20" w14:textId="77777777" w:rsidR="00D63F50" w:rsidRPr="00E253DA" w:rsidRDefault="00D63F50" w:rsidP="00D63F50">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Saskaņošanas rezultāti</w:t>
            </w:r>
          </w:p>
          <w:p w14:paraId="45DABBFE" w14:textId="5EC04874" w:rsidR="00D63F50" w:rsidRPr="00E253DA" w:rsidRDefault="00D63F50" w:rsidP="00D63F50">
            <w:pPr>
              <w:spacing w:after="0" w:line="240" w:lineRule="auto"/>
              <w:rPr>
                <w:rFonts w:ascii="Times New Roman" w:eastAsia="Times New Roman" w:hAnsi="Times New Roman" w:cs="Times New Roman"/>
                <w:b/>
                <w:bCs/>
                <w:sz w:val="24"/>
                <w:szCs w:val="24"/>
                <w:lang w:eastAsia="lv-LV"/>
              </w:rPr>
            </w:pPr>
          </w:p>
        </w:tc>
        <w:tc>
          <w:tcPr>
            <w:tcW w:w="3595" w:type="pct"/>
            <w:shd w:val="clear" w:color="auto" w:fill="auto"/>
          </w:tcPr>
          <w:p w14:paraId="4A03D1B6" w14:textId="77777777" w:rsidR="002C4548" w:rsidRDefault="00997EDB" w:rsidP="00FC1016">
            <w:pPr>
              <w:spacing w:after="120" w:line="240" w:lineRule="auto"/>
              <w:jc w:val="both"/>
              <w:rPr>
                <w:rFonts w:ascii="Times New Roman" w:eastAsia="Times New Roman" w:hAnsi="Times New Roman" w:cs="Times New Roman"/>
                <w:sz w:val="24"/>
                <w:szCs w:val="24"/>
                <w:lang w:eastAsia="lv-LV"/>
              </w:rPr>
            </w:pPr>
            <w:r w:rsidRPr="00997EDB">
              <w:rPr>
                <w:rFonts w:ascii="Times New Roman" w:eastAsia="Times New Roman" w:hAnsi="Times New Roman" w:cs="Times New Roman"/>
                <w:sz w:val="24"/>
                <w:szCs w:val="24"/>
                <w:lang w:eastAsia="lv-LV"/>
              </w:rPr>
              <w:t xml:space="preserve">Latvijas Banka ir iepazinusies ar </w:t>
            </w:r>
            <w:r w:rsidR="00E16983">
              <w:rPr>
                <w:rFonts w:ascii="Times New Roman" w:eastAsia="Times New Roman" w:hAnsi="Times New Roman" w:cs="Times New Roman"/>
                <w:sz w:val="24"/>
                <w:szCs w:val="24"/>
                <w:lang w:eastAsia="lv-LV"/>
              </w:rPr>
              <w:t xml:space="preserve">biedrības </w:t>
            </w:r>
            <w:r w:rsidR="003849E4">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Latvijas Finanšu nozares asociācija</w:t>
            </w:r>
            <w:r w:rsidR="003849E4">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 xml:space="preserve">sniegtajiem priekšlikumiem, </w:t>
            </w:r>
            <w:r w:rsidRPr="00997EDB">
              <w:rPr>
                <w:rFonts w:ascii="Times New Roman" w:eastAsia="Times New Roman" w:hAnsi="Times New Roman" w:cs="Times New Roman"/>
                <w:sz w:val="24"/>
                <w:szCs w:val="24"/>
                <w:lang w:eastAsia="lv-LV"/>
              </w:rPr>
              <w:t>komentāriem</w:t>
            </w:r>
            <w:r>
              <w:rPr>
                <w:rFonts w:ascii="Times New Roman" w:eastAsia="Times New Roman" w:hAnsi="Times New Roman" w:cs="Times New Roman"/>
                <w:sz w:val="24"/>
                <w:szCs w:val="24"/>
                <w:lang w:eastAsia="lv-LV"/>
              </w:rPr>
              <w:t xml:space="preserve"> un jautājumiem</w:t>
            </w:r>
            <w:r w:rsidRPr="00997EDB">
              <w:rPr>
                <w:rFonts w:ascii="Times New Roman" w:eastAsia="Times New Roman" w:hAnsi="Times New Roman" w:cs="Times New Roman"/>
                <w:sz w:val="24"/>
                <w:szCs w:val="24"/>
                <w:lang w:eastAsia="lv-LV"/>
              </w:rPr>
              <w:t xml:space="preserve"> par noteikumu projektu un sniegusi viedokli, kas iekļauts noteikumu projekta anotācijas pielikumā.</w:t>
            </w:r>
            <w:r w:rsidR="00AE6A9B">
              <w:rPr>
                <w:rFonts w:ascii="Times New Roman" w:eastAsia="Times New Roman" w:hAnsi="Times New Roman" w:cs="Times New Roman"/>
                <w:sz w:val="24"/>
                <w:szCs w:val="24"/>
                <w:lang w:eastAsia="lv-LV"/>
              </w:rPr>
              <w:t xml:space="preserve"> </w:t>
            </w:r>
          </w:p>
          <w:p w14:paraId="736AD104" w14:textId="50066052" w:rsidR="00AE6A9B" w:rsidRPr="00317A94" w:rsidRDefault="00AE6A9B" w:rsidP="00FC1016">
            <w:pPr>
              <w:spacing w:after="120" w:line="240" w:lineRule="auto"/>
              <w:jc w:val="both"/>
              <w:rPr>
                <w:rFonts w:ascii="Times New Roman" w:eastAsia="Times New Roman" w:hAnsi="Times New Roman" w:cs="Times New Roman"/>
                <w:sz w:val="24"/>
                <w:szCs w:val="24"/>
                <w:lang w:eastAsia="lv-LV"/>
              </w:rPr>
            </w:pPr>
            <w:r w:rsidRPr="00AE6A9B">
              <w:rPr>
                <w:rFonts w:ascii="Times New Roman" w:eastAsia="Times New Roman" w:hAnsi="Times New Roman" w:cs="Times New Roman"/>
                <w:sz w:val="24"/>
                <w:szCs w:val="24"/>
                <w:lang w:eastAsia="lv-LV"/>
              </w:rPr>
              <w:t>Pēc sabiedrības līdzdalībai noteiktā termiņa beigām un atkārtot</w:t>
            </w:r>
            <w:r>
              <w:rPr>
                <w:rFonts w:ascii="Times New Roman" w:eastAsia="Times New Roman" w:hAnsi="Times New Roman" w:cs="Times New Roman"/>
                <w:sz w:val="24"/>
                <w:szCs w:val="24"/>
                <w:lang w:eastAsia="lv-LV"/>
              </w:rPr>
              <w:t xml:space="preserve">as </w:t>
            </w:r>
            <w:r w:rsidRPr="00AE6A9B">
              <w:rPr>
                <w:rFonts w:ascii="Times New Roman" w:eastAsia="Times New Roman" w:hAnsi="Times New Roman" w:cs="Times New Roman"/>
                <w:sz w:val="24"/>
                <w:szCs w:val="24"/>
                <w:lang w:eastAsia="lv-LV"/>
              </w:rPr>
              <w:t>izskatīšan</w:t>
            </w:r>
            <w:r>
              <w:rPr>
                <w:rFonts w:ascii="Times New Roman" w:eastAsia="Times New Roman" w:hAnsi="Times New Roman" w:cs="Times New Roman"/>
                <w:sz w:val="24"/>
                <w:szCs w:val="24"/>
                <w:lang w:eastAsia="lv-LV"/>
              </w:rPr>
              <w:t xml:space="preserve">as </w:t>
            </w:r>
            <w:r w:rsidRPr="00AE6A9B">
              <w:rPr>
                <w:rFonts w:ascii="Times New Roman" w:eastAsia="Times New Roman" w:hAnsi="Times New Roman" w:cs="Times New Roman"/>
                <w:sz w:val="24"/>
                <w:szCs w:val="24"/>
                <w:lang w:eastAsia="lv-LV"/>
              </w:rPr>
              <w:t>Latvijas Bankas uzraudzības komitejas sēdē noteikumu projekts tiks iesniegts izskatīšanai Latvijas Bankas konsultatīvās finanšu tirgus padomes sēdē.</w:t>
            </w:r>
          </w:p>
        </w:tc>
      </w:tr>
    </w:tbl>
    <w:p w14:paraId="5E06D3E8" w14:textId="1277D277" w:rsidR="005A22ED" w:rsidRDefault="005A22ED" w:rsidP="00175148">
      <w:pPr>
        <w:spacing w:after="0" w:line="240" w:lineRule="auto"/>
        <w:rPr>
          <w:rFonts w:ascii="Times New Roman" w:hAnsi="Times New Roman" w:cs="Times New Roman"/>
          <w:sz w:val="24"/>
          <w:szCs w:val="24"/>
        </w:rPr>
      </w:pPr>
    </w:p>
    <w:p w14:paraId="19D1E178" w14:textId="77777777" w:rsidR="005A22ED" w:rsidRDefault="005A22ED">
      <w:pPr>
        <w:rPr>
          <w:rFonts w:ascii="Times New Roman" w:hAnsi="Times New Roman" w:cs="Times New Roman"/>
          <w:sz w:val="24"/>
          <w:szCs w:val="24"/>
        </w:rPr>
      </w:pPr>
      <w:r>
        <w:rPr>
          <w:rFonts w:ascii="Times New Roman" w:hAnsi="Times New Roman" w:cs="Times New Roman"/>
          <w:sz w:val="24"/>
          <w:szCs w:val="24"/>
        </w:rPr>
        <w:br w:type="page"/>
      </w:r>
    </w:p>
    <w:p w14:paraId="6389A5B2" w14:textId="77777777" w:rsidR="005A22ED" w:rsidRDefault="005A22ED" w:rsidP="005A22ED">
      <w:pPr>
        <w:spacing w:after="0" w:line="240" w:lineRule="auto"/>
        <w:jc w:val="right"/>
        <w:rPr>
          <w:rFonts w:ascii="Times New Roman" w:eastAsia="Calibri" w:hAnsi="Times New Roman" w:cs="Times New Roman"/>
          <w:sz w:val="24"/>
          <w:szCs w:val="24"/>
          <w14:ligatures w14:val="standardContextual"/>
        </w:rPr>
        <w:sectPr w:rsidR="005A22ED" w:rsidSect="007E313B">
          <w:headerReference w:type="default" r:id="rId14"/>
          <w:pgSz w:w="11906" w:h="16838" w:code="9"/>
          <w:pgMar w:top="1134" w:right="1134" w:bottom="1134" w:left="1701" w:header="708" w:footer="708" w:gutter="0"/>
          <w:cols w:space="708"/>
          <w:titlePg/>
          <w:docGrid w:linePitch="360"/>
        </w:sectPr>
      </w:pPr>
    </w:p>
    <w:p w14:paraId="0FE2AEEF" w14:textId="77777777" w:rsidR="005A22ED" w:rsidRPr="005A22ED" w:rsidRDefault="005A22ED" w:rsidP="005A22ED">
      <w:pPr>
        <w:spacing w:after="0" w:line="240" w:lineRule="auto"/>
        <w:jc w:val="right"/>
        <w:rPr>
          <w:rFonts w:ascii="Times New Roman" w:eastAsia="Calibri" w:hAnsi="Times New Roman" w:cs="Times New Roman"/>
          <w:sz w:val="24"/>
          <w:szCs w:val="24"/>
          <w14:ligatures w14:val="standardContextual"/>
        </w:rPr>
      </w:pPr>
      <w:r w:rsidRPr="005A22ED">
        <w:rPr>
          <w:rFonts w:ascii="Times New Roman" w:eastAsia="Calibri" w:hAnsi="Times New Roman" w:cs="Times New Roman"/>
          <w:sz w:val="24"/>
          <w:szCs w:val="24"/>
          <w14:ligatures w14:val="standardContextual"/>
        </w:rPr>
        <w:lastRenderedPageBreak/>
        <w:t>Pielikums</w:t>
      </w:r>
    </w:p>
    <w:p w14:paraId="065DC6E4" w14:textId="3C3FA81D" w:rsidR="005A22ED" w:rsidRPr="005A22ED" w:rsidRDefault="005A22ED" w:rsidP="005A22ED">
      <w:pPr>
        <w:jc w:val="right"/>
        <w:rPr>
          <w:rFonts w:ascii="Times New Roman" w:eastAsia="Calibri" w:hAnsi="Times New Roman" w:cs="Times New Roman"/>
          <w:sz w:val="24"/>
          <w:szCs w:val="24"/>
          <w14:ligatures w14:val="standardContextual"/>
        </w:rPr>
      </w:pPr>
      <w:r>
        <w:rPr>
          <w:rFonts w:ascii="Times New Roman" w:eastAsia="Calibri" w:hAnsi="Times New Roman" w:cs="Times New Roman"/>
          <w:sz w:val="24"/>
          <w:szCs w:val="24"/>
          <w14:ligatures w14:val="standardContextual"/>
        </w:rPr>
        <w:t>L</w:t>
      </w:r>
      <w:r w:rsidRPr="005A22ED">
        <w:rPr>
          <w:rFonts w:ascii="Times New Roman" w:eastAsia="Calibri" w:hAnsi="Times New Roman" w:cs="Times New Roman"/>
          <w:sz w:val="24"/>
          <w:szCs w:val="24"/>
          <w14:ligatures w14:val="standardContextual"/>
        </w:rPr>
        <w:t>atvijas Bankas noteikumu projekta anotācijai</w:t>
      </w:r>
    </w:p>
    <w:p w14:paraId="56A3D7EB" w14:textId="77777777" w:rsidR="005A22ED" w:rsidRPr="005A22ED" w:rsidRDefault="005A22ED" w:rsidP="005A22ED">
      <w:pPr>
        <w:jc w:val="center"/>
        <w:rPr>
          <w:rFonts w:ascii="Times New Roman" w:eastAsia="Calibri" w:hAnsi="Times New Roman" w:cs="Times New Roman"/>
          <w:b/>
          <w:sz w:val="24"/>
          <w:szCs w:val="24"/>
          <w14:ligatures w14:val="standardContextual"/>
        </w:rPr>
      </w:pPr>
      <w:r w:rsidRPr="005A22ED">
        <w:rPr>
          <w:rFonts w:ascii="Times New Roman" w:eastAsia="Calibri" w:hAnsi="Times New Roman" w:cs="Times New Roman"/>
          <w:b/>
          <w:sz w:val="24"/>
          <w:szCs w:val="24"/>
          <w14:ligatures w14:val="standardContextual"/>
        </w:rPr>
        <w:t>Eiropas Savienības tiesību aktu pārņemšanas/ieviešanas tabula</w:t>
      </w:r>
    </w:p>
    <w:p w14:paraId="669F29F6" w14:textId="77777777" w:rsidR="005A22ED" w:rsidRPr="005A22ED" w:rsidRDefault="005A22ED" w:rsidP="005A22ED">
      <w:pPr>
        <w:spacing w:after="0"/>
        <w:rPr>
          <w:rFonts w:ascii="Times New Roman" w:eastAsia="Calibri" w:hAnsi="Times New Roman" w:cs="Times New Roman"/>
          <w:b/>
          <w:sz w:val="24"/>
          <w:szCs w:val="24"/>
          <w14:ligatures w14:val="standardContextual"/>
        </w:rPr>
      </w:pPr>
    </w:p>
    <w:p w14:paraId="0319A92C" w14:textId="391A5EB8" w:rsidR="005A22ED" w:rsidRPr="005A22ED" w:rsidRDefault="005A22ED" w:rsidP="005A22ED">
      <w:pPr>
        <w:rPr>
          <w:rFonts w:ascii="Times New Roman" w:eastAsia="Calibri" w:hAnsi="Times New Roman" w:cs="Times New Roman"/>
          <w:b/>
          <w:sz w:val="24"/>
          <w:szCs w:val="24"/>
          <w14:ligatures w14:val="standardContextual"/>
        </w:rPr>
      </w:pPr>
      <w:r w:rsidRPr="005A22ED">
        <w:rPr>
          <w:rFonts w:ascii="Times New Roman" w:eastAsia="Calibri" w:hAnsi="Times New Roman" w:cs="Times New Roman"/>
          <w:b/>
          <w:sz w:val="24"/>
          <w:szCs w:val="24"/>
          <w14:ligatures w14:val="standardContextual"/>
        </w:rPr>
        <w:t>Latvijas Bankas noteikumu projekta nosaukums:</w:t>
      </w:r>
      <w:r w:rsidRPr="005A22ED">
        <w:rPr>
          <w:rFonts w:ascii="Times New Roman" w:eastAsia="Calibri" w:hAnsi="Times New Roman" w:cs="Times New Roman"/>
          <w:bCs/>
          <w:sz w:val="24"/>
          <w:szCs w:val="24"/>
          <w14:ligatures w14:val="standardContextual"/>
        </w:rPr>
        <w:t xml:space="preserve"> "</w:t>
      </w:r>
      <w:r>
        <w:rPr>
          <w:rFonts w:ascii="Times New Roman" w:eastAsia="Calibri" w:hAnsi="Times New Roman" w:cs="Times New Roman"/>
          <w:bCs/>
          <w:sz w:val="24"/>
          <w:szCs w:val="24"/>
          <w14:ligatures w14:val="standardContextual"/>
        </w:rPr>
        <w:t>Kredītiestāžu pārvaldības sistēmas izveides noteikumi</w:t>
      </w:r>
      <w:r w:rsidRPr="005A22ED">
        <w:rPr>
          <w:rFonts w:ascii="Times New Roman" w:eastAsia="Calibri" w:hAnsi="Times New Roman" w:cs="Times New Roman"/>
          <w:bCs/>
          <w:sz w:val="24"/>
          <w:szCs w:val="24"/>
          <w14:ligatures w14:val="standardContextual"/>
        </w:rPr>
        <w:t>" (turpmāk – Noteikumu projekts)</w:t>
      </w:r>
    </w:p>
    <w:p w14:paraId="0A7BB88E" w14:textId="59BA09DE" w:rsidR="005A22ED" w:rsidRPr="005A22ED" w:rsidRDefault="005A22ED" w:rsidP="009F6623">
      <w:pPr>
        <w:jc w:val="both"/>
        <w:rPr>
          <w:rFonts w:ascii="Times New Roman" w:eastAsia="Calibri" w:hAnsi="Times New Roman" w:cs="Times New Roman"/>
          <w:bCs/>
          <w:sz w:val="24"/>
          <w:szCs w:val="24"/>
          <w14:ligatures w14:val="standardContextual"/>
        </w:rPr>
      </w:pPr>
      <w:r w:rsidRPr="005A22ED">
        <w:rPr>
          <w:rFonts w:ascii="Times New Roman" w:eastAsia="Calibri" w:hAnsi="Times New Roman" w:cs="Times New Roman"/>
          <w:b/>
          <w:sz w:val="24"/>
          <w:szCs w:val="24"/>
          <w14:ligatures w14:val="standardContextual"/>
        </w:rPr>
        <w:t>Eiropas Savienības tiesību akta nosaukums:</w:t>
      </w:r>
      <w:r w:rsidRPr="005A22ED">
        <w:rPr>
          <w:rFonts w:ascii="Times New Roman" w:eastAsia="Calibri" w:hAnsi="Times New Roman" w:cs="Times New Roman"/>
          <w:bCs/>
          <w:sz w:val="24"/>
          <w:szCs w:val="24"/>
          <w14:ligatures w14:val="standardContextual"/>
        </w:rPr>
        <w:t xml:space="preserve"> Eiropas Parlamenta un Padomes 2013. gada 26. jūnija direktīva</w:t>
      </w:r>
      <w:r w:rsidR="00235E50">
        <w:rPr>
          <w:rFonts w:ascii="Times New Roman" w:eastAsia="Calibri" w:hAnsi="Times New Roman" w:cs="Times New Roman"/>
          <w:bCs/>
          <w:sz w:val="24"/>
          <w:szCs w:val="24"/>
          <w14:ligatures w14:val="standardContextual"/>
        </w:rPr>
        <w:t> </w:t>
      </w:r>
      <w:r w:rsidRPr="005A22ED">
        <w:rPr>
          <w:rFonts w:ascii="Times New Roman" w:eastAsia="Calibri" w:hAnsi="Times New Roman" w:cs="Times New Roman"/>
          <w:bCs/>
          <w:sz w:val="24"/>
          <w:szCs w:val="24"/>
          <w14:ligatures w14:val="standardContextual"/>
        </w:rPr>
        <w:t xml:space="preserve">2013/36/ES par piekļuvi kredītiestāžu darbībai un kredītiestāžu </w:t>
      </w:r>
      <w:proofErr w:type="spellStart"/>
      <w:r w:rsidRPr="005A22ED">
        <w:rPr>
          <w:rFonts w:ascii="Times New Roman" w:eastAsia="Calibri" w:hAnsi="Times New Roman" w:cs="Times New Roman"/>
          <w:bCs/>
          <w:sz w:val="24"/>
          <w:szCs w:val="24"/>
          <w14:ligatures w14:val="standardContextual"/>
        </w:rPr>
        <w:t>prudenciālo</w:t>
      </w:r>
      <w:proofErr w:type="spellEnd"/>
      <w:r w:rsidRPr="005A22ED">
        <w:rPr>
          <w:rFonts w:ascii="Times New Roman" w:eastAsia="Calibri" w:hAnsi="Times New Roman" w:cs="Times New Roman"/>
          <w:bCs/>
          <w:sz w:val="24"/>
          <w:szCs w:val="24"/>
          <w14:ligatures w14:val="standardContextual"/>
        </w:rPr>
        <w:t xml:space="preserve"> uzraudzību, ar ko groza direktīvu</w:t>
      </w:r>
      <w:r w:rsidR="00235E50">
        <w:rPr>
          <w:rFonts w:ascii="Times New Roman" w:eastAsia="Calibri" w:hAnsi="Times New Roman" w:cs="Times New Roman"/>
          <w:bCs/>
          <w:sz w:val="24"/>
          <w:szCs w:val="24"/>
          <w14:ligatures w14:val="standardContextual"/>
        </w:rPr>
        <w:t> </w:t>
      </w:r>
      <w:r w:rsidRPr="005A22ED">
        <w:rPr>
          <w:rFonts w:ascii="Times New Roman" w:eastAsia="Calibri" w:hAnsi="Times New Roman" w:cs="Times New Roman"/>
          <w:bCs/>
          <w:sz w:val="24"/>
          <w:szCs w:val="24"/>
          <w14:ligatures w14:val="standardContextual"/>
        </w:rPr>
        <w:t>2002/87/EK un atceļ direktīvas</w:t>
      </w:r>
      <w:r w:rsidR="00235E50">
        <w:rPr>
          <w:rFonts w:ascii="Times New Roman" w:eastAsia="Calibri" w:hAnsi="Times New Roman" w:cs="Times New Roman"/>
          <w:bCs/>
          <w:sz w:val="24"/>
          <w:szCs w:val="24"/>
          <w14:ligatures w14:val="standardContextual"/>
        </w:rPr>
        <w:t> </w:t>
      </w:r>
      <w:r w:rsidRPr="005A22ED">
        <w:rPr>
          <w:rFonts w:ascii="Times New Roman" w:eastAsia="Calibri" w:hAnsi="Times New Roman" w:cs="Times New Roman"/>
          <w:bCs/>
          <w:sz w:val="24"/>
          <w:szCs w:val="24"/>
          <w14:ligatures w14:val="standardContextual"/>
        </w:rPr>
        <w:t>2006/48/EK un 2006/49/EK (turpmāk – Direktīva</w:t>
      </w:r>
      <w:r w:rsidR="00235E50">
        <w:rPr>
          <w:rFonts w:ascii="Times New Roman" w:eastAsia="Calibri" w:hAnsi="Times New Roman" w:cs="Times New Roman"/>
          <w:bCs/>
          <w:sz w:val="24"/>
          <w:szCs w:val="24"/>
          <w14:ligatures w14:val="standardContextual"/>
        </w:rPr>
        <w:t> </w:t>
      </w:r>
      <w:r w:rsidRPr="005A22ED">
        <w:rPr>
          <w:rFonts w:ascii="Times New Roman" w:eastAsia="Calibri" w:hAnsi="Times New Roman" w:cs="Times New Roman"/>
          <w:bCs/>
          <w:sz w:val="24"/>
          <w:szCs w:val="24"/>
          <w14:ligatures w14:val="standardContextual"/>
        </w:rPr>
        <w:t>2013/36/ES)</w:t>
      </w:r>
    </w:p>
    <w:tbl>
      <w:tblPr>
        <w:tblStyle w:val="Reatabula1"/>
        <w:tblW w:w="14771" w:type="dxa"/>
        <w:tblLook w:val="04A0" w:firstRow="1" w:lastRow="0" w:firstColumn="1" w:lastColumn="0" w:noHBand="0" w:noVBand="1"/>
      </w:tblPr>
      <w:tblGrid>
        <w:gridCol w:w="3203"/>
        <w:gridCol w:w="2307"/>
        <w:gridCol w:w="2304"/>
        <w:gridCol w:w="2349"/>
        <w:gridCol w:w="2257"/>
        <w:gridCol w:w="2351"/>
      </w:tblGrid>
      <w:tr w:rsidR="005A22ED" w:rsidRPr="005A22ED" w14:paraId="598AE5E5" w14:textId="77777777" w:rsidTr="00643668">
        <w:tc>
          <w:tcPr>
            <w:tcW w:w="3203" w:type="dxa"/>
          </w:tcPr>
          <w:p w14:paraId="2B9C78EF" w14:textId="51198102" w:rsidR="00FC1016" w:rsidRDefault="005A22ED" w:rsidP="00235E50">
            <w:pPr>
              <w:jc w:val="center"/>
              <w:rPr>
                <w:rFonts w:ascii="Times New Roman" w:eastAsia="Calibri" w:hAnsi="Times New Roman" w:cs="Times New Roman"/>
                <w:b/>
                <w:bCs/>
                <w:sz w:val="24"/>
                <w:szCs w:val="24"/>
              </w:rPr>
            </w:pPr>
            <w:r w:rsidRPr="005A22ED">
              <w:rPr>
                <w:rFonts w:ascii="Times New Roman" w:eastAsia="Calibri" w:hAnsi="Times New Roman" w:cs="Times New Roman"/>
                <w:b/>
                <w:bCs/>
                <w:sz w:val="24"/>
                <w:szCs w:val="24"/>
              </w:rPr>
              <w:t>Eiropas Savienības tiesību akta pants, punkts vai apakšpunkts, kurā paredzētās prasības Latvijā jāizpilda</w:t>
            </w:r>
          </w:p>
          <w:p w14:paraId="4763E293" w14:textId="7A95BB17" w:rsidR="005A22ED" w:rsidRPr="005A22ED" w:rsidRDefault="005A22ED" w:rsidP="00235E50">
            <w:pPr>
              <w:jc w:val="center"/>
              <w:rPr>
                <w:rFonts w:ascii="Times New Roman" w:eastAsia="Calibri" w:hAnsi="Times New Roman" w:cs="Times New Roman"/>
                <w:sz w:val="24"/>
                <w:szCs w:val="24"/>
              </w:rPr>
            </w:pPr>
            <w:r w:rsidRPr="005A22ED">
              <w:rPr>
                <w:rFonts w:ascii="Times New Roman" w:eastAsia="Calibri" w:hAnsi="Times New Roman" w:cs="Times New Roman"/>
                <w:i/>
                <w:iCs/>
                <w:sz w:val="24"/>
                <w:szCs w:val="24"/>
              </w:rPr>
              <w:t>(</w:t>
            </w:r>
            <w:r w:rsidR="004D0835">
              <w:rPr>
                <w:rFonts w:ascii="Times New Roman" w:eastAsia="Calibri" w:hAnsi="Times New Roman" w:cs="Times New Roman"/>
                <w:i/>
                <w:iCs/>
                <w:sz w:val="24"/>
                <w:szCs w:val="24"/>
              </w:rPr>
              <w:t>n</w:t>
            </w:r>
            <w:r w:rsidRPr="005A22ED">
              <w:rPr>
                <w:rFonts w:ascii="Times New Roman" w:eastAsia="Calibri" w:hAnsi="Times New Roman" w:cs="Times New Roman"/>
                <w:i/>
                <w:iCs/>
                <w:sz w:val="24"/>
                <w:szCs w:val="24"/>
              </w:rPr>
              <w:t>orāda pēc iespējas konkrētāku teksta vienību)</w:t>
            </w:r>
          </w:p>
        </w:tc>
        <w:tc>
          <w:tcPr>
            <w:tcW w:w="2307" w:type="dxa"/>
          </w:tcPr>
          <w:p w14:paraId="5DF7FAB5" w14:textId="5A771120" w:rsidR="005A22ED" w:rsidRPr="005A22ED" w:rsidRDefault="005A22ED" w:rsidP="00235E50">
            <w:pPr>
              <w:jc w:val="center"/>
              <w:rPr>
                <w:rFonts w:ascii="Times New Roman" w:eastAsia="Calibri" w:hAnsi="Times New Roman" w:cs="Times New Roman"/>
                <w:b/>
                <w:bCs/>
                <w:sz w:val="24"/>
                <w:szCs w:val="24"/>
              </w:rPr>
            </w:pPr>
            <w:r w:rsidRPr="005A22ED">
              <w:rPr>
                <w:rFonts w:ascii="Times New Roman" w:eastAsia="Calibri" w:hAnsi="Times New Roman" w:cs="Times New Roman"/>
                <w:b/>
                <w:bCs/>
                <w:sz w:val="24"/>
                <w:szCs w:val="24"/>
              </w:rPr>
              <w:t>Noteikumu projekta punkts vai apakšpunkts, kas izpilda A ailē minēto prasību</w:t>
            </w:r>
          </w:p>
          <w:p w14:paraId="0D59D018" w14:textId="2DE91C41" w:rsidR="005A22ED" w:rsidRPr="005A22ED" w:rsidRDefault="005A22ED" w:rsidP="00235E50">
            <w:pPr>
              <w:jc w:val="center"/>
              <w:rPr>
                <w:rFonts w:ascii="Times New Roman" w:eastAsia="Calibri" w:hAnsi="Times New Roman" w:cs="Times New Roman"/>
                <w:b/>
                <w:bCs/>
                <w:sz w:val="24"/>
                <w:szCs w:val="24"/>
              </w:rPr>
            </w:pPr>
            <w:r w:rsidRPr="005A22ED">
              <w:rPr>
                <w:rFonts w:ascii="Times New Roman" w:eastAsia="Calibri" w:hAnsi="Times New Roman" w:cs="Times New Roman"/>
                <w:i/>
                <w:iCs/>
                <w:sz w:val="24"/>
                <w:szCs w:val="24"/>
              </w:rPr>
              <w:t>(</w:t>
            </w:r>
            <w:r w:rsidR="004D0835">
              <w:rPr>
                <w:rFonts w:ascii="Times New Roman" w:eastAsia="Calibri" w:hAnsi="Times New Roman" w:cs="Times New Roman"/>
                <w:i/>
                <w:iCs/>
                <w:sz w:val="24"/>
                <w:szCs w:val="24"/>
              </w:rPr>
              <w:t>n</w:t>
            </w:r>
            <w:r w:rsidRPr="005A22ED">
              <w:rPr>
                <w:rFonts w:ascii="Times New Roman" w:eastAsia="Calibri" w:hAnsi="Times New Roman" w:cs="Times New Roman"/>
                <w:i/>
                <w:iCs/>
                <w:sz w:val="24"/>
                <w:szCs w:val="24"/>
              </w:rPr>
              <w:t>orāda pēc iespējas konkrētāku teksta vienību)</w:t>
            </w:r>
          </w:p>
        </w:tc>
        <w:tc>
          <w:tcPr>
            <w:tcW w:w="2304" w:type="dxa"/>
          </w:tcPr>
          <w:p w14:paraId="4990D021" w14:textId="425D9387" w:rsidR="005A22ED" w:rsidRPr="005A22ED" w:rsidRDefault="005A22ED" w:rsidP="00235E50">
            <w:pPr>
              <w:jc w:val="center"/>
              <w:rPr>
                <w:rFonts w:ascii="Times New Roman" w:eastAsia="Calibri" w:hAnsi="Times New Roman" w:cs="Times New Roman"/>
                <w:b/>
                <w:bCs/>
                <w:sz w:val="24"/>
                <w:szCs w:val="24"/>
              </w:rPr>
            </w:pPr>
            <w:r w:rsidRPr="005A22ED">
              <w:rPr>
                <w:rFonts w:ascii="Times New Roman" w:eastAsia="Calibri" w:hAnsi="Times New Roman" w:cs="Times New Roman"/>
                <w:b/>
                <w:bCs/>
                <w:sz w:val="24"/>
                <w:szCs w:val="24"/>
              </w:rPr>
              <w:t xml:space="preserve">Vai A ailē minētā prasība ar B ailē minēto </w:t>
            </w:r>
            <w:r w:rsidR="00754106">
              <w:rPr>
                <w:rFonts w:ascii="Times New Roman" w:eastAsia="Calibri" w:hAnsi="Times New Roman" w:cs="Times New Roman"/>
                <w:b/>
                <w:bCs/>
                <w:sz w:val="24"/>
                <w:szCs w:val="24"/>
              </w:rPr>
              <w:t>n</w:t>
            </w:r>
            <w:r w:rsidRPr="005A22ED">
              <w:rPr>
                <w:rFonts w:ascii="Times New Roman" w:eastAsia="Calibri" w:hAnsi="Times New Roman" w:cs="Times New Roman"/>
                <w:b/>
                <w:bCs/>
                <w:sz w:val="24"/>
                <w:szCs w:val="24"/>
              </w:rPr>
              <w:t>oteikumu projekta punktu vai apakšpunktu tiek izpildīta pilnībā vai daļēji?</w:t>
            </w:r>
          </w:p>
          <w:p w14:paraId="538D70A8" w14:textId="52E0D3CF" w:rsidR="005A22ED" w:rsidRPr="005A22ED" w:rsidRDefault="005A22ED" w:rsidP="00235E50">
            <w:pPr>
              <w:jc w:val="center"/>
              <w:rPr>
                <w:rFonts w:ascii="Times New Roman" w:eastAsia="Calibri" w:hAnsi="Times New Roman" w:cs="Times New Roman"/>
                <w:b/>
                <w:bCs/>
                <w:sz w:val="24"/>
                <w:szCs w:val="24"/>
              </w:rPr>
            </w:pPr>
            <w:r w:rsidRPr="005A22ED">
              <w:rPr>
                <w:rFonts w:ascii="Times New Roman" w:eastAsia="Calibri" w:hAnsi="Times New Roman" w:cs="Times New Roman"/>
                <w:i/>
                <w:iCs/>
                <w:sz w:val="24"/>
                <w:szCs w:val="24"/>
              </w:rPr>
              <w:t>(</w:t>
            </w:r>
            <w:r w:rsidR="004D0835">
              <w:rPr>
                <w:rFonts w:ascii="Times New Roman" w:eastAsia="Calibri" w:hAnsi="Times New Roman" w:cs="Times New Roman"/>
                <w:i/>
                <w:iCs/>
                <w:sz w:val="24"/>
                <w:szCs w:val="24"/>
              </w:rPr>
              <w:t>j</w:t>
            </w:r>
            <w:r w:rsidRPr="005A22ED">
              <w:rPr>
                <w:rFonts w:ascii="Times New Roman" w:eastAsia="Calibri" w:hAnsi="Times New Roman" w:cs="Times New Roman"/>
                <w:i/>
                <w:iCs/>
                <w:sz w:val="24"/>
                <w:szCs w:val="24"/>
              </w:rPr>
              <w:t>a daļēji, norāda, kur un kā ir vai tiks nodrošināta prasības pilnīga izpilde)</w:t>
            </w:r>
          </w:p>
        </w:tc>
        <w:tc>
          <w:tcPr>
            <w:tcW w:w="2349" w:type="dxa"/>
          </w:tcPr>
          <w:p w14:paraId="7427C1BB" w14:textId="118AAD3F" w:rsidR="005A22ED" w:rsidRPr="005A22ED" w:rsidRDefault="005A22ED" w:rsidP="00235E50">
            <w:pPr>
              <w:jc w:val="center"/>
              <w:rPr>
                <w:rFonts w:ascii="Times New Roman" w:eastAsia="Calibri" w:hAnsi="Times New Roman" w:cs="Times New Roman"/>
                <w:b/>
                <w:bCs/>
                <w:sz w:val="24"/>
                <w:szCs w:val="24"/>
              </w:rPr>
            </w:pPr>
            <w:r w:rsidRPr="005A22ED">
              <w:rPr>
                <w:rFonts w:ascii="Times New Roman" w:eastAsia="Calibri" w:hAnsi="Times New Roman" w:cs="Times New Roman"/>
                <w:b/>
                <w:bCs/>
                <w:sz w:val="24"/>
                <w:szCs w:val="24"/>
              </w:rPr>
              <w:t xml:space="preserve">Vai B ailē norādītais </w:t>
            </w:r>
            <w:r w:rsidR="00754106">
              <w:rPr>
                <w:rFonts w:ascii="Times New Roman" w:eastAsia="Calibri" w:hAnsi="Times New Roman" w:cs="Times New Roman"/>
                <w:b/>
                <w:bCs/>
                <w:sz w:val="24"/>
                <w:szCs w:val="24"/>
              </w:rPr>
              <w:t>n</w:t>
            </w:r>
            <w:r w:rsidRPr="005A22ED">
              <w:rPr>
                <w:rFonts w:ascii="Times New Roman" w:eastAsia="Calibri" w:hAnsi="Times New Roman" w:cs="Times New Roman"/>
                <w:b/>
                <w:bCs/>
                <w:sz w:val="24"/>
                <w:szCs w:val="24"/>
              </w:rPr>
              <w:t>oteikumu projekta punkts vai apakšpunkts paredz stingrākas prasības nekā A ailē minētā prasība</w:t>
            </w:r>
            <w:r w:rsidR="00754106">
              <w:rPr>
                <w:rFonts w:ascii="Times New Roman" w:eastAsia="Calibri" w:hAnsi="Times New Roman" w:cs="Times New Roman"/>
                <w:b/>
                <w:bCs/>
                <w:sz w:val="24"/>
                <w:szCs w:val="24"/>
              </w:rPr>
              <w:t>?</w:t>
            </w:r>
          </w:p>
          <w:p w14:paraId="344027EF" w14:textId="78A15C96" w:rsidR="005A22ED" w:rsidRPr="005A22ED" w:rsidRDefault="005A22ED" w:rsidP="00235E50">
            <w:pPr>
              <w:jc w:val="center"/>
              <w:rPr>
                <w:rFonts w:ascii="Times New Roman" w:eastAsia="Calibri" w:hAnsi="Times New Roman" w:cs="Times New Roman"/>
                <w:b/>
                <w:bCs/>
                <w:sz w:val="24"/>
                <w:szCs w:val="24"/>
              </w:rPr>
            </w:pPr>
            <w:r w:rsidRPr="005A22ED">
              <w:rPr>
                <w:rFonts w:ascii="Times New Roman" w:eastAsia="Calibri" w:hAnsi="Times New Roman" w:cs="Times New Roman"/>
                <w:i/>
                <w:iCs/>
                <w:sz w:val="24"/>
                <w:szCs w:val="24"/>
              </w:rPr>
              <w:t>(</w:t>
            </w:r>
            <w:r w:rsidR="004D0835">
              <w:rPr>
                <w:rFonts w:ascii="Times New Roman" w:eastAsia="Calibri" w:hAnsi="Times New Roman" w:cs="Times New Roman"/>
                <w:i/>
                <w:iCs/>
                <w:sz w:val="24"/>
                <w:szCs w:val="24"/>
              </w:rPr>
              <w:t>j</w:t>
            </w:r>
            <w:r w:rsidRPr="005A22ED">
              <w:rPr>
                <w:rFonts w:ascii="Times New Roman" w:eastAsia="Calibri" w:hAnsi="Times New Roman" w:cs="Times New Roman"/>
                <w:i/>
                <w:iCs/>
                <w:sz w:val="24"/>
                <w:szCs w:val="24"/>
              </w:rPr>
              <w:t>a paredz stingrākas prasības, norāda pamatojumu šādu stingrāku prasību nepieciešamībai)</w:t>
            </w:r>
          </w:p>
        </w:tc>
        <w:tc>
          <w:tcPr>
            <w:tcW w:w="2257" w:type="dxa"/>
          </w:tcPr>
          <w:p w14:paraId="1C48BF30" w14:textId="26C14A22" w:rsidR="005A22ED" w:rsidRPr="005A22ED" w:rsidRDefault="005A22ED" w:rsidP="00235E50">
            <w:pPr>
              <w:jc w:val="center"/>
              <w:rPr>
                <w:rFonts w:ascii="Times New Roman" w:eastAsia="Calibri" w:hAnsi="Times New Roman" w:cs="Times New Roman"/>
                <w:b/>
                <w:bCs/>
                <w:sz w:val="24"/>
                <w:szCs w:val="24"/>
              </w:rPr>
            </w:pPr>
            <w:r w:rsidRPr="005A22ED">
              <w:rPr>
                <w:rFonts w:ascii="Times New Roman" w:eastAsia="Calibri" w:hAnsi="Times New Roman" w:cs="Times New Roman"/>
                <w:b/>
                <w:bCs/>
                <w:sz w:val="24"/>
                <w:szCs w:val="24"/>
              </w:rPr>
              <w:t>Vai A ailē minētā prasība ir jāizpilda obligāti?</w:t>
            </w:r>
          </w:p>
          <w:p w14:paraId="00363B18" w14:textId="353A3E34" w:rsidR="005A22ED" w:rsidRPr="005A22ED" w:rsidRDefault="005A22ED" w:rsidP="00235E50">
            <w:pPr>
              <w:jc w:val="center"/>
              <w:rPr>
                <w:rFonts w:ascii="Times New Roman" w:eastAsia="Calibri" w:hAnsi="Times New Roman" w:cs="Times New Roman"/>
                <w:b/>
                <w:bCs/>
                <w:sz w:val="24"/>
                <w:szCs w:val="24"/>
              </w:rPr>
            </w:pPr>
            <w:r w:rsidRPr="005A22ED">
              <w:rPr>
                <w:rFonts w:ascii="Times New Roman" w:eastAsia="Calibri" w:hAnsi="Times New Roman" w:cs="Times New Roman"/>
                <w:i/>
                <w:iCs/>
                <w:sz w:val="24"/>
                <w:szCs w:val="24"/>
              </w:rPr>
              <w:t>(</w:t>
            </w:r>
            <w:r w:rsidR="004D0835">
              <w:rPr>
                <w:rFonts w:ascii="Times New Roman" w:eastAsia="Calibri" w:hAnsi="Times New Roman" w:cs="Times New Roman"/>
                <w:i/>
                <w:iCs/>
                <w:sz w:val="24"/>
                <w:szCs w:val="24"/>
              </w:rPr>
              <w:t>j</w:t>
            </w:r>
            <w:r w:rsidRPr="005A22ED">
              <w:rPr>
                <w:rFonts w:ascii="Times New Roman" w:eastAsia="Calibri" w:hAnsi="Times New Roman" w:cs="Times New Roman"/>
                <w:i/>
                <w:iCs/>
                <w:sz w:val="24"/>
                <w:szCs w:val="24"/>
              </w:rPr>
              <w:t>a Eiropas Savienības tiesību akts paredz izvēles iespēju, norāda, vai un kādēļ šī rīcības brīvība Latvijā ir vai nav jāizmanto)</w:t>
            </w:r>
          </w:p>
        </w:tc>
        <w:tc>
          <w:tcPr>
            <w:tcW w:w="2351" w:type="dxa"/>
          </w:tcPr>
          <w:p w14:paraId="3B85C1CA" w14:textId="77777777" w:rsidR="005A22ED" w:rsidRPr="005A22ED" w:rsidRDefault="005A22ED" w:rsidP="00235E50">
            <w:pPr>
              <w:jc w:val="center"/>
              <w:rPr>
                <w:rFonts w:ascii="Times New Roman" w:eastAsia="Calibri" w:hAnsi="Times New Roman" w:cs="Times New Roman"/>
                <w:b/>
                <w:bCs/>
                <w:color w:val="333333"/>
                <w:sz w:val="24"/>
                <w:szCs w:val="24"/>
              </w:rPr>
            </w:pPr>
            <w:r w:rsidRPr="005A22ED">
              <w:rPr>
                <w:rFonts w:ascii="Times New Roman" w:eastAsia="Calibri" w:hAnsi="Times New Roman" w:cs="Times New Roman"/>
                <w:b/>
                <w:bCs/>
                <w:color w:val="333333"/>
                <w:sz w:val="24"/>
                <w:szCs w:val="24"/>
              </w:rPr>
              <w:t>Vai A ailē minētais Eiropas Savienības tiesību akts paredz dalībvalsts paziņošanas pienākumu Eiropas Savienības institūcijām?</w:t>
            </w:r>
          </w:p>
          <w:p w14:paraId="15683376" w14:textId="0EE5B515" w:rsidR="005A22ED" w:rsidRPr="005A22ED" w:rsidRDefault="005A22ED" w:rsidP="00235E50">
            <w:pPr>
              <w:jc w:val="center"/>
              <w:rPr>
                <w:rFonts w:ascii="Times New Roman" w:eastAsia="Calibri" w:hAnsi="Times New Roman" w:cs="Times New Roman"/>
                <w:b/>
                <w:bCs/>
                <w:sz w:val="24"/>
                <w:szCs w:val="24"/>
              </w:rPr>
            </w:pPr>
            <w:r w:rsidRPr="005A22ED">
              <w:rPr>
                <w:rFonts w:ascii="Times New Roman" w:eastAsia="Calibri" w:hAnsi="Times New Roman" w:cs="Times New Roman"/>
                <w:i/>
                <w:iCs/>
                <w:color w:val="333333"/>
                <w:sz w:val="24"/>
                <w:szCs w:val="24"/>
              </w:rPr>
              <w:t>(</w:t>
            </w:r>
            <w:r w:rsidR="004D0835">
              <w:rPr>
                <w:rFonts w:ascii="Times New Roman" w:eastAsia="Calibri" w:hAnsi="Times New Roman" w:cs="Times New Roman"/>
                <w:i/>
                <w:iCs/>
                <w:color w:val="333333"/>
                <w:sz w:val="24"/>
                <w:szCs w:val="24"/>
              </w:rPr>
              <w:t>j</w:t>
            </w:r>
            <w:r w:rsidRPr="005A22ED">
              <w:rPr>
                <w:rFonts w:ascii="Times New Roman" w:eastAsia="Calibri" w:hAnsi="Times New Roman" w:cs="Times New Roman"/>
                <w:i/>
                <w:iCs/>
                <w:color w:val="333333"/>
                <w:sz w:val="24"/>
                <w:szCs w:val="24"/>
              </w:rPr>
              <w:t>a paredz, norāda, kas un kādā termiņā šo paziņošanas pienākumu izpildīs)</w:t>
            </w:r>
          </w:p>
        </w:tc>
      </w:tr>
      <w:tr w:rsidR="005A22ED" w:rsidRPr="005A22ED" w14:paraId="45CCD10D" w14:textId="77777777" w:rsidTr="00643668">
        <w:tc>
          <w:tcPr>
            <w:tcW w:w="3203" w:type="dxa"/>
          </w:tcPr>
          <w:p w14:paraId="40A26C97" w14:textId="77777777" w:rsidR="005A22ED" w:rsidRPr="005A22ED" w:rsidRDefault="005A22ED" w:rsidP="005A22ED">
            <w:pPr>
              <w:jc w:val="center"/>
              <w:rPr>
                <w:rFonts w:ascii="Times New Roman" w:eastAsia="Calibri" w:hAnsi="Times New Roman" w:cs="Times New Roman"/>
                <w:sz w:val="24"/>
                <w:szCs w:val="24"/>
              </w:rPr>
            </w:pPr>
            <w:r w:rsidRPr="005A22ED">
              <w:rPr>
                <w:rFonts w:ascii="Times New Roman" w:eastAsia="Calibri" w:hAnsi="Times New Roman" w:cs="Times New Roman"/>
                <w:sz w:val="24"/>
                <w:szCs w:val="24"/>
              </w:rPr>
              <w:t>A</w:t>
            </w:r>
          </w:p>
        </w:tc>
        <w:tc>
          <w:tcPr>
            <w:tcW w:w="2307" w:type="dxa"/>
          </w:tcPr>
          <w:p w14:paraId="322CB400" w14:textId="77777777" w:rsidR="005A22ED" w:rsidRPr="005A22ED" w:rsidRDefault="005A22ED" w:rsidP="005A22ED">
            <w:pPr>
              <w:jc w:val="center"/>
              <w:rPr>
                <w:rFonts w:ascii="Times New Roman" w:eastAsia="Calibri" w:hAnsi="Times New Roman" w:cs="Times New Roman"/>
                <w:sz w:val="24"/>
                <w:szCs w:val="24"/>
              </w:rPr>
            </w:pPr>
            <w:r w:rsidRPr="005A22ED">
              <w:rPr>
                <w:rFonts w:ascii="Times New Roman" w:eastAsia="Calibri" w:hAnsi="Times New Roman" w:cs="Times New Roman"/>
                <w:sz w:val="24"/>
                <w:szCs w:val="24"/>
              </w:rPr>
              <w:t>B</w:t>
            </w:r>
          </w:p>
        </w:tc>
        <w:tc>
          <w:tcPr>
            <w:tcW w:w="2304" w:type="dxa"/>
          </w:tcPr>
          <w:p w14:paraId="780220FD" w14:textId="77777777" w:rsidR="005A22ED" w:rsidRPr="005A22ED" w:rsidRDefault="005A22ED" w:rsidP="005A22ED">
            <w:pPr>
              <w:jc w:val="center"/>
              <w:rPr>
                <w:rFonts w:ascii="Times New Roman" w:eastAsia="Calibri" w:hAnsi="Times New Roman" w:cs="Times New Roman"/>
                <w:sz w:val="24"/>
                <w:szCs w:val="24"/>
              </w:rPr>
            </w:pPr>
            <w:r w:rsidRPr="005A22ED">
              <w:rPr>
                <w:rFonts w:ascii="Times New Roman" w:eastAsia="Calibri" w:hAnsi="Times New Roman" w:cs="Times New Roman"/>
                <w:sz w:val="24"/>
                <w:szCs w:val="24"/>
              </w:rPr>
              <w:t>C</w:t>
            </w:r>
          </w:p>
        </w:tc>
        <w:tc>
          <w:tcPr>
            <w:tcW w:w="2349" w:type="dxa"/>
          </w:tcPr>
          <w:p w14:paraId="04B88492" w14:textId="77777777" w:rsidR="005A22ED" w:rsidRPr="005A22ED" w:rsidRDefault="005A22ED" w:rsidP="005A22ED">
            <w:pPr>
              <w:jc w:val="center"/>
              <w:rPr>
                <w:rFonts w:ascii="Times New Roman" w:eastAsia="Calibri" w:hAnsi="Times New Roman" w:cs="Times New Roman"/>
                <w:sz w:val="24"/>
                <w:szCs w:val="24"/>
              </w:rPr>
            </w:pPr>
            <w:r w:rsidRPr="005A22ED">
              <w:rPr>
                <w:rFonts w:ascii="Times New Roman" w:eastAsia="Calibri" w:hAnsi="Times New Roman" w:cs="Times New Roman"/>
                <w:sz w:val="24"/>
                <w:szCs w:val="24"/>
              </w:rPr>
              <w:t>D</w:t>
            </w:r>
          </w:p>
        </w:tc>
        <w:tc>
          <w:tcPr>
            <w:tcW w:w="2257" w:type="dxa"/>
          </w:tcPr>
          <w:p w14:paraId="35C295DA" w14:textId="77777777" w:rsidR="005A22ED" w:rsidRPr="005A22ED" w:rsidRDefault="005A22ED" w:rsidP="005A22ED">
            <w:pPr>
              <w:jc w:val="center"/>
              <w:rPr>
                <w:rFonts w:ascii="Times New Roman" w:eastAsia="Calibri" w:hAnsi="Times New Roman" w:cs="Times New Roman"/>
                <w:sz w:val="24"/>
                <w:szCs w:val="24"/>
              </w:rPr>
            </w:pPr>
            <w:r w:rsidRPr="005A22ED">
              <w:rPr>
                <w:rFonts w:ascii="Times New Roman" w:eastAsia="Calibri" w:hAnsi="Times New Roman" w:cs="Times New Roman"/>
                <w:sz w:val="24"/>
                <w:szCs w:val="24"/>
              </w:rPr>
              <w:t>E</w:t>
            </w:r>
          </w:p>
        </w:tc>
        <w:tc>
          <w:tcPr>
            <w:tcW w:w="2351" w:type="dxa"/>
          </w:tcPr>
          <w:p w14:paraId="04FBAA9C" w14:textId="77777777" w:rsidR="005A22ED" w:rsidRPr="005A22ED" w:rsidRDefault="005A22ED" w:rsidP="005A22ED">
            <w:pPr>
              <w:jc w:val="center"/>
              <w:rPr>
                <w:rFonts w:ascii="Times New Roman" w:eastAsia="Calibri" w:hAnsi="Times New Roman" w:cs="Times New Roman"/>
                <w:sz w:val="24"/>
                <w:szCs w:val="24"/>
              </w:rPr>
            </w:pPr>
            <w:r w:rsidRPr="005A22ED">
              <w:rPr>
                <w:rFonts w:ascii="Times New Roman" w:eastAsia="Calibri" w:hAnsi="Times New Roman" w:cs="Times New Roman"/>
                <w:sz w:val="24"/>
                <w:szCs w:val="24"/>
              </w:rPr>
              <w:t>F</w:t>
            </w:r>
          </w:p>
        </w:tc>
      </w:tr>
      <w:tr w:rsidR="00FC1016" w:rsidRPr="005A22ED" w14:paraId="336FC694" w14:textId="77777777" w:rsidTr="00643668">
        <w:tc>
          <w:tcPr>
            <w:tcW w:w="3203" w:type="dxa"/>
          </w:tcPr>
          <w:p w14:paraId="5D7CCA45" w14:textId="515CEEDC" w:rsidR="00FC1016" w:rsidRPr="005A22ED" w:rsidRDefault="00FC1016" w:rsidP="008129D3">
            <w:pPr>
              <w:rPr>
                <w:rFonts w:ascii="Times New Roman" w:eastAsia="Calibri" w:hAnsi="Times New Roman" w:cs="Times New Roman"/>
              </w:rPr>
            </w:pPr>
            <w:r w:rsidRPr="005A22ED">
              <w:rPr>
                <w:rFonts w:ascii="Times New Roman" w:eastAsia="Calibri" w:hAnsi="Times New Roman" w:cs="Times New Roman"/>
                <w:bCs/>
              </w:rPr>
              <w:t>Direktīvas</w:t>
            </w:r>
            <w:r w:rsidR="00754106">
              <w:rPr>
                <w:rFonts w:ascii="Times New Roman" w:eastAsia="Calibri" w:hAnsi="Times New Roman" w:cs="Times New Roman"/>
                <w:bCs/>
              </w:rPr>
              <w:t> </w:t>
            </w:r>
            <w:r w:rsidRPr="005A22ED">
              <w:rPr>
                <w:rFonts w:ascii="Times New Roman" w:eastAsia="Calibri" w:hAnsi="Times New Roman" w:cs="Times New Roman"/>
                <w:bCs/>
              </w:rPr>
              <w:t>2013/36/ES</w:t>
            </w:r>
            <w:r w:rsidRPr="005A22ED">
              <w:rPr>
                <w:rFonts w:ascii="Times New Roman" w:eastAsia="Calibri" w:hAnsi="Times New Roman" w:cs="Times New Roman"/>
              </w:rPr>
              <w:t xml:space="preserve"> </w:t>
            </w:r>
            <w:r>
              <w:rPr>
                <w:rFonts w:ascii="Times New Roman" w:eastAsia="Calibri" w:hAnsi="Times New Roman" w:cs="Times New Roman"/>
              </w:rPr>
              <w:t>88</w:t>
            </w:r>
            <w:r w:rsidRPr="005A22ED">
              <w:rPr>
                <w:rFonts w:ascii="Times New Roman" w:eastAsia="Calibri" w:hAnsi="Times New Roman" w:cs="Times New Roman"/>
              </w:rPr>
              <w:t xml:space="preserve">. panta </w:t>
            </w:r>
            <w:r>
              <w:rPr>
                <w:rFonts w:ascii="Times New Roman" w:eastAsia="Calibri" w:hAnsi="Times New Roman" w:cs="Times New Roman"/>
              </w:rPr>
              <w:t>1</w:t>
            </w:r>
            <w:r w:rsidRPr="005A22ED">
              <w:rPr>
                <w:rFonts w:ascii="Times New Roman" w:eastAsia="Calibri" w:hAnsi="Times New Roman" w:cs="Times New Roman"/>
              </w:rPr>
              <w:t xml:space="preserve">. punkta </w:t>
            </w:r>
            <w:r>
              <w:rPr>
                <w:rFonts w:ascii="Times New Roman" w:eastAsia="Calibri" w:hAnsi="Times New Roman" w:cs="Times New Roman"/>
              </w:rPr>
              <w:t>otrās daļas a) un b)</w:t>
            </w:r>
            <w:r w:rsidR="00754106">
              <w:rPr>
                <w:rFonts w:ascii="Times New Roman" w:eastAsia="Calibri" w:hAnsi="Times New Roman" w:cs="Times New Roman"/>
              </w:rPr>
              <w:t> </w:t>
            </w:r>
            <w:r>
              <w:rPr>
                <w:rFonts w:ascii="Times New Roman" w:eastAsia="Calibri" w:hAnsi="Times New Roman" w:cs="Times New Roman"/>
              </w:rPr>
              <w:t>apakšp</w:t>
            </w:r>
            <w:r w:rsidRPr="005A22ED">
              <w:rPr>
                <w:rFonts w:ascii="Times New Roman" w:eastAsia="Calibri" w:hAnsi="Times New Roman" w:cs="Times New Roman"/>
              </w:rPr>
              <w:t>unkts</w:t>
            </w:r>
          </w:p>
        </w:tc>
        <w:tc>
          <w:tcPr>
            <w:tcW w:w="2307" w:type="dxa"/>
          </w:tcPr>
          <w:p w14:paraId="17689E26" w14:textId="3AFE5A54" w:rsidR="00FC1016" w:rsidRPr="005A22ED" w:rsidRDefault="00FC1016" w:rsidP="008129D3">
            <w:pPr>
              <w:rPr>
                <w:rFonts w:ascii="Times New Roman" w:eastAsia="Calibri" w:hAnsi="Times New Roman" w:cs="Times New Roman"/>
              </w:rPr>
            </w:pPr>
            <w:r w:rsidRPr="005A22ED">
              <w:rPr>
                <w:rFonts w:ascii="Times New Roman" w:eastAsia="Calibri" w:hAnsi="Times New Roman" w:cs="Times New Roman"/>
              </w:rPr>
              <w:t xml:space="preserve">Noteikumu projekta </w:t>
            </w:r>
            <w:r>
              <w:rPr>
                <w:rFonts w:ascii="Times New Roman" w:eastAsia="Calibri" w:hAnsi="Times New Roman" w:cs="Times New Roman"/>
              </w:rPr>
              <w:t>2.6.</w:t>
            </w:r>
            <w:r w:rsidRPr="005A22ED">
              <w:rPr>
                <w:rFonts w:ascii="Times New Roman" w:eastAsia="Calibri" w:hAnsi="Times New Roman" w:cs="Times New Roman"/>
              </w:rPr>
              <w:t> apakšpunkts</w:t>
            </w:r>
          </w:p>
        </w:tc>
        <w:tc>
          <w:tcPr>
            <w:tcW w:w="2304" w:type="dxa"/>
          </w:tcPr>
          <w:p w14:paraId="2387CC8E" w14:textId="3AB6A5F1" w:rsidR="00FC1016" w:rsidRPr="005A22ED" w:rsidRDefault="00FC1016" w:rsidP="008129D3">
            <w:pPr>
              <w:rPr>
                <w:rFonts w:ascii="Times New Roman" w:eastAsia="Calibri" w:hAnsi="Times New Roman" w:cs="Times New Roman"/>
              </w:rPr>
            </w:pPr>
            <w:r w:rsidRPr="005A22ED">
              <w:rPr>
                <w:rFonts w:ascii="Times New Roman" w:eastAsia="Calibri" w:hAnsi="Times New Roman" w:cs="Times New Roman"/>
              </w:rPr>
              <w:t>Izpilda pilnībā</w:t>
            </w:r>
          </w:p>
        </w:tc>
        <w:tc>
          <w:tcPr>
            <w:tcW w:w="2349" w:type="dxa"/>
          </w:tcPr>
          <w:p w14:paraId="2BBF38A2" w14:textId="012413CA" w:rsidR="00FC1016" w:rsidRPr="005A22ED" w:rsidRDefault="00FC1016" w:rsidP="008129D3">
            <w:pPr>
              <w:rPr>
                <w:rFonts w:ascii="Times New Roman" w:eastAsia="Calibri" w:hAnsi="Times New Roman" w:cs="Times New Roman"/>
              </w:rPr>
            </w:pPr>
            <w:r>
              <w:rPr>
                <w:rFonts w:ascii="Times New Roman" w:eastAsia="Calibri" w:hAnsi="Times New Roman" w:cs="Times New Roman"/>
              </w:rPr>
              <w:t>Atbilstoši Kredītiestāžu likuma 50.</w:t>
            </w:r>
            <w:r w:rsidR="00754106">
              <w:rPr>
                <w:rFonts w:ascii="Times New Roman" w:eastAsia="Calibri" w:hAnsi="Times New Roman" w:cs="Times New Roman"/>
              </w:rPr>
              <w:t> </w:t>
            </w:r>
            <w:r>
              <w:rPr>
                <w:rFonts w:ascii="Times New Roman" w:eastAsia="Calibri" w:hAnsi="Times New Roman" w:cs="Times New Roman"/>
              </w:rPr>
              <w:t xml:space="preserve">panta otrajā daļā noteiktajam </w:t>
            </w:r>
            <w:r w:rsidRPr="000D5BC7">
              <w:rPr>
                <w:rFonts w:ascii="Times New Roman" w:eastAsia="Calibri" w:hAnsi="Times New Roman" w:cs="Times New Roman"/>
              </w:rPr>
              <w:t xml:space="preserve">attiecībā uz Latvijas finanšu sistēmai, tai skaitā kredītiestāžu darbībai, piemītošiem specifiskiem riskiem, lai mazinātu </w:t>
            </w:r>
            <w:r w:rsidRPr="000D5BC7">
              <w:rPr>
                <w:rFonts w:ascii="Times New Roman" w:eastAsia="Calibri" w:hAnsi="Times New Roman" w:cs="Times New Roman"/>
              </w:rPr>
              <w:lastRenderedPageBreak/>
              <w:t>kredītiestāžu darbības riskus un aizsargātu kreditoru interese</w:t>
            </w:r>
            <w:r>
              <w:rPr>
                <w:rFonts w:ascii="Times New Roman" w:eastAsia="Calibri" w:hAnsi="Times New Roman" w:cs="Times New Roman"/>
              </w:rPr>
              <w:t>s</w:t>
            </w:r>
            <w:r w:rsidR="00754106">
              <w:rPr>
                <w:rFonts w:ascii="Times New Roman" w:eastAsia="Calibri" w:hAnsi="Times New Roman" w:cs="Times New Roman"/>
              </w:rPr>
              <w:t>,</w:t>
            </w:r>
            <w:r>
              <w:rPr>
                <w:rFonts w:ascii="Times New Roman" w:eastAsia="Calibri" w:hAnsi="Times New Roman" w:cs="Times New Roman"/>
              </w:rPr>
              <w:t xml:space="preserve"> ar iestādi saistīto personu definīcija ietver arī akcionārus.</w:t>
            </w:r>
          </w:p>
        </w:tc>
        <w:tc>
          <w:tcPr>
            <w:tcW w:w="2257" w:type="dxa"/>
          </w:tcPr>
          <w:p w14:paraId="61EC588B" w14:textId="4921E008" w:rsidR="00FC1016" w:rsidRPr="005A22ED" w:rsidRDefault="00FC1016" w:rsidP="008129D3">
            <w:pPr>
              <w:rPr>
                <w:rFonts w:ascii="Times New Roman" w:eastAsia="Calibri" w:hAnsi="Times New Roman" w:cs="Times New Roman"/>
              </w:rPr>
            </w:pPr>
            <w:r w:rsidRPr="005A22ED">
              <w:rPr>
                <w:rFonts w:ascii="Times New Roman" w:eastAsia="Calibri" w:hAnsi="Times New Roman" w:cs="Times New Roman"/>
              </w:rPr>
              <w:lastRenderedPageBreak/>
              <w:t>Jā</w:t>
            </w:r>
          </w:p>
        </w:tc>
        <w:tc>
          <w:tcPr>
            <w:tcW w:w="2351" w:type="dxa"/>
            <w:vMerge w:val="restart"/>
          </w:tcPr>
          <w:p w14:paraId="430DC774" w14:textId="1DA4BA4F" w:rsidR="00FC1016" w:rsidRPr="005A22ED" w:rsidRDefault="00FC1016" w:rsidP="008129D3">
            <w:pPr>
              <w:rPr>
                <w:rFonts w:ascii="Times New Roman" w:eastAsia="Calibri" w:hAnsi="Times New Roman" w:cs="Times New Roman"/>
              </w:rPr>
            </w:pPr>
            <w:r w:rsidRPr="005A22ED">
              <w:rPr>
                <w:rFonts w:ascii="Times New Roman" w:eastAsia="Calibri" w:hAnsi="Times New Roman" w:cs="Times New Roman"/>
              </w:rPr>
              <w:t>Direktīvas</w:t>
            </w:r>
            <w:r w:rsidR="00754106">
              <w:rPr>
                <w:rFonts w:ascii="Times New Roman" w:eastAsia="Calibri" w:hAnsi="Times New Roman" w:cs="Times New Roman"/>
              </w:rPr>
              <w:t> </w:t>
            </w:r>
            <w:r w:rsidRPr="005A22ED">
              <w:rPr>
                <w:rFonts w:ascii="Times New Roman" w:eastAsia="Calibri" w:hAnsi="Times New Roman" w:cs="Times New Roman"/>
                <w:bCs/>
              </w:rPr>
              <w:t>2013/36/ES</w:t>
            </w:r>
            <w:r w:rsidRPr="005A22ED">
              <w:rPr>
                <w:rFonts w:ascii="Times New Roman" w:eastAsia="Calibri" w:hAnsi="Times New Roman" w:cs="Times New Roman"/>
              </w:rPr>
              <w:t xml:space="preserve"> 162. panta 1. punkta trešā daļa paredz, ka dalībvalstis paziņo Eiropas Komisijai un Eiropas Banku iestādei par šīs direktīvas prasību pārņemšanu. </w:t>
            </w:r>
          </w:p>
          <w:p w14:paraId="6B7831B8" w14:textId="0A01C660" w:rsidR="00FC1016" w:rsidRDefault="00FC1016" w:rsidP="008129D3">
            <w:pPr>
              <w:rPr>
                <w:rFonts w:ascii="Times New Roman" w:eastAsia="Calibri" w:hAnsi="Times New Roman" w:cs="Times New Roman"/>
              </w:rPr>
            </w:pPr>
            <w:r w:rsidRPr="005A22ED">
              <w:rPr>
                <w:rFonts w:ascii="Times New Roman" w:eastAsia="Calibri" w:hAnsi="Times New Roman" w:cs="Times New Roman"/>
              </w:rPr>
              <w:lastRenderedPageBreak/>
              <w:t xml:space="preserve">Pēc Noteikumu projekta apstiprināšanas Latvijas Bankas padomē minēto paziņošanas pienākumu attiecībā uz Eiropas Komisiju izpildīs Finanšu ministrija, savukārt Eiropas Banku iestādei </w:t>
            </w:r>
            <w:r w:rsidR="00754106">
              <w:rPr>
                <w:rFonts w:ascii="Times New Roman" w:eastAsia="Calibri" w:hAnsi="Times New Roman" w:cs="Times New Roman"/>
              </w:rPr>
              <w:t>paziņos</w:t>
            </w:r>
            <w:r w:rsidRPr="005A22ED">
              <w:rPr>
                <w:rFonts w:ascii="Times New Roman" w:eastAsia="Calibri" w:hAnsi="Times New Roman" w:cs="Times New Roman"/>
              </w:rPr>
              <w:t xml:space="preserve"> Latvijas Banka.</w:t>
            </w:r>
          </w:p>
          <w:p w14:paraId="23168EC4" w14:textId="685FE858" w:rsidR="00FC1016" w:rsidRPr="005A22ED" w:rsidRDefault="00FC1016" w:rsidP="008129D3">
            <w:pPr>
              <w:rPr>
                <w:rFonts w:ascii="Times New Roman" w:eastAsia="Calibri" w:hAnsi="Times New Roman" w:cs="Times New Roman"/>
                <w:color w:val="FF0000"/>
              </w:rPr>
            </w:pPr>
          </w:p>
        </w:tc>
      </w:tr>
      <w:tr w:rsidR="00FC1016" w:rsidRPr="005A22ED" w14:paraId="5493E5E6" w14:textId="77777777" w:rsidTr="00643668">
        <w:tc>
          <w:tcPr>
            <w:tcW w:w="3203" w:type="dxa"/>
          </w:tcPr>
          <w:p w14:paraId="74A559B4" w14:textId="5936C1DA" w:rsidR="00FC1016" w:rsidRDefault="00FC1016" w:rsidP="008129D3">
            <w:pPr>
              <w:rPr>
                <w:rFonts w:ascii="Times New Roman" w:eastAsia="Calibri" w:hAnsi="Times New Roman" w:cs="Times New Roman"/>
              </w:rPr>
            </w:pPr>
            <w:r w:rsidRPr="005A22ED">
              <w:rPr>
                <w:rFonts w:ascii="Times New Roman" w:eastAsia="Calibri" w:hAnsi="Times New Roman" w:cs="Times New Roman"/>
                <w:bCs/>
              </w:rPr>
              <w:lastRenderedPageBreak/>
              <w:t>Direktīvas</w:t>
            </w:r>
            <w:r w:rsidR="00754106">
              <w:rPr>
                <w:rFonts w:ascii="Times New Roman" w:eastAsia="Calibri" w:hAnsi="Times New Roman" w:cs="Times New Roman"/>
                <w:bCs/>
              </w:rPr>
              <w:t> </w:t>
            </w:r>
            <w:r w:rsidRPr="005A22ED">
              <w:rPr>
                <w:rFonts w:ascii="Times New Roman" w:eastAsia="Calibri" w:hAnsi="Times New Roman" w:cs="Times New Roman"/>
                <w:bCs/>
              </w:rPr>
              <w:t>2013/36/ES</w:t>
            </w:r>
            <w:r w:rsidRPr="005A22ED">
              <w:rPr>
                <w:rFonts w:ascii="Times New Roman" w:eastAsia="Calibri" w:hAnsi="Times New Roman" w:cs="Times New Roman"/>
              </w:rPr>
              <w:t xml:space="preserve"> </w:t>
            </w:r>
            <w:r>
              <w:rPr>
                <w:rFonts w:ascii="Times New Roman" w:eastAsia="Calibri" w:hAnsi="Times New Roman" w:cs="Times New Roman"/>
              </w:rPr>
              <w:t>88</w:t>
            </w:r>
            <w:r w:rsidRPr="005A22ED">
              <w:rPr>
                <w:rFonts w:ascii="Times New Roman" w:eastAsia="Calibri" w:hAnsi="Times New Roman" w:cs="Times New Roman"/>
              </w:rPr>
              <w:t>. panta 2. punkt</w:t>
            </w:r>
            <w:r>
              <w:rPr>
                <w:rFonts w:ascii="Times New Roman" w:eastAsia="Calibri" w:hAnsi="Times New Roman" w:cs="Times New Roman"/>
              </w:rPr>
              <w:t>s</w:t>
            </w:r>
            <w:r w:rsidRPr="005A22ED">
              <w:rPr>
                <w:rFonts w:ascii="Times New Roman" w:eastAsia="Calibri" w:hAnsi="Times New Roman" w:cs="Times New Roman"/>
              </w:rPr>
              <w:t xml:space="preserve"> </w:t>
            </w:r>
          </w:p>
          <w:p w14:paraId="0D5D82A6" w14:textId="77777777" w:rsidR="00FC1016" w:rsidRPr="005A22ED" w:rsidRDefault="00FC1016" w:rsidP="008129D3">
            <w:pPr>
              <w:rPr>
                <w:rFonts w:ascii="Times New Roman" w:eastAsia="Calibri" w:hAnsi="Times New Roman" w:cs="Times New Roman"/>
                <w:bCs/>
              </w:rPr>
            </w:pPr>
          </w:p>
        </w:tc>
        <w:tc>
          <w:tcPr>
            <w:tcW w:w="2307" w:type="dxa"/>
          </w:tcPr>
          <w:p w14:paraId="5769CC81" w14:textId="5D3D96FA" w:rsidR="00FC1016" w:rsidRPr="005A22ED" w:rsidRDefault="00FC1016" w:rsidP="008129D3">
            <w:pPr>
              <w:rPr>
                <w:rFonts w:ascii="Times New Roman" w:eastAsia="Calibri" w:hAnsi="Times New Roman" w:cs="Times New Roman"/>
              </w:rPr>
            </w:pPr>
            <w:r w:rsidRPr="005A22ED">
              <w:rPr>
                <w:rFonts w:ascii="Times New Roman" w:eastAsia="Calibri" w:hAnsi="Times New Roman" w:cs="Times New Roman"/>
              </w:rPr>
              <w:t xml:space="preserve">Noteikumu projekta </w:t>
            </w:r>
            <w:r w:rsidR="00317E89">
              <w:rPr>
                <w:rFonts w:ascii="Times New Roman" w:eastAsia="Calibri" w:hAnsi="Times New Roman" w:cs="Times New Roman"/>
              </w:rPr>
              <w:t xml:space="preserve">83., 84., 85., 94., </w:t>
            </w:r>
            <w:r>
              <w:rPr>
                <w:rFonts w:ascii="Times New Roman" w:eastAsia="Calibri" w:hAnsi="Times New Roman" w:cs="Times New Roman"/>
              </w:rPr>
              <w:t>95</w:t>
            </w:r>
            <w:r w:rsidRPr="005A22ED">
              <w:rPr>
                <w:rFonts w:ascii="Times New Roman" w:eastAsia="Calibri" w:hAnsi="Times New Roman" w:cs="Times New Roman"/>
              </w:rPr>
              <w:t>.</w:t>
            </w:r>
            <w:r w:rsidR="00317E89">
              <w:rPr>
                <w:rFonts w:ascii="Times New Roman" w:eastAsia="Calibri" w:hAnsi="Times New Roman" w:cs="Times New Roman"/>
              </w:rPr>
              <w:t xml:space="preserve"> un </w:t>
            </w:r>
            <w:r>
              <w:rPr>
                <w:rFonts w:ascii="Times New Roman" w:eastAsia="Calibri" w:hAnsi="Times New Roman" w:cs="Times New Roman"/>
              </w:rPr>
              <w:t>96.</w:t>
            </w:r>
            <w:r w:rsidR="00754106">
              <w:rPr>
                <w:rFonts w:ascii="Times New Roman" w:eastAsia="Calibri" w:hAnsi="Times New Roman" w:cs="Times New Roman"/>
              </w:rPr>
              <w:t> </w:t>
            </w:r>
            <w:r w:rsidRPr="005A22ED">
              <w:rPr>
                <w:rFonts w:ascii="Times New Roman" w:eastAsia="Calibri" w:hAnsi="Times New Roman" w:cs="Times New Roman"/>
              </w:rPr>
              <w:t>punkt</w:t>
            </w:r>
            <w:r>
              <w:rPr>
                <w:rFonts w:ascii="Times New Roman" w:eastAsia="Calibri" w:hAnsi="Times New Roman" w:cs="Times New Roman"/>
              </w:rPr>
              <w:t>s</w:t>
            </w:r>
          </w:p>
        </w:tc>
        <w:tc>
          <w:tcPr>
            <w:tcW w:w="2304" w:type="dxa"/>
          </w:tcPr>
          <w:p w14:paraId="10D76588" w14:textId="77CAC784" w:rsidR="00FC1016" w:rsidRPr="005A22ED" w:rsidRDefault="00FC1016" w:rsidP="008129D3">
            <w:pPr>
              <w:rPr>
                <w:rFonts w:ascii="Times New Roman" w:eastAsia="Calibri" w:hAnsi="Times New Roman" w:cs="Times New Roman"/>
              </w:rPr>
            </w:pPr>
            <w:r w:rsidRPr="005A22ED">
              <w:rPr>
                <w:rFonts w:ascii="Times New Roman" w:eastAsia="Calibri" w:hAnsi="Times New Roman" w:cs="Times New Roman"/>
              </w:rPr>
              <w:t>Izpilda pilnībā</w:t>
            </w:r>
          </w:p>
        </w:tc>
        <w:tc>
          <w:tcPr>
            <w:tcW w:w="2349" w:type="dxa"/>
          </w:tcPr>
          <w:p w14:paraId="325EBEC4" w14:textId="53E49F21" w:rsidR="00FC1016" w:rsidRPr="005A22ED" w:rsidRDefault="00FC1016" w:rsidP="008129D3">
            <w:pPr>
              <w:rPr>
                <w:rFonts w:ascii="Times New Roman" w:eastAsia="Calibri" w:hAnsi="Times New Roman" w:cs="Times New Roman"/>
              </w:rPr>
            </w:pPr>
            <w:r>
              <w:rPr>
                <w:rFonts w:ascii="Times New Roman" w:eastAsia="Calibri" w:hAnsi="Times New Roman" w:cs="Times New Roman"/>
              </w:rPr>
              <w:t>Nē</w:t>
            </w:r>
          </w:p>
        </w:tc>
        <w:tc>
          <w:tcPr>
            <w:tcW w:w="2257" w:type="dxa"/>
          </w:tcPr>
          <w:p w14:paraId="77C92D0E" w14:textId="0F066048" w:rsidR="00FC1016" w:rsidRPr="005A22ED" w:rsidRDefault="00FC1016" w:rsidP="008129D3">
            <w:pPr>
              <w:rPr>
                <w:rFonts w:ascii="Times New Roman" w:eastAsia="Calibri" w:hAnsi="Times New Roman" w:cs="Times New Roman"/>
              </w:rPr>
            </w:pPr>
            <w:r w:rsidRPr="005A22ED">
              <w:rPr>
                <w:rFonts w:ascii="Times New Roman" w:eastAsia="Calibri" w:hAnsi="Times New Roman" w:cs="Times New Roman"/>
              </w:rPr>
              <w:t>Jā</w:t>
            </w:r>
          </w:p>
        </w:tc>
        <w:tc>
          <w:tcPr>
            <w:tcW w:w="2351" w:type="dxa"/>
            <w:vMerge/>
          </w:tcPr>
          <w:p w14:paraId="7BD279B4" w14:textId="77777777" w:rsidR="00FC1016" w:rsidRPr="005A22ED" w:rsidRDefault="00FC1016" w:rsidP="008129D3">
            <w:pPr>
              <w:rPr>
                <w:rFonts w:ascii="Times New Roman" w:eastAsia="Calibri" w:hAnsi="Times New Roman" w:cs="Times New Roman"/>
              </w:rPr>
            </w:pPr>
          </w:p>
        </w:tc>
      </w:tr>
      <w:tr w:rsidR="00FC1016" w:rsidRPr="005A22ED" w14:paraId="39953A00" w14:textId="77777777" w:rsidTr="00643668">
        <w:tc>
          <w:tcPr>
            <w:tcW w:w="3203" w:type="dxa"/>
          </w:tcPr>
          <w:p w14:paraId="6221D948" w14:textId="37A158F9" w:rsidR="00FC1016" w:rsidRPr="005A22ED" w:rsidRDefault="00FC1016" w:rsidP="008129D3">
            <w:pPr>
              <w:rPr>
                <w:rFonts w:ascii="Times New Roman" w:eastAsia="Calibri" w:hAnsi="Times New Roman" w:cs="Times New Roman"/>
              </w:rPr>
            </w:pPr>
            <w:r w:rsidRPr="005A22ED">
              <w:rPr>
                <w:rFonts w:ascii="Times New Roman" w:eastAsia="Calibri" w:hAnsi="Times New Roman" w:cs="Times New Roman"/>
                <w:bCs/>
              </w:rPr>
              <w:t>Direktīvas</w:t>
            </w:r>
            <w:r w:rsidR="00754106">
              <w:rPr>
                <w:rFonts w:ascii="Times New Roman" w:eastAsia="Calibri" w:hAnsi="Times New Roman" w:cs="Times New Roman"/>
                <w:bCs/>
              </w:rPr>
              <w:t> </w:t>
            </w:r>
            <w:r w:rsidRPr="005A22ED">
              <w:rPr>
                <w:rFonts w:ascii="Times New Roman" w:eastAsia="Calibri" w:hAnsi="Times New Roman" w:cs="Times New Roman"/>
                <w:bCs/>
              </w:rPr>
              <w:t>2013/36/ES</w:t>
            </w:r>
            <w:r w:rsidRPr="005A22ED">
              <w:rPr>
                <w:rFonts w:ascii="Times New Roman" w:eastAsia="Calibri" w:hAnsi="Times New Roman" w:cs="Times New Roman"/>
              </w:rPr>
              <w:t xml:space="preserve"> </w:t>
            </w:r>
            <w:r>
              <w:rPr>
                <w:rFonts w:ascii="Times New Roman" w:eastAsia="Calibri" w:hAnsi="Times New Roman" w:cs="Times New Roman"/>
              </w:rPr>
              <w:t>76</w:t>
            </w:r>
            <w:r w:rsidRPr="005A22ED">
              <w:rPr>
                <w:rFonts w:ascii="Times New Roman" w:eastAsia="Calibri" w:hAnsi="Times New Roman" w:cs="Times New Roman"/>
              </w:rPr>
              <w:t xml:space="preserve">. panta </w:t>
            </w:r>
            <w:r>
              <w:rPr>
                <w:rFonts w:ascii="Times New Roman" w:eastAsia="Calibri" w:hAnsi="Times New Roman" w:cs="Times New Roman"/>
              </w:rPr>
              <w:t>3</w:t>
            </w:r>
            <w:r w:rsidRPr="005A22ED">
              <w:rPr>
                <w:rFonts w:ascii="Times New Roman" w:eastAsia="Calibri" w:hAnsi="Times New Roman" w:cs="Times New Roman"/>
              </w:rPr>
              <w:t>. punkt</w:t>
            </w:r>
            <w:r>
              <w:rPr>
                <w:rFonts w:ascii="Times New Roman" w:eastAsia="Calibri" w:hAnsi="Times New Roman" w:cs="Times New Roman"/>
              </w:rPr>
              <w:t>s</w:t>
            </w:r>
          </w:p>
        </w:tc>
        <w:tc>
          <w:tcPr>
            <w:tcW w:w="2307" w:type="dxa"/>
          </w:tcPr>
          <w:p w14:paraId="47997DDE" w14:textId="09D8B97F" w:rsidR="00FC1016" w:rsidRPr="005A22ED" w:rsidRDefault="00FC1016" w:rsidP="008129D3">
            <w:pPr>
              <w:rPr>
                <w:rFonts w:ascii="Times New Roman" w:eastAsia="Calibri" w:hAnsi="Times New Roman" w:cs="Times New Roman"/>
              </w:rPr>
            </w:pPr>
            <w:r w:rsidRPr="005A22ED">
              <w:rPr>
                <w:rFonts w:ascii="Times New Roman" w:eastAsia="Calibri" w:hAnsi="Times New Roman" w:cs="Times New Roman"/>
              </w:rPr>
              <w:t xml:space="preserve">Noteikumu projekta </w:t>
            </w:r>
            <w:r>
              <w:rPr>
                <w:rFonts w:ascii="Times New Roman" w:eastAsia="Calibri" w:hAnsi="Times New Roman" w:cs="Times New Roman"/>
              </w:rPr>
              <w:t>83.</w:t>
            </w:r>
            <w:r w:rsidR="00154FBB">
              <w:rPr>
                <w:rFonts w:ascii="Times New Roman" w:eastAsia="Calibri" w:hAnsi="Times New Roman" w:cs="Times New Roman"/>
              </w:rPr>
              <w:t xml:space="preserve"> un</w:t>
            </w:r>
            <w:r>
              <w:rPr>
                <w:rFonts w:ascii="Times New Roman" w:eastAsia="Calibri" w:hAnsi="Times New Roman" w:cs="Times New Roman"/>
              </w:rPr>
              <w:t xml:space="preserve"> 85. punkts un </w:t>
            </w:r>
            <w:r w:rsidRPr="005A22ED">
              <w:rPr>
                <w:rFonts w:ascii="Times New Roman" w:eastAsia="Calibri" w:hAnsi="Times New Roman" w:cs="Times New Roman"/>
              </w:rPr>
              <w:t>7.</w:t>
            </w:r>
            <w:r>
              <w:rPr>
                <w:rFonts w:ascii="Times New Roman" w:eastAsia="Calibri" w:hAnsi="Times New Roman" w:cs="Times New Roman"/>
              </w:rPr>
              <w:t>1</w:t>
            </w:r>
            <w:r w:rsidRPr="005A22ED">
              <w:rPr>
                <w:rFonts w:ascii="Times New Roman" w:eastAsia="Calibri" w:hAnsi="Times New Roman" w:cs="Times New Roman"/>
              </w:rPr>
              <w:t>. apakš</w:t>
            </w:r>
            <w:r>
              <w:rPr>
                <w:rFonts w:ascii="Times New Roman" w:eastAsia="Calibri" w:hAnsi="Times New Roman" w:cs="Times New Roman"/>
              </w:rPr>
              <w:t>nodaļa</w:t>
            </w:r>
          </w:p>
        </w:tc>
        <w:tc>
          <w:tcPr>
            <w:tcW w:w="2304" w:type="dxa"/>
          </w:tcPr>
          <w:p w14:paraId="667E77E6" w14:textId="12FC23A5" w:rsidR="00FC1016" w:rsidRPr="005A22ED" w:rsidRDefault="00FC1016" w:rsidP="008129D3">
            <w:pPr>
              <w:rPr>
                <w:rFonts w:ascii="Times New Roman" w:eastAsia="Calibri" w:hAnsi="Times New Roman" w:cs="Times New Roman"/>
              </w:rPr>
            </w:pPr>
            <w:r w:rsidRPr="005A22ED">
              <w:rPr>
                <w:rFonts w:ascii="Times New Roman" w:eastAsia="Calibri" w:hAnsi="Times New Roman" w:cs="Times New Roman"/>
              </w:rPr>
              <w:t>Izpilda pilnībā</w:t>
            </w:r>
          </w:p>
        </w:tc>
        <w:tc>
          <w:tcPr>
            <w:tcW w:w="2349" w:type="dxa"/>
          </w:tcPr>
          <w:p w14:paraId="1CCAB2FC" w14:textId="6DF019DA" w:rsidR="00FC1016" w:rsidRPr="005A22ED" w:rsidRDefault="00FC1016" w:rsidP="008129D3">
            <w:pPr>
              <w:rPr>
                <w:rFonts w:ascii="Times New Roman" w:eastAsia="Calibri" w:hAnsi="Times New Roman" w:cs="Times New Roman"/>
              </w:rPr>
            </w:pPr>
            <w:r w:rsidRPr="005A22ED">
              <w:rPr>
                <w:rFonts w:ascii="Times New Roman" w:eastAsia="Calibri" w:hAnsi="Times New Roman" w:cs="Times New Roman"/>
              </w:rPr>
              <w:t>Nē</w:t>
            </w:r>
          </w:p>
        </w:tc>
        <w:tc>
          <w:tcPr>
            <w:tcW w:w="2257" w:type="dxa"/>
          </w:tcPr>
          <w:p w14:paraId="27412DC3" w14:textId="2F1CA0C7" w:rsidR="00FC1016" w:rsidRPr="005A22ED" w:rsidRDefault="00FC1016" w:rsidP="008129D3">
            <w:pPr>
              <w:rPr>
                <w:rFonts w:ascii="Times New Roman" w:eastAsia="Calibri" w:hAnsi="Times New Roman" w:cs="Times New Roman"/>
              </w:rPr>
            </w:pPr>
            <w:r w:rsidRPr="005A22ED">
              <w:rPr>
                <w:rFonts w:ascii="Times New Roman" w:eastAsia="Calibri" w:hAnsi="Times New Roman" w:cs="Times New Roman"/>
              </w:rPr>
              <w:t>Jā</w:t>
            </w:r>
          </w:p>
        </w:tc>
        <w:tc>
          <w:tcPr>
            <w:tcW w:w="2351" w:type="dxa"/>
            <w:vMerge/>
          </w:tcPr>
          <w:p w14:paraId="0A855EDF" w14:textId="77777777" w:rsidR="00FC1016" w:rsidRPr="005A22ED" w:rsidRDefault="00FC1016" w:rsidP="008129D3">
            <w:pPr>
              <w:rPr>
                <w:rFonts w:ascii="Times New Roman" w:eastAsia="Calibri" w:hAnsi="Times New Roman" w:cs="Times New Roman"/>
                <w:color w:val="FF0000"/>
              </w:rPr>
            </w:pPr>
          </w:p>
        </w:tc>
      </w:tr>
      <w:tr w:rsidR="00FC1016" w:rsidRPr="005A22ED" w14:paraId="5A3ECD80" w14:textId="77777777" w:rsidTr="00643668">
        <w:tc>
          <w:tcPr>
            <w:tcW w:w="3203" w:type="dxa"/>
          </w:tcPr>
          <w:p w14:paraId="2CDED330" w14:textId="2E52E900" w:rsidR="00FC1016" w:rsidRPr="005A22ED" w:rsidRDefault="00FC1016" w:rsidP="008129D3">
            <w:pPr>
              <w:rPr>
                <w:rFonts w:ascii="Times New Roman" w:eastAsia="Calibri" w:hAnsi="Times New Roman" w:cs="Times New Roman"/>
              </w:rPr>
            </w:pPr>
            <w:bookmarkStart w:id="8" w:name="_Hlk167978667"/>
            <w:r w:rsidRPr="00C93407">
              <w:rPr>
                <w:rFonts w:ascii="Times New Roman" w:eastAsia="Calibri" w:hAnsi="Times New Roman" w:cs="Times New Roman"/>
              </w:rPr>
              <w:t>Direktīvas</w:t>
            </w:r>
            <w:r w:rsidR="00754106">
              <w:rPr>
                <w:rFonts w:ascii="Times New Roman" w:eastAsia="Calibri" w:hAnsi="Times New Roman" w:cs="Times New Roman"/>
              </w:rPr>
              <w:t> </w:t>
            </w:r>
            <w:r w:rsidRPr="00C93407">
              <w:rPr>
                <w:rFonts w:ascii="Times New Roman" w:eastAsia="Calibri" w:hAnsi="Times New Roman" w:cs="Times New Roman"/>
              </w:rPr>
              <w:t>2013/36/ES 76.</w:t>
            </w:r>
            <w:r w:rsidR="00754106">
              <w:rPr>
                <w:rFonts w:ascii="Times New Roman" w:eastAsia="Calibri" w:hAnsi="Times New Roman" w:cs="Times New Roman"/>
              </w:rPr>
              <w:t> </w:t>
            </w:r>
            <w:r w:rsidRPr="00C93407">
              <w:rPr>
                <w:rFonts w:ascii="Times New Roman" w:eastAsia="Calibri" w:hAnsi="Times New Roman" w:cs="Times New Roman"/>
              </w:rPr>
              <w:t xml:space="preserve">panta </w:t>
            </w:r>
            <w:r>
              <w:rPr>
                <w:rFonts w:ascii="Times New Roman" w:eastAsia="Calibri" w:hAnsi="Times New Roman" w:cs="Times New Roman"/>
              </w:rPr>
              <w:t>4</w:t>
            </w:r>
            <w:r w:rsidRPr="00C93407">
              <w:rPr>
                <w:rFonts w:ascii="Times New Roman" w:eastAsia="Calibri" w:hAnsi="Times New Roman" w:cs="Times New Roman"/>
              </w:rPr>
              <w:t>.</w:t>
            </w:r>
            <w:r w:rsidR="00754106">
              <w:rPr>
                <w:rFonts w:ascii="Times New Roman" w:eastAsia="Calibri" w:hAnsi="Times New Roman" w:cs="Times New Roman"/>
              </w:rPr>
              <w:t> </w:t>
            </w:r>
            <w:r w:rsidRPr="00C93407">
              <w:rPr>
                <w:rFonts w:ascii="Times New Roman" w:eastAsia="Calibri" w:hAnsi="Times New Roman" w:cs="Times New Roman"/>
              </w:rPr>
              <w:t>punkts</w:t>
            </w:r>
          </w:p>
        </w:tc>
        <w:tc>
          <w:tcPr>
            <w:tcW w:w="2307" w:type="dxa"/>
          </w:tcPr>
          <w:p w14:paraId="7B58B352" w14:textId="4F90CC68" w:rsidR="00FC1016" w:rsidRPr="005A22ED" w:rsidRDefault="00FC1016" w:rsidP="008129D3">
            <w:pPr>
              <w:rPr>
                <w:rFonts w:ascii="Times New Roman" w:eastAsia="Calibri" w:hAnsi="Times New Roman" w:cs="Times New Roman"/>
              </w:rPr>
            </w:pPr>
            <w:r w:rsidRPr="00AA28D9">
              <w:rPr>
                <w:rFonts w:ascii="Times New Roman" w:eastAsia="Calibri" w:hAnsi="Times New Roman" w:cs="Times New Roman"/>
              </w:rPr>
              <w:t xml:space="preserve">Noteikumu projekta </w:t>
            </w:r>
            <w:r>
              <w:rPr>
                <w:rFonts w:ascii="Times New Roman" w:eastAsia="Calibri" w:hAnsi="Times New Roman" w:cs="Times New Roman"/>
              </w:rPr>
              <w:t>90</w:t>
            </w:r>
            <w:r w:rsidRPr="00AA28D9">
              <w:rPr>
                <w:rFonts w:ascii="Times New Roman" w:eastAsia="Calibri" w:hAnsi="Times New Roman" w:cs="Times New Roman"/>
              </w:rPr>
              <w:t>.</w:t>
            </w:r>
            <w:r w:rsidR="00754106">
              <w:rPr>
                <w:rFonts w:ascii="Times New Roman" w:eastAsia="Calibri" w:hAnsi="Times New Roman" w:cs="Times New Roman"/>
              </w:rPr>
              <w:t xml:space="preserve">, </w:t>
            </w:r>
            <w:r>
              <w:rPr>
                <w:rFonts w:ascii="Times New Roman" w:eastAsia="Calibri" w:hAnsi="Times New Roman" w:cs="Times New Roman"/>
              </w:rPr>
              <w:t>91</w:t>
            </w:r>
            <w:r w:rsidRPr="00AA28D9">
              <w:rPr>
                <w:rFonts w:ascii="Times New Roman" w:eastAsia="Calibri" w:hAnsi="Times New Roman" w:cs="Times New Roman"/>
              </w:rPr>
              <w:t>.</w:t>
            </w:r>
            <w:r w:rsidR="00754106">
              <w:rPr>
                <w:rFonts w:ascii="Times New Roman" w:eastAsia="Calibri" w:hAnsi="Times New Roman" w:cs="Times New Roman"/>
              </w:rPr>
              <w:t xml:space="preserve"> un </w:t>
            </w:r>
            <w:r>
              <w:rPr>
                <w:rFonts w:ascii="Times New Roman" w:eastAsia="Calibri" w:hAnsi="Times New Roman" w:cs="Times New Roman"/>
              </w:rPr>
              <w:t>93.</w:t>
            </w:r>
            <w:r w:rsidR="00754106">
              <w:rPr>
                <w:rFonts w:ascii="Times New Roman" w:eastAsia="Calibri" w:hAnsi="Times New Roman" w:cs="Times New Roman"/>
              </w:rPr>
              <w:t> </w:t>
            </w:r>
            <w:r w:rsidRPr="00AA28D9">
              <w:rPr>
                <w:rFonts w:ascii="Times New Roman" w:eastAsia="Calibri" w:hAnsi="Times New Roman" w:cs="Times New Roman"/>
              </w:rPr>
              <w:t>punkts</w:t>
            </w:r>
          </w:p>
        </w:tc>
        <w:tc>
          <w:tcPr>
            <w:tcW w:w="2304" w:type="dxa"/>
          </w:tcPr>
          <w:p w14:paraId="14E45DA8" w14:textId="2A184742" w:rsidR="00FC1016" w:rsidRPr="005A22ED" w:rsidRDefault="00FC1016" w:rsidP="008129D3">
            <w:pPr>
              <w:rPr>
                <w:rFonts w:ascii="Times New Roman" w:eastAsia="Calibri" w:hAnsi="Times New Roman" w:cs="Times New Roman"/>
              </w:rPr>
            </w:pPr>
            <w:r w:rsidRPr="00C93407">
              <w:rPr>
                <w:rFonts w:ascii="Times New Roman" w:eastAsia="Calibri" w:hAnsi="Times New Roman" w:cs="Times New Roman"/>
              </w:rPr>
              <w:t>Izpilda pilnībā</w:t>
            </w:r>
          </w:p>
        </w:tc>
        <w:tc>
          <w:tcPr>
            <w:tcW w:w="2349" w:type="dxa"/>
          </w:tcPr>
          <w:p w14:paraId="17E9BC18" w14:textId="00726C6C" w:rsidR="00FC1016" w:rsidRPr="005A22ED" w:rsidRDefault="00FC1016" w:rsidP="008129D3">
            <w:pPr>
              <w:rPr>
                <w:rFonts w:ascii="Times New Roman" w:eastAsia="Calibri" w:hAnsi="Times New Roman" w:cs="Times New Roman"/>
              </w:rPr>
            </w:pPr>
            <w:r w:rsidRPr="00C93407">
              <w:rPr>
                <w:rFonts w:ascii="Times New Roman" w:eastAsia="Calibri" w:hAnsi="Times New Roman" w:cs="Times New Roman"/>
              </w:rPr>
              <w:t>Nē</w:t>
            </w:r>
          </w:p>
        </w:tc>
        <w:tc>
          <w:tcPr>
            <w:tcW w:w="2257" w:type="dxa"/>
          </w:tcPr>
          <w:p w14:paraId="7CE191D2" w14:textId="40B61C9D" w:rsidR="00FC1016" w:rsidRPr="005A22ED" w:rsidRDefault="00FC1016" w:rsidP="008129D3">
            <w:pPr>
              <w:rPr>
                <w:rFonts w:ascii="Times New Roman" w:eastAsia="Calibri" w:hAnsi="Times New Roman" w:cs="Times New Roman"/>
              </w:rPr>
            </w:pPr>
            <w:r w:rsidRPr="00C93407">
              <w:rPr>
                <w:rFonts w:ascii="Times New Roman" w:eastAsia="Calibri" w:hAnsi="Times New Roman" w:cs="Times New Roman"/>
              </w:rPr>
              <w:t>Jā</w:t>
            </w:r>
          </w:p>
        </w:tc>
        <w:tc>
          <w:tcPr>
            <w:tcW w:w="2351" w:type="dxa"/>
            <w:vMerge/>
          </w:tcPr>
          <w:p w14:paraId="74A432D3" w14:textId="77777777" w:rsidR="00FC1016" w:rsidRPr="005A22ED" w:rsidRDefault="00FC1016" w:rsidP="008129D3">
            <w:pPr>
              <w:rPr>
                <w:rFonts w:ascii="Times New Roman" w:eastAsia="Calibri" w:hAnsi="Times New Roman" w:cs="Times New Roman"/>
                <w:color w:val="FF0000"/>
              </w:rPr>
            </w:pPr>
          </w:p>
        </w:tc>
      </w:tr>
      <w:bookmarkEnd w:id="8"/>
      <w:tr w:rsidR="00FC1016" w:rsidRPr="005A22ED" w14:paraId="45191A24" w14:textId="77777777" w:rsidTr="00643668">
        <w:tc>
          <w:tcPr>
            <w:tcW w:w="3203" w:type="dxa"/>
          </w:tcPr>
          <w:p w14:paraId="6865CBF2" w14:textId="27D42368" w:rsidR="00FC1016" w:rsidRPr="00C93407" w:rsidRDefault="00FC1016" w:rsidP="008129D3">
            <w:pPr>
              <w:rPr>
                <w:rFonts w:ascii="Times New Roman" w:eastAsia="Calibri" w:hAnsi="Times New Roman" w:cs="Times New Roman"/>
              </w:rPr>
            </w:pPr>
            <w:r w:rsidRPr="00AA28D9">
              <w:rPr>
                <w:rFonts w:ascii="Times New Roman" w:eastAsia="Calibri" w:hAnsi="Times New Roman" w:cs="Times New Roman"/>
              </w:rPr>
              <w:t>Direktīvas</w:t>
            </w:r>
            <w:r w:rsidR="00754106">
              <w:rPr>
                <w:rFonts w:ascii="Times New Roman" w:eastAsia="Calibri" w:hAnsi="Times New Roman" w:cs="Times New Roman"/>
              </w:rPr>
              <w:t> </w:t>
            </w:r>
            <w:r w:rsidRPr="00AA28D9">
              <w:rPr>
                <w:rFonts w:ascii="Times New Roman" w:eastAsia="Calibri" w:hAnsi="Times New Roman" w:cs="Times New Roman"/>
              </w:rPr>
              <w:t>2013/36/ES 76.</w:t>
            </w:r>
            <w:r w:rsidR="00754106">
              <w:rPr>
                <w:rFonts w:ascii="Times New Roman" w:eastAsia="Calibri" w:hAnsi="Times New Roman" w:cs="Times New Roman"/>
              </w:rPr>
              <w:t> </w:t>
            </w:r>
            <w:r w:rsidRPr="00AA28D9">
              <w:rPr>
                <w:rFonts w:ascii="Times New Roman" w:eastAsia="Calibri" w:hAnsi="Times New Roman" w:cs="Times New Roman"/>
              </w:rPr>
              <w:t xml:space="preserve">panta </w:t>
            </w:r>
            <w:r>
              <w:rPr>
                <w:rFonts w:ascii="Times New Roman" w:eastAsia="Calibri" w:hAnsi="Times New Roman" w:cs="Times New Roman"/>
              </w:rPr>
              <w:t>5</w:t>
            </w:r>
            <w:r w:rsidRPr="00AA28D9">
              <w:rPr>
                <w:rFonts w:ascii="Times New Roman" w:eastAsia="Calibri" w:hAnsi="Times New Roman" w:cs="Times New Roman"/>
              </w:rPr>
              <w:t>.</w:t>
            </w:r>
            <w:r w:rsidR="00754106">
              <w:rPr>
                <w:rFonts w:ascii="Times New Roman" w:eastAsia="Calibri" w:hAnsi="Times New Roman" w:cs="Times New Roman"/>
              </w:rPr>
              <w:t> </w:t>
            </w:r>
            <w:r w:rsidRPr="00AA28D9">
              <w:rPr>
                <w:rFonts w:ascii="Times New Roman" w:eastAsia="Calibri" w:hAnsi="Times New Roman" w:cs="Times New Roman"/>
              </w:rPr>
              <w:t>punkts</w:t>
            </w:r>
          </w:p>
        </w:tc>
        <w:tc>
          <w:tcPr>
            <w:tcW w:w="2307" w:type="dxa"/>
          </w:tcPr>
          <w:p w14:paraId="244DFE06" w14:textId="00FE8B06" w:rsidR="00FC1016" w:rsidRPr="00AA28D9" w:rsidRDefault="00FC1016" w:rsidP="008129D3">
            <w:pPr>
              <w:rPr>
                <w:rFonts w:ascii="Times New Roman" w:eastAsia="Calibri" w:hAnsi="Times New Roman" w:cs="Times New Roman"/>
              </w:rPr>
            </w:pPr>
            <w:r w:rsidRPr="00AA28D9">
              <w:rPr>
                <w:rFonts w:ascii="Times New Roman" w:eastAsia="Calibri" w:hAnsi="Times New Roman" w:cs="Times New Roman"/>
              </w:rPr>
              <w:t xml:space="preserve">Noteikumu projekta </w:t>
            </w:r>
            <w:r>
              <w:rPr>
                <w:rFonts w:ascii="Times New Roman" w:eastAsia="Calibri" w:hAnsi="Times New Roman" w:cs="Times New Roman"/>
              </w:rPr>
              <w:t>5.</w:t>
            </w:r>
            <w:r w:rsidR="00754106">
              <w:rPr>
                <w:rFonts w:ascii="Times New Roman" w:eastAsia="Calibri" w:hAnsi="Times New Roman" w:cs="Times New Roman"/>
              </w:rPr>
              <w:t> </w:t>
            </w:r>
            <w:r>
              <w:rPr>
                <w:rFonts w:ascii="Times New Roman" w:eastAsia="Calibri" w:hAnsi="Times New Roman" w:cs="Times New Roman"/>
              </w:rPr>
              <w:t>nodaļa</w:t>
            </w:r>
          </w:p>
        </w:tc>
        <w:tc>
          <w:tcPr>
            <w:tcW w:w="2304" w:type="dxa"/>
          </w:tcPr>
          <w:p w14:paraId="5F16F05D" w14:textId="572501EE" w:rsidR="00FC1016" w:rsidRPr="00C93407" w:rsidRDefault="00FC1016" w:rsidP="008129D3">
            <w:pPr>
              <w:rPr>
                <w:rFonts w:ascii="Times New Roman" w:eastAsia="Calibri" w:hAnsi="Times New Roman" w:cs="Times New Roman"/>
              </w:rPr>
            </w:pPr>
            <w:r w:rsidRPr="00AA28D9">
              <w:rPr>
                <w:rFonts w:ascii="Times New Roman" w:eastAsia="Calibri" w:hAnsi="Times New Roman" w:cs="Times New Roman"/>
              </w:rPr>
              <w:t>Izpilda pilnībā</w:t>
            </w:r>
          </w:p>
        </w:tc>
        <w:tc>
          <w:tcPr>
            <w:tcW w:w="2349" w:type="dxa"/>
          </w:tcPr>
          <w:p w14:paraId="0E1004DE" w14:textId="41C7E379" w:rsidR="00FC1016" w:rsidRPr="00C93407" w:rsidRDefault="00FC1016" w:rsidP="008129D3">
            <w:pPr>
              <w:rPr>
                <w:rFonts w:ascii="Times New Roman" w:eastAsia="Calibri" w:hAnsi="Times New Roman" w:cs="Times New Roman"/>
              </w:rPr>
            </w:pPr>
            <w:r w:rsidRPr="00AA28D9">
              <w:rPr>
                <w:rFonts w:ascii="Times New Roman" w:eastAsia="Calibri" w:hAnsi="Times New Roman" w:cs="Times New Roman"/>
              </w:rPr>
              <w:t>Nē</w:t>
            </w:r>
          </w:p>
        </w:tc>
        <w:tc>
          <w:tcPr>
            <w:tcW w:w="2257" w:type="dxa"/>
          </w:tcPr>
          <w:p w14:paraId="17976D67" w14:textId="2C6E74E5" w:rsidR="00FC1016" w:rsidRPr="00C93407" w:rsidRDefault="00FC1016" w:rsidP="008129D3">
            <w:pPr>
              <w:rPr>
                <w:rFonts w:ascii="Times New Roman" w:eastAsia="Calibri" w:hAnsi="Times New Roman" w:cs="Times New Roman"/>
              </w:rPr>
            </w:pPr>
            <w:r w:rsidRPr="00AA28D9">
              <w:rPr>
                <w:rFonts w:ascii="Times New Roman" w:eastAsia="Calibri" w:hAnsi="Times New Roman" w:cs="Times New Roman"/>
              </w:rPr>
              <w:t>Jā</w:t>
            </w:r>
          </w:p>
        </w:tc>
        <w:tc>
          <w:tcPr>
            <w:tcW w:w="2351" w:type="dxa"/>
            <w:vMerge/>
          </w:tcPr>
          <w:p w14:paraId="274CB71A" w14:textId="77777777" w:rsidR="00FC1016" w:rsidRPr="005A22ED" w:rsidRDefault="00FC1016" w:rsidP="008129D3">
            <w:pPr>
              <w:rPr>
                <w:rFonts w:ascii="Times New Roman" w:eastAsia="Calibri" w:hAnsi="Times New Roman" w:cs="Times New Roman"/>
                <w:color w:val="FF0000"/>
              </w:rPr>
            </w:pPr>
          </w:p>
        </w:tc>
      </w:tr>
      <w:tr w:rsidR="00FC1016" w:rsidRPr="005A22ED" w14:paraId="2CB2FB68" w14:textId="77777777" w:rsidTr="00643668">
        <w:tc>
          <w:tcPr>
            <w:tcW w:w="3203" w:type="dxa"/>
          </w:tcPr>
          <w:p w14:paraId="7A40FBB2" w14:textId="295461BC" w:rsidR="00FC1016" w:rsidRPr="005A22ED" w:rsidRDefault="00FC1016" w:rsidP="008129D3">
            <w:pPr>
              <w:rPr>
                <w:rFonts w:ascii="Times New Roman" w:eastAsia="Calibri" w:hAnsi="Times New Roman" w:cs="Times New Roman"/>
                <w:bCs/>
              </w:rPr>
            </w:pPr>
            <w:r w:rsidRPr="00020DFD">
              <w:rPr>
                <w:rFonts w:ascii="Times New Roman" w:hAnsi="Times New Roman" w:cs="Times New Roman"/>
                <w:bCs/>
              </w:rPr>
              <w:t>Direktīvas</w:t>
            </w:r>
            <w:r w:rsidR="00754106">
              <w:rPr>
                <w:rFonts w:ascii="Times New Roman" w:hAnsi="Times New Roman" w:cs="Times New Roman"/>
                <w:bCs/>
              </w:rPr>
              <w:t> </w:t>
            </w:r>
            <w:r w:rsidRPr="00020DFD">
              <w:rPr>
                <w:rFonts w:ascii="Times New Roman" w:hAnsi="Times New Roman" w:cs="Times New Roman"/>
                <w:bCs/>
              </w:rPr>
              <w:t>2013/36/ES</w:t>
            </w:r>
            <w:r w:rsidRPr="00020DFD">
              <w:rPr>
                <w:rFonts w:ascii="Times New Roman" w:hAnsi="Times New Roman" w:cs="Times New Roman"/>
              </w:rPr>
              <w:t xml:space="preserve"> </w:t>
            </w:r>
            <w:r w:rsidRPr="00211446">
              <w:rPr>
                <w:rFonts w:ascii="Times New Roman" w:hAnsi="Times New Roman" w:cs="Times New Roman"/>
              </w:rPr>
              <w:t>95.</w:t>
            </w:r>
            <w:r w:rsidRPr="00020DFD">
              <w:rPr>
                <w:rFonts w:ascii="Times New Roman" w:hAnsi="Times New Roman" w:cs="Times New Roman"/>
              </w:rPr>
              <w:t> </w:t>
            </w:r>
            <w:r w:rsidRPr="00211446">
              <w:rPr>
                <w:rFonts w:ascii="Times New Roman" w:hAnsi="Times New Roman" w:cs="Times New Roman"/>
              </w:rPr>
              <w:t>panta 1.</w:t>
            </w:r>
            <w:r w:rsidRPr="00020DFD">
              <w:rPr>
                <w:rFonts w:ascii="Times New Roman" w:hAnsi="Times New Roman" w:cs="Times New Roman"/>
              </w:rPr>
              <w:t> </w:t>
            </w:r>
            <w:r w:rsidRPr="00211446">
              <w:rPr>
                <w:rFonts w:ascii="Times New Roman" w:hAnsi="Times New Roman" w:cs="Times New Roman"/>
              </w:rPr>
              <w:t>punkts</w:t>
            </w:r>
          </w:p>
        </w:tc>
        <w:tc>
          <w:tcPr>
            <w:tcW w:w="2307" w:type="dxa"/>
          </w:tcPr>
          <w:p w14:paraId="2A04CFF4" w14:textId="2354F1DD" w:rsidR="00FC1016" w:rsidRPr="005A22ED" w:rsidRDefault="00FC1016" w:rsidP="008129D3">
            <w:pPr>
              <w:rPr>
                <w:rFonts w:ascii="Times New Roman" w:eastAsia="Calibri" w:hAnsi="Times New Roman" w:cs="Times New Roman"/>
              </w:rPr>
            </w:pPr>
            <w:r w:rsidRPr="00020DFD">
              <w:rPr>
                <w:rFonts w:ascii="Times New Roman" w:hAnsi="Times New Roman" w:cs="Times New Roman"/>
              </w:rPr>
              <w:t>Noteikumu projekt</w:t>
            </w:r>
            <w:r>
              <w:rPr>
                <w:rFonts w:ascii="Times New Roman" w:hAnsi="Times New Roman" w:cs="Times New Roman"/>
              </w:rPr>
              <w:t>a</w:t>
            </w:r>
            <w:r w:rsidRPr="00020DFD">
              <w:rPr>
                <w:rFonts w:ascii="Times New Roman" w:hAnsi="Times New Roman" w:cs="Times New Roman"/>
              </w:rPr>
              <w:t xml:space="preserve"> </w:t>
            </w:r>
            <w:r>
              <w:rPr>
                <w:rFonts w:ascii="Times New Roman" w:hAnsi="Times New Roman" w:cs="Times New Roman"/>
              </w:rPr>
              <w:t>98</w:t>
            </w:r>
            <w:r w:rsidRPr="00020DFD">
              <w:rPr>
                <w:rFonts w:ascii="Times New Roman" w:hAnsi="Times New Roman" w:cs="Times New Roman"/>
              </w:rPr>
              <w:t>. punkts</w:t>
            </w:r>
          </w:p>
        </w:tc>
        <w:tc>
          <w:tcPr>
            <w:tcW w:w="2304" w:type="dxa"/>
          </w:tcPr>
          <w:p w14:paraId="15AA99E3" w14:textId="17FD1F7C" w:rsidR="00FC1016" w:rsidRPr="005A22ED" w:rsidRDefault="00FC1016" w:rsidP="008129D3">
            <w:pPr>
              <w:rPr>
                <w:rFonts w:ascii="Times New Roman" w:eastAsia="Calibri" w:hAnsi="Times New Roman" w:cs="Times New Roman"/>
              </w:rPr>
            </w:pPr>
            <w:r w:rsidRPr="00020DFD">
              <w:rPr>
                <w:rFonts w:ascii="Times New Roman" w:hAnsi="Times New Roman" w:cs="Times New Roman"/>
              </w:rPr>
              <w:t>Izpilda pilnībā</w:t>
            </w:r>
          </w:p>
        </w:tc>
        <w:tc>
          <w:tcPr>
            <w:tcW w:w="2349" w:type="dxa"/>
          </w:tcPr>
          <w:p w14:paraId="4CDE4F90" w14:textId="64AD9EA1" w:rsidR="00FC1016" w:rsidRPr="005A22ED" w:rsidRDefault="00FC1016" w:rsidP="008129D3">
            <w:pPr>
              <w:rPr>
                <w:rFonts w:ascii="Times New Roman" w:eastAsia="Calibri" w:hAnsi="Times New Roman" w:cs="Times New Roman"/>
              </w:rPr>
            </w:pPr>
            <w:r w:rsidRPr="00020DFD">
              <w:rPr>
                <w:rFonts w:ascii="Times New Roman" w:hAnsi="Times New Roman" w:cs="Times New Roman"/>
              </w:rPr>
              <w:t>Nē</w:t>
            </w:r>
          </w:p>
        </w:tc>
        <w:tc>
          <w:tcPr>
            <w:tcW w:w="2257" w:type="dxa"/>
          </w:tcPr>
          <w:p w14:paraId="079F26B3" w14:textId="73AB645F" w:rsidR="00FC1016" w:rsidRPr="005A22ED" w:rsidRDefault="00FC1016" w:rsidP="008129D3">
            <w:pPr>
              <w:rPr>
                <w:rFonts w:ascii="Times New Roman" w:eastAsia="Calibri" w:hAnsi="Times New Roman" w:cs="Times New Roman"/>
              </w:rPr>
            </w:pPr>
            <w:r w:rsidRPr="00020DFD">
              <w:rPr>
                <w:rFonts w:ascii="Times New Roman" w:hAnsi="Times New Roman" w:cs="Times New Roman"/>
              </w:rPr>
              <w:t>Jā</w:t>
            </w:r>
          </w:p>
        </w:tc>
        <w:tc>
          <w:tcPr>
            <w:tcW w:w="2351" w:type="dxa"/>
            <w:vMerge/>
          </w:tcPr>
          <w:p w14:paraId="7F9C5D44" w14:textId="4C6C4F40" w:rsidR="00FC1016" w:rsidRPr="00FC1016" w:rsidRDefault="00FC1016" w:rsidP="008129D3">
            <w:pPr>
              <w:rPr>
                <w:rFonts w:ascii="Times New Roman" w:hAnsi="Times New Roman" w:cs="Times New Roman"/>
              </w:rPr>
            </w:pPr>
          </w:p>
        </w:tc>
      </w:tr>
      <w:tr w:rsidR="00FC1016" w:rsidRPr="00020DFD" w14:paraId="27C9FC36" w14:textId="77777777" w:rsidTr="00FA2CF4">
        <w:tc>
          <w:tcPr>
            <w:tcW w:w="3203" w:type="dxa"/>
          </w:tcPr>
          <w:p w14:paraId="6B001E54" w14:textId="2A8A0C1E" w:rsidR="00FC1016" w:rsidRPr="00211446" w:rsidRDefault="00FC1016" w:rsidP="008129D3">
            <w:pPr>
              <w:rPr>
                <w:rFonts w:ascii="Times New Roman" w:hAnsi="Times New Roman" w:cs="Times New Roman"/>
              </w:rPr>
            </w:pPr>
            <w:r w:rsidRPr="00020DFD">
              <w:rPr>
                <w:rFonts w:ascii="Times New Roman" w:hAnsi="Times New Roman" w:cs="Times New Roman"/>
                <w:bCs/>
              </w:rPr>
              <w:t>Direktīvas</w:t>
            </w:r>
            <w:r w:rsidR="00754106">
              <w:rPr>
                <w:rFonts w:ascii="Times New Roman" w:hAnsi="Times New Roman" w:cs="Times New Roman"/>
                <w:bCs/>
              </w:rPr>
              <w:t> </w:t>
            </w:r>
            <w:r w:rsidRPr="00020DFD">
              <w:rPr>
                <w:rFonts w:ascii="Times New Roman" w:hAnsi="Times New Roman" w:cs="Times New Roman"/>
                <w:bCs/>
              </w:rPr>
              <w:t>2013/36/ES</w:t>
            </w:r>
            <w:r w:rsidRPr="00020DFD">
              <w:rPr>
                <w:rFonts w:ascii="Times New Roman" w:hAnsi="Times New Roman" w:cs="Times New Roman"/>
              </w:rPr>
              <w:t xml:space="preserve"> </w:t>
            </w:r>
            <w:r w:rsidRPr="00211446">
              <w:rPr>
                <w:rFonts w:ascii="Times New Roman" w:hAnsi="Times New Roman" w:cs="Times New Roman"/>
              </w:rPr>
              <w:t>95.</w:t>
            </w:r>
            <w:r w:rsidRPr="00020DFD">
              <w:rPr>
                <w:rFonts w:ascii="Times New Roman" w:hAnsi="Times New Roman" w:cs="Times New Roman"/>
              </w:rPr>
              <w:t> </w:t>
            </w:r>
            <w:r w:rsidRPr="00211446">
              <w:rPr>
                <w:rFonts w:ascii="Times New Roman" w:hAnsi="Times New Roman" w:cs="Times New Roman"/>
              </w:rPr>
              <w:t>panta 2.</w:t>
            </w:r>
            <w:r w:rsidRPr="00020DFD">
              <w:rPr>
                <w:rFonts w:ascii="Times New Roman" w:hAnsi="Times New Roman" w:cs="Times New Roman"/>
              </w:rPr>
              <w:t> </w:t>
            </w:r>
            <w:r w:rsidRPr="00211446">
              <w:rPr>
                <w:rFonts w:ascii="Times New Roman" w:hAnsi="Times New Roman" w:cs="Times New Roman"/>
              </w:rPr>
              <w:t>punkts</w:t>
            </w:r>
          </w:p>
        </w:tc>
        <w:tc>
          <w:tcPr>
            <w:tcW w:w="2307" w:type="dxa"/>
          </w:tcPr>
          <w:p w14:paraId="7E9860B1" w14:textId="76547C7D" w:rsidR="00FC1016" w:rsidRPr="00020DFD" w:rsidRDefault="00FC1016" w:rsidP="008129D3">
            <w:pPr>
              <w:rPr>
                <w:rFonts w:ascii="Times New Roman" w:hAnsi="Times New Roman" w:cs="Times New Roman"/>
              </w:rPr>
            </w:pPr>
            <w:r w:rsidRPr="00020DFD">
              <w:rPr>
                <w:rFonts w:ascii="Times New Roman" w:hAnsi="Times New Roman" w:cs="Times New Roman"/>
              </w:rPr>
              <w:t>Noteikumu projekt</w:t>
            </w:r>
            <w:r>
              <w:rPr>
                <w:rFonts w:ascii="Times New Roman" w:hAnsi="Times New Roman" w:cs="Times New Roman"/>
              </w:rPr>
              <w:t>a</w:t>
            </w:r>
            <w:r w:rsidRPr="00020DFD">
              <w:rPr>
                <w:rFonts w:ascii="Times New Roman" w:hAnsi="Times New Roman" w:cs="Times New Roman"/>
              </w:rPr>
              <w:t xml:space="preserve"> </w:t>
            </w:r>
            <w:r>
              <w:rPr>
                <w:rFonts w:ascii="Times New Roman" w:hAnsi="Times New Roman" w:cs="Times New Roman"/>
              </w:rPr>
              <w:t>100.</w:t>
            </w:r>
            <w:r w:rsidR="00754106">
              <w:rPr>
                <w:rFonts w:ascii="Times New Roman" w:hAnsi="Times New Roman" w:cs="Times New Roman"/>
              </w:rPr>
              <w:t xml:space="preserve"> un</w:t>
            </w:r>
            <w:r>
              <w:rPr>
                <w:rFonts w:ascii="Times New Roman" w:hAnsi="Times New Roman" w:cs="Times New Roman"/>
              </w:rPr>
              <w:t xml:space="preserve"> 101.</w:t>
            </w:r>
            <w:r w:rsidR="00754106">
              <w:rPr>
                <w:rFonts w:ascii="Times New Roman" w:hAnsi="Times New Roman" w:cs="Times New Roman"/>
              </w:rPr>
              <w:t> punkts</w:t>
            </w:r>
            <w:r>
              <w:rPr>
                <w:rFonts w:ascii="Times New Roman" w:hAnsi="Times New Roman" w:cs="Times New Roman"/>
              </w:rPr>
              <w:t xml:space="preserve"> un 83.1.</w:t>
            </w:r>
            <w:r w:rsidR="00754106">
              <w:rPr>
                <w:rFonts w:ascii="Times New Roman" w:hAnsi="Times New Roman" w:cs="Times New Roman"/>
              </w:rPr>
              <w:t> </w:t>
            </w:r>
            <w:r>
              <w:rPr>
                <w:rFonts w:ascii="Times New Roman" w:hAnsi="Times New Roman" w:cs="Times New Roman"/>
              </w:rPr>
              <w:t>apakš</w:t>
            </w:r>
            <w:r w:rsidRPr="00020DFD">
              <w:rPr>
                <w:rFonts w:ascii="Times New Roman" w:hAnsi="Times New Roman" w:cs="Times New Roman"/>
              </w:rPr>
              <w:t>punkts</w:t>
            </w:r>
          </w:p>
        </w:tc>
        <w:tc>
          <w:tcPr>
            <w:tcW w:w="2304" w:type="dxa"/>
          </w:tcPr>
          <w:p w14:paraId="36C260F6" w14:textId="46940822" w:rsidR="00FC1016" w:rsidRPr="00020DFD" w:rsidRDefault="00FC1016" w:rsidP="008129D3">
            <w:pPr>
              <w:rPr>
                <w:rFonts w:ascii="Times New Roman" w:hAnsi="Times New Roman" w:cs="Times New Roman"/>
              </w:rPr>
            </w:pPr>
            <w:r w:rsidRPr="00020DFD">
              <w:rPr>
                <w:rFonts w:ascii="Times New Roman" w:hAnsi="Times New Roman" w:cs="Times New Roman"/>
              </w:rPr>
              <w:t>Izpilda pilnībā</w:t>
            </w:r>
          </w:p>
        </w:tc>
        <w:tc>
          <w:tcPr>
            <w:tcW w:w="2349" w:type="dxa"/>
          </w:tcPr>
          <w:p w14:paraId="5A0E7E2E" w14:textId="3808E668" w:rsidR="00FC1016" w:rsidRPr="00020DFD" w:rsidRDefault="00FC1016" w:rsidP="008129D3">
            <w:pPr>
              <w:rPr>
                <w:rFonts w:ascii="Times New Roman" w:hAnsi="Times New Roman" w:cs="Times New Roman"/>
              </w:rPr>
            </w:pPr>
            <w:r w:rsidRPr="00020DFD">
              <w:rPr>
                <w:rFonts w:ascii="Times New Roman" w:hAnsi="Times New Roman" w:cs="Times New Roman"/>
              </w:rPr>
              <w:t>Nē</w:t>
            </w:r>
          </w:p>
        </w:tc>
        <w:tc>
          <w:tcPr>
            <w:tcW w:w="2257" w:type="dxa"/>
          </w:tcPr>
          <w:p w14:paraId="790B891E" w14:textId="487BE664" w:rsidR="00FC1016" w:rsidRPr="00020DFD" w:rsidRDefault="00FC1016" w:rsidP="008129D3">
            <w:pPr>
              <w:rPr>
                <w:rFonts w:ascii="Times New Roman" w:hAnsi="Times New Roman" w:cs="Times New Roman"/>
              </w:rPr>
            </w:pPr>
            <w:r w:rsidRPr="00020DFD">
              <w:rPr>
                <w:rFonts w:ascii="Times New Roman" w:hAnsi="Times New Roman" w:cs="Times New Roman"/>
              </w:rPr>
              <w:t>Jā</w:t>
            </w:r>
          </w:p>
        </w:tc>
        <w:tc>
          <w:tcPr>
            <w:tcW w:w="2351" w:type="dxa"/>
            <w:vMerge/>
          </w:tcPr>
          <w:p w14:paraId="585DF698" w14:textId="3BAB3156" w:rsidR="00FC1016" w:rsidRPr="00020DFD" w:rsidRDefault="00FC1016" w:rsidP="008129D3">
            <w:pPr>
              <w:rPr>
                <w:rFonts w:ascii="Times New Roman" w:hAnsi="Times New Roman" w:cs="Times New Roman"/>
                <w:color w:val="FF0000"/>
              </w:rPr>
            </w:pPr>
          </w:p>
        </w:tc>
      </w:tr>
    </w:tbl>
    <w:p w14:paraId="3AE230D3" w14:textId="196F6A04" w:rsidR="004D0835" w:rsidRDefault="004D0835" w:rsidP="00152102">
      <w:pPr>
        <w:spacing w:after="0" w:line="240" w:lineRule="auto"/>
        <w:rPr>
          <w:rFonts w:ascii="Times New Roman" w:hAnsi="Times New Roman" w:cs="Times New Roman"/>
          <w:sz w:val="24"/>
          <w:szCs w:val="24"/>
        </w:rPr>
      </w:pPr>
    </w:p>
    <w:p w14:paraId="6242E628" w14:textId="77777777" w:rsidR="004D0835" w:rsidRDefault="004D0835">
      <w:pPr>
        <w:rPr>
          <w:rFonts w:ascii="Times New Roman" w:hAnsi="Times New Roman" w:cs="Times New Roman"/>
          <w:sz w:val="24"/>
          <w:szCs w:val="24"/>
        </w:rPr>
      </w:pPr>
      <w:r>
        <w:rPr>
          <w:rFonts w:ascii="Times New Roman" w:hAnsi="Times New Roman" w:cs="Times New Roman"/>
          <w:sz w:val="24"/>
          <w:szCs w:val="24"/>
        </w:rPr>
        <w:br w:type="page"/>
      </w:r>
    </w:p>
    <w:p w14:paraId="7879240E" w14:textId="77777777" w:rsidR="004D0835" w:rsidRPr="004D0835" w:rsidRDefault="004D0835" w:rsidP="004D0835">
      <w:pPr>
        <w:spacing w:after="0" w:line="240" w:lineRule="auto"/>
        <w:jc w:val="right"/>
        <w:rPr>
          <w:rFonts w:ascii="Times New Roman" w:hAnsi="Times New Roman" w:cs="Times New Roman"/>
          <w:sz w:val="24"/>
          <w:szCs w:val="24"/>
        </w:rPr>
      </w:pPr>
      <w:r w:rsidRPr="004D0835">
        <w:rPr>
          <w:rFonts w:ascii="Times New Roman" w:hAnsi="Times New Roman" w:cs="Times New Roman"/>
          <w:sz w:val="24"/>
          <w:szCs w:val="24"/>
        </w:rPr>
        <w:lastRenderedPageBreak/>
        <w:t>Pielikums</w:t>
      </w:r>
    </w:p>
    <w:p w14:paraId="5A692E09" w14:textId="77777777" w:rsidR="004D0835" w:rsidRPr="004D0835" w:rsidRDefault="004D0835" w:rsidP="004D0835">
      <w:pPr>
        <w:spacing w:after="0" w:line="240" w:lineRule="auto"/>
        <w:jc w:val="right"/>
        <w:rPr>
          <w:rFonts w:ascii="Times New Roman" w:hAnsi="Times New Roman" w:cs="Times New Roman"/>
          <w:sz w:val="24"/>
          <w:szCs w:val="24"/>
        </w:rPr>
      </w:pPr>
      <w:r w:rsidRPr="004D0835">
        <w:rPr>
          <w:rFonts w:ascii="Times New Roman" w:hAnsi="Times New Roman" w:cs="Times New Roman"/>
          <w:sz w:val="24"/>
          <w:szCs w:val="24"/>
        </w:rPr>
        <w:t>Latvijas Bankas noteikumu projekta</w:t>
      </w:r>
    </w:p>
    <w:p w14:paraId="10180057" w14:textId="0AB7BFF9" w:rsidR="004D0835" w:rsidRPr="004D0835" w:rsidRDefault="004D0835" w:rsidP="004D0835">
      <w:pPr>
        <w:spacing w:after="0" w:line="240" w:lineRule="auto"/>
        <w:jc w:val="right"/>
        <w:rPr>
          <w:rFonts w:ascii="Times New Roman" w:hAnsi="Times New Roman" w:cs="Times New Roman"/>
          <w:sz w:val="24"/>
          <w:szCs w:val="24"/>
        </w:rPr>
      </w:pPr>
      <w:r w:rsidRPr="004D0835">
        <w:rPr>
          <w:rFonts w:ascii="Times New Roman" w:hAnsi="Times New Roman" w:cs="Times New Roman"/>
          <w:sz w:val="24"/>
          <w:szCs w:val="24"/>
        </w:rPr>
        <w:t>anotācijai</w:t>
      </w:r>
    </w:p>
    <w:sdt>
      <w:sdtPr>
        <w:rPr>
          <w:rFonts w:ascii="Times New Roman" w:hAnsi="Times New Roman" w:cs="Times New Roman"/>
          <w:b/>
          <w:sz w:val="24"/>
          <w:szCs w:val="24"/>
        </w:rPr>
        <w:id w:val="-1871525274"/>
        <w:placeholder>
          <w:docPart w:val="87F944113B08400AB6090685BCD38B96"/>
        </w:placeholder>
      </w:sdtPr>
      <w:sdtEndPr/>
      <w:sdtContent>
        <w:sdt>
          <w:sdtPr>
            <w:rPr>
              <w:rFonts w:ascii="Times New Roman" w:hAnsi="Times New Roman" w:cs="Times New Roman"/>
              <w:b/>
              <w:sz w:val="24"/>
              <w:szCs w:val="24"/>
            </w:rPr>
            <w:id w:val="293333744"/>
            <w:placeholder>
              <w:docPart w:val="3F578B4115E243AB8B4AC83644DEC575"/>
            </w:placeholder>
          </w:sdtPr>
          <w:sdtEndPr/>
          <w:sdtContent>
            <w:sdt>
              <w:sdtPr>
                <w:rPr>
                  <w:rFonts w:ascii="Times New Roman" w:hAnsi="Times New Roman" w:cs="Times New Roman"/>
                  <w:b/>
                  <w:sz w:val="24"/>
                  <w:szCs w:val="24"/>
                </w:rPr>
                <w:id w:val="1472949152"/>
                <w:placeholder>
                  <w:docPart w:val="D7F05EDFF2D14C9BBF7D37B125BBE077"/>
                </w:placeholder>
              </w:sdtPr>
              <w:sdtEndPr/>
              <w:sdtContent>
                <w:p w14:paraId="03D1C0C2" w14:textId="2FE7F1DD" w:rsidR="004D0835" w:rsidRPr="004D0835" w:rsidRDefault="004D0835" w:rsidP="004D0835">
                  <w:pPr>
                    <w:spacing w:after="0" w:line="240" w:lineRule="auto"/>
                    <w:rPr>
                      <w:rFonts w:ascii="Times New Roman" w:hAnsi="Times New Roman" w:cs="Times New Roman"/>
                      <w:b/>
                      <w:sz w:val="24"/>
                      <w:szCs w:val="24"/>
                    </w:rPr>
                  </w:pPr>
                  <w:r w:rsidRPr="004D0835">
                    <w:rPr>
                      <w:rFonts w:ascii="Times New Roman" w:hAnsi="Times New Roman" w:cs="Times New Roman"/>
                      <w:b/>
                      <w:sz w:val="24"/>
                      <w:szCs w:val="24"/>
                    </w:rPr>
                    <w:t xml:space="preserve">Sabiedrības līdzdalības laikā </w:t>
                  </w:r>
                  <w:bookmarkStart w:id="9" w:name="_Hlk158042709"/>
                  <w:r w:rsidRPr="004D0835">
                    <w:rPr>
                      <w:rFonts w:ascii="Times New Roman" w:hAnsi="Times New Roman" w:cs="Times New Roman"/>
                      <w:b/>
                      <w:sz w:val="24"/>
                      <w:szCs w:val="24"/>
                    </w:rPr>
                    <w:t>saņemto priekšlikumu par Latvijas Bankas noteikumu projektu</w:t>
                  </w:r>
                  <w:r w:rsidRPr="004D0835">
                    <w:rPr>
                      <w:rFonts w:ascii="Times New Roman" w:hAnsi="Times New Roman" w:cs="Times New Roman"/>
                      <w:sz w:val="24"/>
                      <w:szCs w:val="24"/>
                    </w:rPr>
                    <w:t xml:space="preserve"> </w:t>
                  </w:r>
                  <w:r w:rsidRPr="004D0835">
                    <w:rPr>
                      <w:rFonts w:ascii="Times New Roman" w:hAnsi="Times New Roman" w:cs="Times New Roman"/>
                      <w:b/>
                      <w:sz w:val="24"/>
                      <w:szCs w:val="24"/>
                    </w:rPr>
                    <w:t>"Kredītiestāžu pārvaldības sistēmas  noteikumi"</w:t>
                  </w:r>
                  <w:bookmarkEnd w:id="9"/>
                  <w:r w:rsidRPr="004D0835">
                    <w:rPr>
                      <w:rFonts w:ascii="Times New Roman" w:hAnsi="Times New Roman" w:cs="Times New Roman"/>
                      <w:b/>
                      <w:sz w:val="24"/>
                      <w:szCs w:val="24"/>
                    </w:rPr>
                    <w:t> apkopojums</w:t>
                  </w:r>
                </w:p>
              </w:sdtContent>
            </w:sdt>
          </w:sdtContent>
        </w:sdt>
      </w:sdtContent>
    </w:sdt>
    <w:p w14:paraId="20DC79F7" w14:textId="5841D0BF" w:rsidR="004D0835" w:rsidRPr="003849E4" w:rsidRDefault="004D0835" w:rsidP="004D0835">
      <w:pPr>
        <w:spacing w:after="0" w:line="240" w:lineRule="auto"/>
        <w:rPr>
          <w:rFonts w:ascii="Times New Roman" w:hAnsi="Times New Roman" w:cs="Times New Roman"/>
          <w:sz w:val="24"/>
          <w:szCs w:val="24"/>
        </w:rPr>
      </w:pPr>
      <w:r w:rsidRPr="004D0835">
        <w:rPr>
          <w:rFonts w:ascii="Times New Roman" w:hAnsi="Times New Roman" w:cs="Times New Roman"/>
          <w:bCs/>
          <w:sz w:val="24"/>
          <w:szCs w:val="24"/>
        </w:rPr>
        <w:t>Latvijas Banka 202</w:t>
      </w:r>
      <w:r>
        <w:rPr>
          <w:rFonts w:ascii="Times New Roman" w:hAnsi="Times New Roman" w:cs="Times New Roman"/>
          <w:bCs/>
          <w:sz w:val="24"/>
          <w:szCs w:val="24"/>
        </w:rPr>
        <w:t>4</w:t>
      </w:r>
      <w:r w:rsidRPr="004D0835">
        <w:rPr>
          <w:rFonts w:ascii="Times New Roman" w:hAnsi="Times New Roman" w:cs="Times New Roman"/>
          <w:bCs/>
          <w:sz w:val="24"/>
          <w:szCs w:val="24"/>
        </w:rPr>
        <w:t xml:space="preserve">. gada </w:t>
      </w:r>
      <w:r>
        <w:rPr>
          <w:rFonts w:ascii="Times New Roman" w:hAnsi="Times New Roman" w:cs="Times New Roman"/>
          <w:bCs/>
          <w:sz w:val="24"/>
          <w:szCs w:val="24"/>
        </w:rPr>
        <w:t>1</w:t>
      </w:r>
      <w:r w:rsidRPr="004D0835">
        <w:rPr>
          <w:rFonts w:ascii="Times New Roman" w:hAnsi="Times New Roman" w:cs="Times New Roman"/>
          <w:bCs/>
          <w:sz w:val="24"/>
          <w:szCs w:val="24"/>
        </w:rPr>
        <w:t>.</w:t>
      </w:r>
      <w:r w:rsidRPr="004D0835">
        <w:rPr>
          <w:rFonts w:ascii="Times New Roman" w:hAnsi="Times New Roman" w:cs="Times New Roman"/>
          <w:sz w:val="24"/>
          <w:szCs w:val="24"/>
        </w:rPr>
        <w:t> </w:t>
      </w:r>
      <w:r w:rsidR="001C4054">
        <w:rPr>
          <w:rFonts w:ascii="Times New Roman" w:hAnsi="Times New Roman" w:cs="Times New Roman"/>
          <w:sz w:val="24"/>
          <w:szCs w:val="24"/>
        </w:rPr>
        <w:t xml:space="preserve">oktobrī </w:t>
      </w:r>
      <w:r w:rsidRPr="004D0835">
        <w:rPr>
          <w:rFonts w:ascii="Times New Roman" w:hAnsi="Times New Roman" w:cs="Times New Roman"/>
          <w:bCs/>
          <w:sz w:val="24"/>
          <w:szCs w:val="24"/>
        </w:rPr>
        <w:t>publiskoja noteikumu "</w:t>
      </w:r>
      <w:r w:rsidR="00997EDB" w:rsidRPr="00997EDB">
        <w:rPr>
          <w:rFonts w:ascii="Times New Roman" w:hAnsi="Times New Roman" w:cs="Times New Roman"/>
          <w:bCs/>
          <w:sz w:val="24"/>
          <w:szCs w:val="24"/>
        </w:rPr>
        <w:t xml:space="preserve">Kredītiestāžu pārvaldības </w:t>
      </w:r>
      <w:r w:rsidR="003849E4">
        <w:rPr>
          <w:rFonts w:ascii="Times New Roman" w:hAnsi="Times New Roman" w:cs="Times New Roman"/>
          <w:bCs/>
          <w:sz w:val="24"/>
          <w:szCs w:val="24"/>
        </w:rPr>
        <w:t xml:space="preserve">sistēmas </w:t>
      </w:r>
      <w:r w:rsidR="00997EDB" w:rsidRPr="00997EDB">
        <w:rPr>
          <w:rFonts w:ascii="Times New Roman" w:hAnsi="Times New Roman" w:cs="Times New Roman"/>
          <w:bCs/>
          <w:sz w:val="24"/>
          <w:szCs w:val="24"/>
        </w:rPr>
        <w:t>noteikumi</w:t>
      </w:r>
      <w:r w:rsidRPr="004D0835">
        <w:rPr>
          <w:rFonts w:ascii="Times New Roman" w:hAnsi="Times New Roman" w:cs="Times New Roman"/>
          <w:bCs/>
          <w:sz w:val="24"/>
          <w:szCs w:val="24"/>
        </w:rPr>
        <w:t xml:space="preserve">" projektu (turpmāk – noteikumu projekts) sabiedrības līdzdalībai, proti, komentāru, motivētu priekšlikumu vai iebildumu sniegšanai </w:t>
      </w:r>
      <w:r w:rsidRPr="004D0835">
        <w:rPr>
          <w:rFonts w:ascii="Times New Roman" w:hAnsi="Times New Roman" w:cs="Times New Roman"/>
          <w:sz w:val="24"/>
          <w:szCs w:val="24"/>
        </w:rPr>
        <w:t>līdz 2024. gada 1</w:t>
      </w:r>
      <w:r w:rsidR="00997EDB">
        <w:rPr>
          <w:rFonts w:ascii="Times New Roman" w:hAnsi="Times New Roman" w:cs="Times New Roman"/>
          <w:sz w:val="24"/>
          <w:szCs w:val="24"/>
        </w:rPr>
        <w:t>5</w:t>
      </w:r>
      <w:r w:rsidRPr="004D0835">
        <w:rPr>
          <w:rFonts w:ascii="Times New Roman" w:hAnsi="Times New Roman" w:cs="Times New Roman"/>
          <w:sz w:val="24"/>
          <w:szCs w:val="24"/>
        </w:rPr>
        <w:t>. </w:t>
      </w:r>
      <w:r w:rsidR="00F6708C">
        <w:rPr>
          <w:rFonts w:ascii="Times New Roman" w:hAnsi="Times New Roman" w:cs="Times New Roman"/>
          <w:sz w:val="24"/>
          <w:szCs w:val="24"/>
        </w:rPr>
        <w:t>oktobrim</w:t>
      </w:r>
      <w:r w:rsidRPr="004D0835">
        <w:rPr>
          <w:rFonts w:ascii="Times New Roman" w:hAnsi="Times New Roman" w:cs="Times New Roman"/>
          <w:sz w:val="24"/>
          <w:szCs w:val="24"/>
        </w:rPr>
        <w:t>. Latvijas Banka ir iepazinusies ar</w:t>
      </w:r>
      <w:r w:rsidR="00F6708C">
        <w:rPr>
          <w:rFonts w:ascii="Times New Roman" w:hAnsi="Times New Roman" w:cs="Times New Roman"/>
          <w:sz w:val="24"/>
          <w:szCs w:val="24"/>
        </w:rPr>
        <w:t xml:space="preserve"> biedrības </w:t>
      </w:r>
      <w:r w:rsidR="003849E4">
        <w:rPr>
          <w:rFonts w:ascii="Times New Roman" w:hAnsi="Times New Roman" w:cs="Times New Roman"/>
          <w:sz w:val="24"/>
          <w:szCs w:val="24"/>
        </w:rPr>
        <w:t>"</w:t>
      </w:r>
      <w:r w:rsidR="00997EDB">
        <w:rPr>
          <w:rFonts w:ascii="Times New Roman" w:hAnsi="Times New Roman" w:cs="Times New Roman"/>
          <w:sz w:val="24"/>
          <w:szCs w:val="24"/>
        </w:rPr>
        <w:t>Latvijas Finanšu nozares asociācija</w:t>
      </w:r>
      <w:r w:rsidR="003849E4">
        <w:rPr>
          <w:rFonts w:ascii="Times New Roman" w:hAnsi="Times New Roman" w:cs="Times New Roman"/>
          <w:sz w:val="24"/>
          <w:szCs w:val="24"/>
        </w:rPr>
        <w:t>"</w:t>
      </w:r>
      <w:r w:rsidR="00997EDB">
        <w:rPr>
          <w:rFonts w:ascii="Times New Roman" w:hAnsi="Times New Roman" w:cs="Times New Roman"/>
          <w:sz w:val="24"/>
          <w:szCs w:val="24"/>
        </w:rPr>
        <w:t xml:space="preserve"> </w:t>
      </w:r>
      <w:r w:rsidRPr="004D0835">
        <w:rPr>
          <w:rFonts w:ascii="Times New Roman" w:hAnsi="Times New Roman" w:cs="Times New Roman"/>
          <w:sz w:val="24"/>
          <w:szCs w:val="24"/>
        </w:rPr>
        <w:t>komentāriem un sniedz savu viedokli:</w:t>
      </w:r>
    </w:p>
    <w:p w14:paraId="453FC801" w14:textId="77777777" w:rsidR="004D0835" w:rsidRPr="004D0835" w:rsidRDefault="004D0835" w:rsidP="004D0835">
      <w:pPr>
        <w:spacing w:after="0" w:line="240" w:lineRule="auto"/>
        <w:rPr>
          <w:rFonts w:ascii="Times New Roman" w:hAnsi="Times New Roman" w:cs="Times New Roman"/>
          <w:bCs/>
          <w:sz w:val="24"/>
          <w:szCs w:val="24"/>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4577"/>
        <w:gridCol w:w="4694"/>
        <w:gridCol w:w="4662"/>
      </w:tblGrid>
      <w:tr w:rsidR="004D0835" w:rsidRPr="004D0835" w14:paraId="28FE445D" w14:textId="77777777" w:rsidTr="00176E33">
        <w:tc>
          <w:tcPr>
            <w:tcW w:w="0" w:type="auto"/>
            <w:tcBorders>
              <w:top w:val="single" w:sz="4" w:space="0" w:color="auto"/>
              <w:left w:val="single" w:sz="4" w:space="0" w:color="auto"/>
              <w:bottom w:val="single" w:sz="4" w:space="0" w:color="auto"/>
              <w:right w:val="single" w:sz="4" w:space="0" w:color="auto"/>
            </w:tcBorders>
          </w:tcPr>
          <w:p w14:paraId="3AE8AEF2" w14:textId="77777777" w:rsidR="004D0835" w:rsidRPr="004D0835" w:rsidRDefault="004D0835" w:rsidP="004D0835">
            <w:pPr>
              <w:spacing w:after="0" w:line="240" w:lineRule="auto"/>
              <w:rPr>
                <w:rFonts w:ascii="Times New Roman" w:hAnsi="Times New Roman" w:cs="Times New Roman"/>
                <w:b/>
                <w:sz w:val="24"/>
                <w:szCs w:val="24"/>
              </w:rPr>
            </w:pPr>
            <w:r w:rsidRPr="004D0835">
              <w:rPr>
                <w:rFonts w:ascii="Times New Roman" w:hAnsi="Times New Roman" w:cs="Times New Roman"/>
                <w:b/>
                <w:sz w:val="24"/>
                <w:szCs w:val="24"/>
              </w:rPr>
              <w:t>Nr.</w:t>
            </w:r>
            <w:r w:rsidRPr="004D0835">
              <w:rPr>
                <w:rFonts w:ascii="Times New Roman" w:hAnsi="Times New Roman" w:cs="Times New Roman"/>
                <w:b/>
                <w:sz w:val="24"/>
                <w:szCs w:val="24"/>
              </w:rPr>
              <w:br/>
              <w:t>p. k.</w:t>
            </w:r>
          </w:p>
        </w:tc>
        <w:tc>
          <w:tcPr>
            <w:tcW w:w="4577" w:type="dxa"/>
            <w:tcBorders>
              <w:top w:val="single" w:sz="4" w:space="0" w:color="auto"/>
              <w:left w:val="single" w:sz="4" w:space="0" w:color="auto"/>
              <w:bottom w:val="single" w:sz="4" w:space="0" w:color="auto"/>
              <w:right w:val="single" w:sz="4" w:space="0" w:color="auto"/>
            </w:tcBorders>
            <w:shd w:val="clear" w:color="auto" w:fill="auto"/>
            <w:hideMark/>
          </w:tcPr>
          <w:p w14:paraId="0B8C58ED" w14:textId="77777777" w:rsidR="004D0835" w:rsidRPr="004D0835" w:rsidRDefault="004D0835" w:rsidP="004D0835">
            <w:pPr>
              <w:spacing w:after="0" w:line="240" w:lineRule="auto"/>
              <w:rPr>
                <w:rFonts w:ascii="Times New Roman" w:hAnsi="Times New Roman" w:cs="Times New Roman"/>
                <w:b/>
                <w:sz w:val="24"/>
                <w:szCs w:val="24"/>
              </w:rPr>
            </w:pPr>
            <w:r w:rsidRPr="004D0835">
              <w:rPr>
                <w:rFonts w:ascii="Times New Roman" w:hAnsi="Times New Roman" w:cs="Times New Roman"/>
                <w:b/>
                <w:sz w:val="24"/>
                <w:szCs w:val="24"/>
              </w:rPr>
              <w:t xml:space="preserve">Sabiedrības līdzdalībai nodotā projekta redakcija </w:t>
            </w:r>
            <w:r w:rsidRPr="004D0835">
              <w:rPr>
                <w:rFonts w:ascii="Times New Roman" w:hAnsi="Times New Roman" w:cs="Times New Roman"/>
                <w:b/>
                <w:iCs/>
                <w:sz w:val="24"/>
                <w:szCs w:val="24"/>
              </w:rPr>
              <w:t>(konkrēta punkta redakcija)</w:t>
            </w:r>
          </w:p>
        </w:tc>
        <w:tc>
          <w:tcPr>
            <w:tcW w:w="4694" w:type="dxa"/>
            <w:tcBorders>
              <w:top w:val="single" w:sz="4" w:space="0" w:color="auto"/>
              <w:left w:val="single" w:sz="4" w:space="0" w:color="auto"/>
              <w:bottom w:val="single" w:sz="4" w:space="0" w:color="auto"/>
              <w:right w:val="single" w:sz="4" w:space="0" w:color="auto"/>
            </w:tcBorders>
            <w:shd w:val="clear" w:color="auto" w:fill="auto"/>
            <w:hideMark/>
          </w:tcPr>
          <w:p w14:paraId="223C3BDD" w14:textId="77777777" w:rsidR="004D0835" w:rsidRPr="004D0835" w:rsidRDefault="004D0835" w:rsidP="004D0835">
            <w:pPr>
              <w:spacing w:after="0" w:line="240" w:lineRule="auto"/>
              <w:rPr>
                <w:rFonts w:ascii="Times New Roman" w:hAnsi="Times New Roman" w:cs="Times New Roman"/>
                <w:b/>
                <w:sz w:val="24"/>
                <w:szCs w:val="24"/>
              </w:rPr>
            </w:pPr>
            <w:r w:rsidRPr="004D0835">
              <w:rPr>
                <w:rFonts w:ascii="Times New Roman" w:hAnsi="Times New Roman" w:cs="Times New Roman"/>
                <w:b/>
                <w:sz w:val="24"/>
                <w:szCs w:val="24"/>
              </w:rPr>
              <w:t>Izteiktais iebildums (priekšlikums)</w:t>
            </w:r>
            <w:r w:rsidRPr="004D0835">
              <w:rPr>
                <w:rFonts w:ascii="Times New Roman" w:hAnsi="Times New Roman" w:cs="Times New Roman"/>
                <w:b/>
                <w:iCs/>
                <w:sz w:val="24"/>
                <w:szCs w:val="24"/>
              </w:rPr>
              <w:t xml:space="preserve"> par projekta konkrēto punktu, norādot sabiedrības pārstāvi</w:t>
            </w:r>
          </w:p>
        </w:tc>
        <w:tc>
          <w:tcPr>
            <w:tcW w:w="4662" w:type="dxa"/>
            <w:tcBorders>
              <w:top w:val="single" w:sz="4" w:space="0" w:color="auto"/>
              <w:left w:val="single" w:sz="4" w:space="0" w:color="auto"/>
              <w:bottom w:val="single" w:sz="4" w:space="0" w:color="auto"/>
              <w:right w:val="single" w:sz="4" w:space="0" w:color="auto"/>
            </w:tcBorders>
            <w:shd w:val="clear" w:color="auto" w:fill="auto"/>
            <w:hideMark/>
          </w:tcPr>
          <w:p w14:paraId="7BD156DD" w14:textId="77777777" w:rsidR="004D0835" w:rsidRPr="004D0835" w:rsidRDefault="004D0835" w:rsidP="004D0835">
            <w:pPr>
              <w:spacing w:after="0" w:line="240" w:lineRule="auto"/>
              <w:rPr>
                <w:rFonts w:ascii="Times New Roman" w:hAnsi="Times New Roman" w:cs="Times New Roman"/>
                <w:b/>
                <w:sz w:val="24"/>
                <w:szCs w:val="24"/>
              </w:rPr>
            </w:pPr>
            <w:r w:rsidRPr="004D0835">
              <w:rPr>
                <w:rFonts w:ascii="Times New Roman" w:hAnsi="Times New Roman" w:cs="Times New Roman"/>
                <w:b/>
                <w:iCs/>
                <w:sz w:val="24"/>
                <w:szCs w:val="24"/>
              </w:rPr>
              <w:t xml:space="preserve">Latvijas Bankas </w:t>
            </w:r>
            <w:r w:rsidRPr="004D0835">
              <w:rPr>
                <w:rFonts w:ascii="Times New Roman" w:hAnsi="Times New Roman" w:cs="Times New Roman"/>
                <w:b/>
                <w:sz w:val="24"/>
                <w:szCs w:val="24"/>
              </w:rPr>
              <w:t xml:space="preserve">viedoklis par izteikto iebildumu (priekšlikumu) un </w:t>
            </w:r>
            <w:r w:rsidRPr="004D0835">
              <w:rPr>
                <w:rFonts w:ascii="Times New Roman" w:hAnsi="Times New Roman" w:cs="Times New Roman"/>
                <w:b/>
                <w:iCs/>
                <w:sz w:val="24"/>
                <w:szCs w:val="24"/>
              </w:rPr>
              <w:t>norāde, vai tas ņemts vērā</w:t>
            </w:r>
          </w:p>
        </w:tc>
      </w:tr>
      <w:tr w:rsidR="00B95B99" w:rsidRPr="004D0835" w14:paraId="6F6BFBF0" w14:textId="77777777" w:rsidTr="00176E33">
        <w:tc>
          <w:tcPr>
            <w:tcW w:w="0" w:type="auto"/>
            <w:tcBorders>
              <w:top w:val="single" w:sz="4" w:space="0" w:color="auto"/>
              <w:left w:val="single" w:sz="4" w:space="0" w:color="auto"/>
              <w:bottom w:val="single" w:sz="4" w:space="0" w:color="auto"/>
              <w:right w:val="single" w:sz="4" w:space="0" w:color="auto"/>
            </w:tcBorders>
          </w:tcPr>
          <w:p w14:paraId="185F9F5A" w14:textId="02B8DA96" w:rsidR="00B95B99" w:rsidRPr="005A6324" w:rsidRDefault="00B95B99" w:rsidP="004D0835">
            <w:pPr>
              <w:spacing w:after="0" w:line="240" w:lineRule="auto"/>
              <w:rPr>
                <w:rFonts w:ascii="Times New Roman" w:hAnsi="Times New Roman" w:cs="Times New Roman"/>
                <w:bCs/>
                <w:sz w:val="24"/>
                <w:szCs w:val="24"/>
              </w:rPr>
            </w:pPr>
            <w:r>
              <w:rPr>
                <w:rFonts w:ascii="Times New Roman" w:hAnsi="Times New Roman" w:cs="Times New Roman"/>
                <w:bCs/>
                <w:sz w:val="24"/>
                <w:szCs w:val="24"/>
              </w:rPr>
              <w:t>1.</w:t>
            </w:r>
          </w:p>
        </w:tc>
        <w:tc>
          <w:tcPr>
            <w:tcW w:w="4577" w:type="dxa"/>
            <w:tcBorders>
              <w:top w:val="single" w:sz="4" w:space="0" w:color="auto"/>
              <w:left w:val="single" w:sz="4" w:space="0" w:color="auto"/>
              <w:bottom w:val="single" w:sz="4" w:space="0" w:color="auto"/>
              <w:right w:val="single" w:sz="4" w:space="0" w:color="auto"/>
            </w:tcBorders>
            <w:shd w:val="clear" w:color="auto" w:fill="auto"/>
          </w:tcPr>
          <w:p w14:paraId="27710B00" w14:textId="77777777" w:rsidR="00B95B99" w:rsidRPr="004D0835" w:rsidRDefault="00B95B99" w:rsidP="004D0835">
            <w:pPr>
              <w:spacing w:after="0" w:line="240" w:lineRule="auto"/>
              <w:rPr>
                <w:rFonts w:ascii="Times New Roman" w:hAnsi="Times New Roman" w:cs="Times New Roman"/>
                <w:b/>
                <w:sz w:val="24"/>
                <w:szCs w:val="24"/>
              </w:rPr>
            </w:pPr>
          </w:p>
        </w:tc>
        <w:tc>
          <w:tcPr>
            <w:tcW w:w="4694" w:type="dxa"/>
            <w:tcBorders>
              <w:top w:val="single" w:sz="4" w:space="0" w:color="auto"/>
              <w:left w:val="single" w:sz="4" w:space="0" w:color="auto"/>
              <w:bottom w:val="single" w:sz="4" w:space="0" w:color="auto"/>
              <w:right w:val="single" w:sz="4" w:space="0" w:color="auto"/>
            </w:tcBorders>
            <w:shd w:val="clear" w:color="auto" w:fill="auto"/>
          </w:tcPr>
          <w:p w14:paraId="4BAB81D3" w14:textId="77777777" w:rsidR="00B95B99" w:rsidRPr="00D13AD7" w:rsidRDefault="00B95B99" w:rsidP="00B95B99">
            <w:pPr>
              <w:spacing w:after="0" w:line="240" w:lineRule="auto"/>
              <w:rPr>
                <w:rFonts w:ascii="Times New Roman" w:hAnsi="Times New Roman" w:cs="Times New Roman"/>
                <w:sz w:val="24"/>
                <w:szCs w:val="24"/>
              </w:rPr>
            </w:pPr>
            <w:r w:rsidRPr="00D13AD7">
              <w:rPr>
                <w:rFonts w:ascii="Times New Roman" w:hAnsi="Times New Roman" w:cs="Times New Roman"/>
                <w:b/>
                <w:bCs/>
                <w:sz w:val="24"/>
                <w:szCs w:val="24"/>
              </w:rPr>
              <w:t xml:space="preserve">2.5.punkts - </w:t>
            </w:r>
            <w:r w:rsidRPr="00D13AD7">
              <w:rPr>
                <w:rFonts w:ascii="Times New Roman" w:hAnsi="Times New Roman" w:cs="Times New Roman"/>
                <w:sz w:val="24"/>
                <w:szCs w:val="24"/>
              </w:rPr>
              <w:t>Tā kā tiek kopumā pārskatīti noteikumi, aicinājums apsvērt precizēt arī šeit AML atbildīgās personas (</w:t>
            </w:r>
            <w:r w:rsidRPr="00D13AD7">
              <w:rPr>
                <w:rFonts w:ascii="Times New Roman" w:hAnsi="Times New Roman" w:cs="Times New Roman"/>
                <w:i/>
                <w:iCs/>
                <w:sz w:val="24"/>
                <w:szCs w:val="24"/>
              </w:rPr>
              <w:t xml:space="preserve">AML </w:t>
            </w:r>
            <w:proofErr w:type="spellStart"/>
            <w:r w:rsidRPr="00D13AD7">
              <w:rPr>
                <w:rFonts w:ascii="Times New Roman" w:hAnsi="Times New Roman" w:cs="Times New Roman"/>
                <w:i/>
                <w:iCs/>
                <w:sz w:val="24"/>
                <w:szCs w:val="24"/>
              </w:rPr>
              <w:t>Compliance</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officer</w:t>
            </w:r>
            <w:proofErr w:type="spellEnd"/>
            <w:r w:rsidRPr="00D13AD7">
              <w:rPr>
                <w:rFonts w:ascii="Times New Roman" w:hAnsi="Times New Roman" w:cs="Times New Roman"/>
                <w:sz w:val="24"/>
                <w:szCs w:val="24"/>
              </w:rPr>
              <w:t>) lomu kredītiestāžu iekšējās kontroles sistēmā, t.sk. vai tā tiek redzēta kā daļa no Darbības atbilstības, vai var būt izdalīta atsevišķi, kopā ar AML uzraudzības jomu (vai Latvijas Banka pieļauj, ka šī persona un joma ir neatkarīga funkcija 1. aizsardzības līnijā).</w:t>
            </w:r>
          </w:p>
          <w:p w14:paraId="36BFC788" w14:textId="0A349CF3" w:rsidR="00B95B99" w:rsidRPr="00B95B99" w:rsidRDefault="00B95B99" w:rsidP="005A6324">
            <w:pPr>
              <w:spacing w:after="0" w:line="240" w:lineRule="auto"/>
              <w:rPr>
                <w:rFonts w:ascii="Times New Roman" w:hAnsi="Times New Roman" w:cs="Times New Roman"/>
                <w:sz w:val="24"/>
                <w:szCs w:val="24"/>
              </w:rPr>
            </w:pPr>
            <w:r w:rsidRPr="00D13AD7">
              <w:rPr>
                <w:rFonts w:ascii="Times New Roman" w:hAnsi="Times New Roman" w:cs="Times New Roman"/>
                <w:sz w:val="24"/>
                <w:szCs w:val="24"/>
              </w:rPr>
              <w:t xml:space="preserve">Papildus pievēršam uzmanību, ka šobrīd esošais regulējums, kā arī Latvijas Bankas noteikumu projekts "Noziedzīgi iegūtu līdzekļu legalizācijas un terorisma un </w:t>
            </w:r>
            <w:proofErr w:type="spellStart"/>
            <w:r w:rsidRPr="00D13AD7">
              <w:rPr>
                <w:rFonts w:ascii="Times New Roman" w:hAnsi="Times New Roman" w:cs="Times New Roman"/>
                <w:sz w:val="24"/>
                <w:szCs w:val="24"/>
              </w:rPr>
              <w:t>porliferācijas</w:t>
            </w:r>
            <w:proofErr w:type="spellEnd"/>
            <w:r w:rsidRPr="00D13AD7">
              <w:rPr>
                <w:rFonts w:ascii="Times New Roman" w:hAnsi="Times New Roman" w:cs="Times New Roman"/>
                <w:sz w:val="24"/>
                <w:szCs w:val="24"/>
              </w:rPr>
              <w:t xml:space="preserve"> finansēšanas riska pārvaldīšanas noteikumi" neietver visas EBA prasības </w:t>
            </w:r>
            <w:r w:rsidRPr="00D13AD7">
              <w:rPr>
                <w:rFonts w:ascii="Times New Roman" w:hAnsi="Times New Roman" w:cs="Times New Roman"/>
                <w:i/>
                <w:iCs/>
                <w:sz w:val="24"/>
                <w:szCs w:val="24"/>
              </w:rPr>
              <w:t>"</w:t>
            </w:r>
            <w:proofErr w:type="spellStart"/>
            <w:r w:rsidRPr="00D13AD7">
              <w:rPr>
                <w:rFonts w:ascii="Times New Roman" w:hAnsi="Times New Roman" w:cs="Times New Roman"/>
                <w:i/>
                <w:iCs/>
                <w:sz w:val="24"/>
                <w:szCs w:val="24"/>
              </w:rPr>
              <w:t>on</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the</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role</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and</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reponsibilities</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of</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the</w:t>
            </w:r>
            <w:proofErr w:type="spellEnd"/>
            <w:r w:rsidRPr="00D13AD7">
              <w:rPr>
                <w:rFonts w:ascii="Times New Roman" w:hAnsi="Times New Roman" w:cs="Times New Roman"/>
                <w:i/>
                <w:iCs/>
                <w:sz w:val="24"/>
                <w:szCs w:val="24"/>
              </w:rPr>
              <w:t xml:space="preserve"> AML/CFT </w:t>
            </w:r>
            <w:proofErr w:type="spellStart"/>
            <w:r w:rsidRPr="00D13AD7">
              <w:rPr>
                <w:rFonts w:ascii="Times New Roman" w:hAnsi="Times New Roman" w:cs="Times New Roman"/>
                <w:i/>
                <w:iCs/>
                <w:sz w:val="24"/>
                <w:szCs w:val="24"/>
              </w:rPr>
              <w:t>compliance</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officer</w:t>
            </w:r>
            <w:proofErr w:type="spellEnd"/>
            <w:r w:rsidRPr="00D13AD7">
              <w:rPr>
                <w:rFonts w:ascii="Times New Roman" w:hAnsi="Times New Roman" w:cs="Times New Roman"/>
                <w:sz w:val="24"/>
                <w:szCs w:val="24"/>
              </w:rPr>
              <w:t xml:space="preserve">". Lūgums skaidrot, vai plānotas vēl kādas citas regulējuma izmaiņas un kā tās sasaistās ar </w:t>
            </w:r>
            <w:bookmarkStart w:id="10" w:name="_Hlk180420292"/>
            <w:r w:rsidRPr="00D13AD7">
              <w:rPr>
                <w:rFonts w:ascii="Times New Roman" w:hAnsi="Times New Roman" w:cs="Times New Roman"/>
                <w:sz w:val="24"/>
                <w:szCs w:val="24"/>
              </w:rPr>
              <w:t>"Kredītiestāžu pārvaldības sistēmas izveides noteikumiem"</w:t>
            </w:r>
            <w:bookmarkEnd w:id="10"/>
            <w:r w:rsidRPr="00D13AD7">
              <w:rPr>
                <w:rFonts w:ascii="Times New Roman" w:hAnsi="Times New Roman" w:cs="Times New Roman"/>
                <w:sz w:val="24"/>
                <w:szCs w:val="24"/>
              </w:rPr>
              <w:t>?</w:t>
            </w:r>
          </w:p>
        </w:tc>
        <w:tc>
          <w:tcPr>
            <w:tcW w:w="4662" w:type="dxa"/>
            <w:tcBorders>
              <w:top w:val="single" w:sz="4" w:space="0" w:color="auto"/>
              <w:left w:val="single" w:sz="4" w:space="0" w:color="auto"/>
              <w:bottom w:val="single" w:sz="4" w:space="0" w:color="auto"/>
              <w:right w:val="single" w:sz="4" w:space="0" w:color="auto"/>
            </w:tcBorders>
            <w:shd w:val="clear" w:color="auto" w:fill="auto"/>
          </w:tcPr>
          <w:p w14:paraId="0EA774CF" w14:textId="77777777" w:rsidR="00CF7434" w:rsidRDefault="003D6323" w:rsidP="00BC56B2">
            <w:pPr>
              <w:spacing w:after="0"/>
              <w:rPr>
                <w:rFonts w:ascii="Times New Roman" w:hAnsi="Times New Roman" w:cs="Times New Roman"/>
                <w:bCs/>
                <w:iCs/>
                <w:sz w:val="24"/>
                <w:szCs w:val="24"/>
              </w:rPr>
            </w:pPr>
            <w:r w:rsidRPr="006E4275">
              <w:rPr>
                <w:rFonts w:ascii="Times New Roman" w:hAnsi="Times New Roman" w:cs="Times New Roman"/>
                <w:b/>
                <w:iCs/>
                <w:sz w:val="24"/>
                <w:szCs w:val="24"/>
              </w:rPr>
              <w:t>Skaidrojums.</w:t>
            </w:r>
            <w:r w:rsidRPr="006E4275">
              <w:rPr>
                <w:rFonts w:ascii="Times New Roman" w:hAnsi="Times New Roman" w:cs="Times New Roman"/>
                <w:bCs/>
                <w:iCs/>
                <w:sz w:val="24"/>
                <w:szCs w:val="24"/>
              </w:rPr>
              <w:t xml:space="preserve"> </w:t>
            </w:r>
          </w:p>
          <w:p w14:paraId="76567FA6" w14:textId="5390EDA5" w:rsidR="00B95B99" w:rsidRPr="006E4275" w:rsidRDefault="006E4275" w:rsidP="006E4275">
            <w:pPr>
              <w:rPr>
                <w:rFonts w:ascii="Times New Roman" w:hAnsi="Times New Roman" w:cs="Times New Roman"/>
                <w:bCs/>
                <w:iCs/>
                <w:sz w:val="24"/>
                <w:szCs w:val="24"/>
              </w:rPr>
            </w:pPr>
            <w:r w:rsidRPr="006E4275">
              <w:rPr>
                <w:rFonts w:ascii="Times New Roman" w:hAnsi="Times New Roman" w:cs="Times New Roman"/>
                <w:bCs/>
                <w:iCs/>
                <w:sz w:val="24"/>
                <w:szCs w:val="24"/>
              </w:rPr>
              <w:t xml:space="preserve">Prasības attiecībā uz noziedzīgi iegūtu līdzekļu legalizācijas un terorisma un </w:t>
            </w:r>
            <w:proofErr w:type="spellStart"/>
            <w:r w:rsidRPr="006E4275">
              <w:rPr>
                <w:rFonts w:ascii="Times New Roman" w:hAnsi="Times New Roman" w:cs="Times New Roman"/>
                <w:bCs/>
                <w:iCs/>
                <w:sz w:val="24"/>
                <w:szCs w:val="24"/>
              </w:rPr>
              <w:t>proliferācijas</w:t>
            </w:r>
            <w:proofErr w:type="spellEnd"/>
            <w:r w:rsidRPr="006E4275">
              <w:rPr>
                <w:rFonts w:ascii="Times New Roman" w:hAnsi="Times New Roman" w:cs="Times New Roman"/>
                <w:bCs/>
                <w:iCs/>
                <w:sz w:val="24"/>
                <w:szCs w:val="24"/>
              </w:rPr>
              <w:t xml:space="preserve"> finansēšanas riska pārvaldīšanu un iestādes amatpersonu un darbinieku atbildību šajā jomā ir noteiktas Latvijas </w:t>
            </w:r>
            <w:r>
              <w:rPr>
                <w:rFonts w:ascii="Times New Roman" w:hAnsi="Times New Roman" w:cs="Times New Roman"/>
                <w:bCs/>
                <w:iCs/>
                <w:sz w:val="24"/>
                <w:szCs w:val="24"/>
              </w:rPr>
              <w:t>B</w:t>
            </w:r>
            <w:r w:rsidRPr="006E4275">
              <w:rPr>
                <w:rFonts w:ascii="Times New Roman" w:hAnsi="Times New Roman" w:cs="Times New Roman"/>
                <w:bCs/>
                <w:iCs/>
                <w:sz w:val="24"/>
                <w:szCs w:val="24"/>
              </w:rPr>
              <w:t xml:space="preserve">ankas noteikumu projektā "Noziedzīgi iegūtu līdzekļu legalizācijas un terorisma un </w:t>
            </w:r>
            <w:proofErr w:type="spellStart"/>
            <w:r w:rsidRPr="006E4275">
              <w:rPr>
                <w:rFonts w:ascii="Times New Roman" w:hAnsi="Times New Roman" w:cs="Times New Roman"/>
                <w:bCs/>
                <w:iCs/>
                <w:sz w:val="24"/>
                <w:szCs w:val="24"/>
              </w:rPr>
              <w:t>proliferācijas</w:t>
            </w:r>
            <w:proofErr w:type="spellEnd"/>
            <w:r w:rsidRPr="006E4275">
              <w:rPr>
                <w:rFonts w:ascii="Times New Roman" w:hAnsi="Times New Roman" w:cs="Times New Roman"/>
                <w:bCs/>
                <w:iCs/>
                <w:sz w:val="24"/>
                <w:szCs w:val="24"/>
              </w:rPr>
              <w:t xml:space="preserve"> finansēšanas riska pārvaldīšanas noteikumi", kurš publicēts Latvijas Bankas tīmekļvietnes </w:t>
            </w:r>
            <w:hyperlink r:id="rId15" w:history="1">
              <w:r w:rsidRPr="006E4275">
                <w:rPr>
                  <w:rStyle w:val="Hipersaite"/>
                  <w:rFonts w:ascii="Times New Roman" w:hAnsi="Times New Roman" w:cs="Times New Roman"/>
                  <w:bCs/>
                  <w:iCs/>
                  <w:sz w:val="24"/>
                  <w:szCs w:val="24"/>
                </w:rPr>
                <w:t>www.bank.lv</w:t>
              </w:r>
            </w:hyperlink>
            <w:r w:rsidRPr="006E4275">
              <w:rPr>
                <w:rFonts w:ascii="Times New Roman" w:hAnsi="Times New Roman" w:cs="Times New Roman"/>
                <w:bCs/>
                <w:iCs/>
                <w:sz w:val="24"/>
                <w:szCs w:val="24"/>
              </w:rPr>
              <w:t xml:space="preserve"> sadaļas "Tiesību akti" </w:t>
            </w:r>
            <w:proofErr w:type="spellStart"/>
            <w:r w:rsidRPr="006E4275">
              <w:rPr>
                <w:rFonts w:ascii="Times New Roman" w:hAnsi="Times New Roman" w:cs="Times New Roman"/>
                <w:bCs/>
                <w:iCs/>
                <w:sz w:val="24"/>
                <w:szCs w:val="24"/>
              </w:rPr>
              <w:t>apakšsadaļā</w:t>
            </w:r>
            <w:proofErr w:type="spellEnd"/>
            <w:r w:rsidRPr="006E4275">
              <w:rPr>
                <w:rFonts w:ascii="Times New Roman" w:hAnsi="Times New Roman" w:cs="Times New Roman"/>
                <w:bCs/>
                <w:iCs/>
                <w:sz w:val="24"/>
                <w:szCs w:val="24"/>
              </w:rPr>
              <w:t xml:space="preserve"> </w:t>
            </w:r>
            <w:hyperlink r:id="rId16" w:history="1">
              <w:r w:rsidRPr="00DF47BF">
                <w:rPr>
                  <w:rStyle w:val="Hipersaite"/>
                  <w:rFonts w:ascii="Times New Roman" w:hAnsi="Times New Roman" w:cs="Times New Roman"/>
                  <w:bCs/>
                  <w:iCs/>
                  <w:sz w:val="24"/>
                  <w:szCs w:val="24"/>
                </w:rPr>
                <w:t>"Sabiedrības līdzdalība"</w:t>
              </w:r>
            </w:hyperlink>
            <w:r w:rsidR="00DF47BF">
              <w:rPr>
                <w:rFonts w:ascii="Times New Roman" w:hAnsi="Times New Roman" w:cs="Times New Roman"/>
                <w:bCs/>
                <w:iCs/>
                <w:sz w:val="24"/>
                <w:szCs w:val="24"/>
              </w:rPr>
              <w:t xml:space="preserve"> </w:t>
            </w:r>
            <w:r w:rsidRPr="006E4275">
              <w:rPr>
                <w:rFonts w:ascii="Times New Roman" w:hAnsi="Times New Roman" w:cs="Times New Roman"/>
                <w:bCs/>
                <w:iCs/>
                <w:sz w:val="24"/>
                <w:szCs w:val="24"/>
              </w:rPr>
              <w:t xml:space="preserve">. </w:t>
            </w:r>
            <w:r>
              <w:rPr>
                <w:rFonts w:ascii="Times New Roman" w:hAnsi="Times New Roman" w:cs="Times New Roman"/>
                <w:bCs/>
                <w:iCs/>
                <w:sz w:val="24"/>
                <w:szCs w:val="24"/>
              </w:rPr>
              <w:t xml:space="preserve">Ņemot vērā minēto, </w:t>
            </w:r>
            <w:r w:rsidRPr="006E4275">
              <w:rPr>
                <w:rFonts w:ascii="Times New Roman" w:hAnsi="Times New Roman" w:cs="Times New Roman"/>
                <w:bCs/>
                <w:iCs/>
                <w:sz w:val="24"/>
                <w:szCs w:val="24"/>
              </w:rPr>
              <w:t>noteikumu projektā "Kredītiestāžu pārvaldības sistēmas izveides noteikumi" n</w:t>
            </w:r>
            <w:r>
              <w:rPr>
                <w:rFonts w:ascii="Times New Roman" w:hAnsi="Times New Roman" w:cs="Times New Roman"/>
                <w:bCs/>
                <w:iCs/>
                <w:sz w:val="24"/>
                <w:szCs w:val="24"/>
              </w:rPr>
              <w:t xml:space="preserve">av </w:t>
            </w:r>
            <w:r w:rsidRPr="006E4275">
              <w:rPr>
                <w:rFonts w:ascii="Times New Roman" w:hAnsi="Times New Roman" w:cs="Times New Roman"/>
                <w:bCs/>
                <w:iCs/>
                <w:sz w:val="24"/>
                <w:szCs w:val="24"/>
              </w:rPr>
              <w:t xml:space="preserve">iekļautas prasības par noziedzīgi iegūtu līdzekļu legalizācijas un terorisma un </w:t>
            </w:r>
            <w:proofErr w:type="spellStart"/>
            <w:r w:rsidRPr="006E4275">
              <w:rPr>
                <w:rFonts w:ascii="Times New Roman" w:hAnsi="Times New Roman" w:cs="Times New Roman"/>
                <w:bCs/>
                <w:iCs/>
                <w:sz w:val="24"/>
                <w:szCs w:val="24"/>
              </w:rPr>
              <w:t>proliferācijas</w:t>
            </w:r>
            <w:proofErr w:type="spellEnd"/>
            <w:r w:rsidRPr="006E4275">
              <w:rPr>
                <w:rFonts w:ascii="Times New Roman" w:hAnsi="Times New Roman" w:cs="Times New Roman"/>
                <w:bCs/>
                <w:iCs/>
                <w:sz w:val="24"/>
                <w:szCs w:val="24"/>
              </w:rPr>
              <w:t xml:space="preserve"> finansēšanas </w:t>
            </w:r>
            <w:r w:rsidR="00DF47BF">
              <w:rPr>
                <w:rFonts w:ascii="Times New Roman" w:hAnsi="Times New Roman" w:cs="Times New Roman"/>
                <w:bCs/>
                <w:iCs/>
                <w:sz w:val="24"/>
                <w:szCs w:val="24"/>
              </w:rPr>
              <w:t>n</w:t>
            </w:r>
            <w:r w:rsidRPr="006E4275">
              <w:rPr>
                <w:rFonts w:ascii="Times New Roman" w:hAnsi="Times New Roman" w:cs="Times New Roman"/>
                <w:bCs/>
                <w:iCs/>
                <w:sz w:val="24"/>
                <w:szCs w:val="24"/>
              </w:rPr>
              <w:t>ovēršanas prasību izpildi atbildīgaja</w:t>
            </w:r>
            <w:r>
              <w:rPr>
                <w:rFonts w:ascii="Times New Roman" w:hAnsi="Times New Roman" w:cs="Times New Roman"/>
                <w:bCs/>
                <w:iCs/>
                <w:sz w:val="24"/>
                <w:szCs w:val="24"/>
              </w:rPr>
              <w:t>i personai</w:t>
            </w:r>
            <w:r w:rsidR="003849E4">
              <w:rPr>
                <w:rFonts w:ascii="Times New Roman" w:hAnsi="Times New Roman" w:cs="Times New Roman"/>
                <w:bCs/>
                <w:iCs/>
                <w:sz w:val="24"/>
                <w:szCs w:val="24"/>
              </w:rPr>
              <w:t xml:space="preserve"> un šis priekšlikums būtu vērtējams</w:t>
            </w:r>
            <w:r w:rsidR="003849E4">
              <w:t xml:space="preserve"> </w:t>
            </w:r>
            <w:r w:rsidR="003849E4" w:rsidRPr="003849E4">
              <w:rPr>
                <w:rFonts w:ascii="Times New Roman" w:hAnsi="Times New Roman" w:cs="Times New Roman"/>
                <w:bCs/>
                <w:iCs/>
                <w:sz w:val="24"/>
                <w:szCs w:val="24"/>
              </w:rPr>
              <w:lastRenderedPageBreak/>
              <w:t>Latvijas Bankas noteikumu projekt</w:t>
            </w:r>
            <w:r w:rsidR="003849E4">
              <w:rPr>
                <w:rFonts w:ascii="Times New Roman" w:hAnsi="Times New Roman" w:cs="Times New Roman"/>
                <w:bCs/>
                <w:iCs/>
                <w:sz w:val="24"/>
                <w:szCs w:val="24"/>
              </w:rPr>
              <w:t>a</w:t>
            </w:r>
            <w:r w:rsidR="003849E4" w:rsidRPr="003849E4">
              <w:rPr>
                <w:rFonts w:ascii="Times New Roman" w:hAnsi="Times New Roman" w:cs="Times New Roman"/>
                <w:bCs/>
                <w:iCs/>
                <w:sz w:val="24"/>
                <w:szCs w:val="24"/>
              </w:rPr>
              <w:t xml:space="preserve"> "Noziedzīgi iegūtu līdzekļu legalizācijas un terorisma un </w:t>
            </w:r>
            <w:proofErr w:type="spellStart"/>
            <w:r w:rsidR="003849E4" w:rsidRPr="003849E4">
              <w:rPr>
                <w:rFonts w:ascii="Times New Roman" w:hAnsi="Times New Roman" w:cs="Times New Roman"/>
                <w:bCs/>
                <w:iCs/>
                <w:sz w:val="24"/>
                <w:szCs w:val="24"/>
              </w:rPr>
              <w:t>proliferācijas</w:t>
            </w:r>
            <w:proofErr w:type="spellEnd"/>
            <w:r w:rsidR="003849E4" w:rsidRPr="003849E4">
              <w:rPr>
                <w:rFonts w:ascii="Times New Roman" w:hAnsi="Times New Roman" w:cs="Times New Roman"/>
                <w:bCs/>
                <w:iCs/>
                <w:sz w:val="24"/>
                <w:szCs w:val="24"/>
              </w:rPr>
              <w:t xml:space="preserve"> finansēšanas riska pārvaldīšanas noteikumi"</w:t>
            </w:r>
            <w:r w:rsidR="003849E4">
              <w:rPr>
                <w:rFonts w:ascii="Times New Roman" w:hAnsi="Times New Roman" w:cs="Times New Roman"/>
                <w:bCs/>
                <w:iCs/>
                <w:sz w:val="24"/>
                <w:szCs w:val="24"/>
              </w:rPr>
              <w:t xml:space="preserve"> sabiedrības līdzdalības procesā</w:t>
            </w:r>
            <w:r>
              <w:rPr>
                <w:rFonts w:ascii="Times New Roman" w:hAnsi="Times New Roman" w:cs="Times New Roman"/>
                <w:bCs/>
                <w:iCs/>
                <w:sz w:val="24"/>
                <w:szCs w:val="24"/>
              </w:rPr>
              <w:t>.</w:t>
            </w:r>
          </w:p>
        </w:tc>
      </w:tr>
      <w:tr w:rsidR="005A6324" w:rsidRPr="004D0835" w14:paraId="76559F29" w14:textId="77777777" w:rsidTr="00176E33">
        <w:tc>
          <w:tcPr>
            <w:tcW w:w="0" w:type="auto"/>
            <w:tcBorders>
              <w:top w:val="single" w:sz="4" w:space="0" w:color="auto"/>
              <w:left w:val="single" w:sz="4" w:space="0" w:color="auto"/>
              <w:bottom w:val="single" w:sz="4" w:space="0" w:color="auto"/>
              <w:right w:val="single" w:sz="4" w:space="0" w:color="auto"/>
            </w:tcBorders>
          </w:tcPr>
          <w:p w14:paraId="7470BECD" w14:textId="70524F0F" w:rsidR="005A6324" w:rsidRPr="005A6324" w:rsidRDefault="00B95B99" w:rsidP="004D0835">
            <w:pPr>
              <w:spacing w:after="0" w:line="240" w:lineRule="auto"/>
              <w:rPr>
                <w:rFonts w:ascii="Times New Roman" w:hAnsi="Times New Roman" w:cs="Times New Roman"/>
                <w:bCs/>
                <w:sz w:val="24"/>
                <w:szCs w:val="24"/>
              </w:rPr>
            </w:pPr>
            <w:r>
              <w:rPr>
                <w:rFonts w:ascii="Times New Roman" w:hAnsi="Times New Roman" w:cs="Times New Roman"/>
                <w:bCs/>
                <w:sz w:val="24"/>
                <w:szCs w:val="24"/>
              </w:rPr>
              <w:lastRenderedPageBreak/>
              <w:t>2</w:t>
            </w:r>
            <w:r w:rsidR="005A6324" w:rsidRPr="005A6324">
              <w:rPr>
                <w:rFonts w:ascii="Times New Roman" w:hAnsi="Times New Roman" w:cs="Times New Roman"/>
                <w:bCs/>
                <w:sz w:val="24"/>
                <w:szCs w:val="24"/>
              </w:rPr>
              <w:t>.</w:t>
            </w:r>
          </w:p>
        </w:tc>
        <w:tc>
          <w:tcPr>
            <w:tcW w:w="4577" w:type="dxa"/>
            <w:tcBorders>
              <w:top w:val="single" w:sz="4" w:space="0" w:color="auto"/>
              <w:left w:val="single" w:sz="4" w:space="0" w:color="auto"/>
              <w:bottom w:val="single" w:sz="4" w:space="0" w:color="auto"/>
              <w:right w:val="single" w:sz="4" w:space="0" w:color="auto"/>
            </w:tcBorders>
            <w:shd w:val="clear" w:color="auto" w:fill="auto"/>
          </w:tcPr>
          <w:p w14:paraId="331C747A" w14:textId="77777777" w:rsidR="005A6324" w:rsidRDefault="00EF1BFD" w:rsidP="004D0835">
            <w:pPr>
              <w:spacing w:after="0" w:line="240" w:lineRule="auto"/>
              <w:rPr>
                <w:rFonts w:ascii="Times New Roman" w:hAnsi="Times New Roman" w:cs="Times New Roman"/>
                <w:bCs/>
                <w:sz w:val="24"/>
                <w:szCs w:val="24"/>
              </w:rPr>
            </w:pPr>
            <w:r w:rsidRPr="00EF1BFD">
              <w:rPr>
                <w:rFonts w:ascii="Times New Roman" w:hAnsi="Times New Roman" w:cs="Times New Roman"/>
                <w:bCs/>
                <w:sz w:val="24"/>
                <w:szCs w:val="24"/>
              </w:rPr>
              <w:t>39.1. identificēto interešu konflikta situāciju būtiskuma izvērtēšanu, ņemot vērā šo noteikumu 40. punktā minētos interešu konflikta situāciju kvantitatīvos un kvalitatīvos kritērijus, atbilstoši kuriem tās klasificējamas kā būtiskas interešu konflikta situācijas;</w:t>
            </w:r>
          </w:p>
          <w:p w14:paraId="2454BBD4" w14:textId="75CBD102" w:rsidR="00EF1BFD" w:rsidRPr="00EF1BFD" w:rsidRDefault="00EF1BFD" w:rsidP="004D0835">
            <w:pPr>
              <w:spacing w:after="0" w:line="240" w:lineRule="auto"/>
              <w:rPr>
                <w:rFonts w:ascii="Times New Roman" w:hAnsi="Times New Roman" w:cs="Times New Roman"/>
                <w:bCs/>
                <w:sz w:val="24"/>
                <w:szCs w:val="24"/>
              </w:rPr>
            </w:pPr>
            <w:r w:rsidRPr="00EF1BFD">
              <w:rPr>
                <w:rFonts w:ascii="Times New Roman" w:hAnsi="Times New Roman" w:cs="Times New Roman"/>
                <w:bCs/>
                <w:sz w:val="24"/>
                <w:szCs w:val="24"/>
              </w:rPr>
              <w:t>40. Iestāde, ņemot vērā šajos noteikumos minētos interešu konflikta situāciju pārvaldības principus un risku stratēģiju, nosaka interešu konflikta situācijas kvantitatīvos un kvalitatīvos kritērijus, atbilstoši kuriem tā klasificējama kā būtiska interešu konflikta situācija. Iestāde nosaka atbilstošu rīcību attiecībā uz interešu konflikta situācijām atkarībā no tā, vai tās ir klasificētas kā būtiskas vai nebūtiskas.</w:t>
            </w:r>
          </w:p>
        </w:tc>
        <w:tc>
          <w:tcPr>
            <w:tcW w:w="4694" w:type="dxa"/>
            <w:tcBorders>
              <w:top w:val="single" w:sz="4" w:space="0" w:color="auto"/>
              <w:left w:val="single" w:sz="4" w:space="0" w:color="auto"/>
              <w:bottom w:val="single" w:sz="4" w:space="0" w:color="auto"/>
              <w:right w:val="single" w:sz="4" w:space="0" w:color="auto"/>
            </w:tcBorders>
            <w:shd w:val="clear" w:color="auto" w:fill="auto"/>
          </w:tcPr>
          <w:p w14:paraId="3CC4551E" w14:textId="77777777" w:rsidR="005A6324" w:rsidRPr="00D13AD7" w:rsidRDefault="005A6324" w:rsidP="005A6324">
            <w:pPr>
              <w:spacing w:after="0" w:line="240" w:lineRule="auto"/>
              <w:rPr>
                <w:rFonts w:ascii="Times New Roman" w:hAnsi="Times New Roman" w:cs="Times New Roman"/>
                <w:sz w:val="24"/>
                <w:szCs w:val="24"/>
              </w:rPr>
            </w:pPr>
            <w:r w:rsidRPr="00D13AD7">
              <w:rPr>
                <w:rFonts w:ascii="Times New Roman" w:hAnsi="Times New Roman" w:cs="Times New Roman"/>
                <w:b/>
                <w:bCs/>
                <w:sz w:val="24"/>
                <w:szCs w:val="24"/>
              </w:rPr>
              <w:t xml:space="preserve">39.1.punkts - </w:t>
            </w:r>
            <w:r w:rsidRPr="00D13AD7">
              <w:rPr>
                <w:rFonts w:ascii="Times New Roman" w:hAnsi="Times New Roman" w:cs="Times New Roman"/>
                <w:sz w:val="24"/>
                <w:szCs w:val="24"/>
              </w:rPr>
              <w:t xml:space="preserve"> Identificēto interešu konflikta situāciju būtiskuma izvērtēšana – kvalitatīvie un kvantitatīvie kritēriji būtiskuma izvērtēšanai, kas pastāv tikai Latvijā un ir praksē grūti definējams:</w:t>
            </w:r>
          </w:p>
          <w:p w14:paraId="53024354" w14:textId="77777777" w:rsidR="005A6324" w:rsidRPr="00D13AD7" w:rsidRDefault="005A6324" w:rsidP="005A6324">
            <w:pPr>
              <w:spacing w:after="0" w:line="240" w:lineRule="auto"/>
              <w:rPr>
                <w:rFonts w:ascii="Times New Roman" w:hAnsi="Times New Roman" w:cs="Times New Roman"/>
                <w:sz w:val="24"/>
                <w:szCs w:val="24"/>
              </w:rPr>
            </w:pPr>
            <w:r w:rsidRPr="00D13AD7">
              <w:rPr>
                <w:rFonts w:ascii="Times New Roman" w:hAnsi="Times New Roman" w:cs="Times New Roman"/>
                <w:i/>
                <w:iCs/>
                <w:sz w:val="24"/>
                <w:szCs w:val="24"/>
              </w:rPr>
              <w:t xml:space="preserve">EBA GL </w:t>
            </w:r>
            <w:proofErr w:type="spellStart"/>
            <w:r w:rsidRPr="00D13AD7">
              <w:rPr>
                <w:rFonts w:ascii="Times New Roman" w:hAnsi="Times New Roman" w:cs="Times New Roman"/>
                <w:i/>
                <w:iCs/>
                <w:sz w:val="24"/>
                <w:szCs w:val="24"/>
              </w:rPr>
              <w:t>On</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Internal</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Governance</w:t>
            </w:r>
            <w:proofErr w:type="spellEnd"/>
            <w:r w:rsidRPr="00D13AD7">
              <w:rPr>
                <w:rFonts w:ascii="Times New Roman" w:hAnsi="Times New Roman" w:cs="Times New Roman"/>
                <w:sz w:val="24"/>
                <w:szCs w:val="24"/>
              </w:rPr>
              <w:t xml:space="preserve"> neparedz šādu kvantitatīvu kritēriju noteikšanu visu interešu konflikta situāciju būtiskuma izvērtēšanai, izņemot 124.punktā, kur “</w:t>
            </w:r>
            <w:proofErr w:type="spellStart"/>
            <w:r w:rsidRPr="00D13AD7">
              <w:rPr>
                <w:rFonts w:ascii="Times New Roman" w:hAnsi="Times New Roman" w:cs="Times New Roman"/>
                <w:i/>
                <w:iCs/>
                <w:sz w:val="24"/>
                <w:szCs w:val="24"/>
              </w:rPr>
              <w:t>As</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part</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of</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the</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conflicts</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of</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interest</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framework</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the</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management</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body</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should</w:t>
            </w:r>
            <w:proofErr w:type="spellEnd"/>
            <w:r w:rsidRPr="00D13AD7">
              <w:rPr>
                <w:rFonts w:ascii="Times New Roman" w:hAnsi="Times New Roman" w:cs="Times New Roman"/>
                <w:i/>
                <w:iCs/>
                <w:sz w:val="24"/>
                <w:szCs w:val="24"/>
              </w:rPr>
              <w:t xml:space="preserve"> set </w:t>
            </w:r>
            <w:proofErr w:type="spellStart"/>
            <w:r w:rsidRPr="00D13AD7">
              <w:rPr>
                <w:rFonts w:ascii="Times New Roman" w:hAnsi="Times New Roman" w:cs="Times New Roman"/>
                <w:b/>
                <w:bCs/>
                <w:i/>
                <w:iCs/>
                <w:sz w:val="24"/>
                <w:szCs w:val="24"/>
              </w:rPr>
              <w:t>appropriate</w:t>
            </w:r>
            <w:proofErr w:type="spellEnd"/>
            <w:r w:rsidRPr="00D13AD7">
              <w:rPr>
                <w:rFonts w:ascii="Times New Roman" w:hAnsi="Times New Roman" w:cs="Times New Roman"/>
                <w:b/>
                <w:bCs/>
                <w:i/>
                <w:iCs/>
                <w:sz w:val="24"/>
                <w:szCs w:val="24"/>
              </w:rPr>
              <w:t xml:space="preserve"> </w:t>
            </w:r>
            <w:proofErr w:type="spellStart"/>
            <w:r w:rsidRPr="00D13AD7">
              <w:rPr>
                <w:rFonts w:ascii="Times New Roman" w:hAnsi="Times New Roman" w:cs="Times New Roman"/>
                <w:b/>
                <w:bCs/>
                <w:i/>
                <w:iCs/>
                <w:sz w:val="24"/>
                <w:szCs w:val="24"/>
              </w:rPr>
              <w:t>thresholds</w:t>
            </w:r>
            <w:proofErr w:type="spellEnd"/>
            <w:r w:rsidRPr="00D13AD7">
              <w:rPr>
                <w:rFonts w:ascii="Times New Roman" w:hAnsi="Times New Roman" w:cs="Times New Roman"/>
                <w:b/>
                <w:bCs/>
                <w:i/>
                <w:iCs/>
                <w:sz w:val="24"/>
                <w:szCs w:val="24"/>
              </w:rPr>
              <w:t xml:space="preserve"> (</w:t>
            </w:r>
            <w:proofErr w:type="spellStart"/>
            <w:r w:rsidRPr="00D13AD7">
              <w:rPr>
                <w:rFonts w:ascii="Times New Roman" w:hAnsi="Times New Roman" w:cs="Times New Roman"/>
                <w:b/>
                <w:bCs/>
                <w:i/>
                <w:iCs/>
                <w:sz w:val="24"/>
                <w:szCs w:val="24"/>
              </w:rPr>
              <w:t>e.g</w:t>
            </w:r>
            <w:proofErr w:type="spellEnd"/>
            <w:r w:rsidRPr="00D13AD7">
              <w:rPr>
                <w:rFonts w:ascii="Times New Roman" w:hAnsi="Times New Roman" w:cs="Times New Roman"/>
                <w:b/>
                <w:bCs/>
                <w:i/>
                <w:iCs/>
                <w:sz w:val="24"/>
                <w:szCs w:val="24"/>
              </w:rPr>
              <w:t xml:space="preserve">. per </w:t>
            </w:r>
            <w:proofErr w:type="spellStart"/>
            <w:r w:rsidRPr="00D13AD7">
              <w:rPr>
                <w:rFonts w:ascii="Times New Roman" w:hAnsi="Times New Roman" w:cs="Times New Roman"/>
                <w:b/>
                <w:bCs/>
                <w:i/>
                <w:iCs/>
                <w:sz w:val="24"/>
                <w:szCs w:val="24"/>
              </w:rPr>
              <w:t>product</w:t>
            </w:r>
            <w:proofErr w:type="spellEnd"/>
            <w:r w:rsidRPr="00D13AD7">
              <w:rPr>
                <w:rFonts w:ascii="Times New Roman" w:hAnsi="Times New Roman" w:cs="Times New Roman"/>
                <w:b/>
                <w:bCs/>
                <w:i/>
                <w:iCs/>
                <w:sz w:val="24"/>
                <w:szCs w:val="24"/>
              </w:rPr>
              <w:t xml:space="preserve"> </w:t>
            </w:r>
            <w:proofErr w:type="spellStart"/>
            <w:r w:rsidRPr="00D13AD7">
              <w:rPr>
                <w:rFonts w:ascii="Times New Roman" w:hAnsi="Times New Roman" w:cs="Times New Roman"/>
                <w:b/>
                <w:bCs/>
                <w:i/>
                <w:iCs/>
                <w:sz w:val="24"/>
                <w:szCs w:val="24"/>
              </w:rPr>
              <w:t>type</w:t>
            </w:r>
            <w:proofErr w:type="spellEnd"/>
            <w:r w:rsidRPr="00D13AD7">
              <w:rPr>
                <w:rFonts w:ascii="Times New Roman" w:hAnsi="Times New Roman" w:cs="Times New Roman"/>
                <w:b/>
                <w:bCs/>
                <w:i/>
                <w:iCs/>
                <w:sz w:val="24"/>
                <w:szCs w:val="24"/>
              </w:rPr>
              <w:t xml:space="preserve">, </w:t>
            </w:r>
            <w:proofErr w:type="spellStart"/>
            <w:r w:rsidRPr="00D13AD7">
              <w:rPr>
                <w:rFonts w:ascii="Times New Roman" w:hAnsi="Times New Roman" w:cs="Times New Roman"/>
                <w:b/>
                <w:bCs/>
                <w:i/>
                <w:iCs/>
                <w:sz w:val="24"/>
                <w:szCs w:val="24"/>
              </w:rPr>
              <w:t>or</w:t>
            </w:r>
            <w:proofErr w:type="spellEnd"/>
            <w:r w:rsidRPr="00D13AD7">
              <w:rPr>
                <w:rFonts w:ascii="Times New Roman" w:hAnsi="Times New Roman" w:cs="Times New Roman"/>
                <w:b/>
                <w:bCs/>
                <w:i/>
                <w:iCs/>
                <w:sz w:val="24"/>
                <w:szCs w:val="24"/>
              </w:rPr>
              <w:t xml:space="preserve"> </w:t>
            </w:r>
            <w:proofErr w:type="spellStart"/>
            <w:r w:rsidRPr="00D13AD7">
              <w:rPr>
                <w:rFonts w:ascii="Times New Roman" w:hAnsi="Times New Roman" w:cs="Times New Roman"/>
                <w:b/>
                <w:bCs/>
                <w:i/>
                <w:iCs/>
                <w:sz w:val="24"/>
                <w:szCs w:val="24"/>
              </w:rPr>
              <w:t>depending</w:t>
            </w:r>
            <w:proofErr w:type="spellEnd"/>
            <w:r w:rsidRPr="00D13AD7">
              <w:rPr>
                <w:rFonts w:ascii="Times New Roman" w:hAnsi="Times New Roman" w:cs="Times New Roman"/>
                <w:b/>
                <w:bCs/>
                <w:i/>
                <w:iCs/>
                <w:sz w:val="24"/>
                <w:szCs w:val="24"/>
              </w:rPr>
              <w:t xml:space="preserve"> </w:t>
            </w:r>
            <w:proofErr w:type="spellStart"/>
            <w:r w:rsidRPr="00D13AD7">
              <w:rPr>
                <w:rFonts w:ascii="Times New Roman" w:hAnsi="Times New Roman" w:cs="Times New Roman"/>
                <w:b/>
                <w:bCs/>
                <w:i/>
                <w:iCs/>
                <w:sz w:val="24"/>
                <w:szCs w:val="24"/>
              </w:rPr>
              <w:t>on</w:t>
            </w:r>
            <w:proofErr w:type="spellEnd"/>
            <w:r w:rsidRPr="00D13AD7">
              <w:rPr>
                <w:rFonts w:ascii="Times New Roman" w:hAnsi="Times New Roman" w:cs="Times New Roman"/>
                <w:b/>
                <w:bCs/>
                <w:i/>
                <w:iCs/>
                <w:sz w:val="24"/>
                <w:szCs w:val="24"/>
              </w:rPr>
              <w:t xml:space="preserve"> </w:t>
            </w:r>
            <w:proofErr w:type="spellStart"/>
            <w:r w:rsidRPr="00D13AD7">
              <w:rPr>
                <w:rFonts w:ascii="Times New Roman" w:hAnsi="Times New Roman" w:cs="Times New Roman"/>
                <w:b/>
                <w:bCs/>
                <w:i/>
                <w:iCs/>
                <w:sz w:val="24"/>
                <w:szCs w:val="24"/>
              </w:rPr>
              <w:t>the</w:t>
            </w:r>
            <w:proofErr w:type="spellEnd"/>
            <w:r w:rsidRPr="00D13AD7">
              <w:rPr>
                <w:rFonts w:ascii="Times New Roman" w:hAnsi="Times New Roman" w:cs="Times New Roman"/>
                <w:b/>
                <w:bCs/>
                <w:i/>
                <w:iCs/>
                <w:sz w:val="24"/>
                <w:szCs w:val="24"/>
              </w:rPr>
              <w:t xml:space="preserve"> </w:t>
            </w:r>
            <w:proofErr w:type="spellStart"/>
            <w:r w:rsidRPr="00D13AD7">
              <w:rPr>
                <w:rFonts w:ascii="Times New Roman" w:hAnsi="Times New Roman" w:cs="Times New Roman"/>
                <w:b/>
                <w:bCs/>
                <w:i/>
                <w:iCs/>
                <w:sz w:val="24"/>
                <w:szCs w:val="24"/>
              </w:rPr>
              <w:t>conditions</w:t>
            </w:r>
            <w:proofErr w:type="spellEnd"/>
            <w:r w:rsidRPr="00D13AD7">
              <w:rPr>
                <w:rFonts w:ascii="Times New Roman" w:hAnsi="Times New Roman" w:cs="Times New Roman"/>
                <w:b/>
                <w:bCs/>
                <w:i/>
                <w:iCs/>
                <w:sz w:val="24"/>
                <w:szCs w:val="24"/>
              </w:rPr>
              <w:t xml:space="preserve">) </w:t>
            </w:r>
            <w:proofErr w:type="spellStart"/>
            <w:r w:rsidRPr="00D13AD7">
              <w:rPr>
                <w:rFonts w:ascii="Times New Roman" w:hAnsi="Times New Roman" w:cs="Times New Roman"/>
                <w:b/>
                <w:bCs/>
                <w:i/>
                <w:iCs/>
                <w:sz w:val="24"/>
                <w:szCs w:val="24"/>
              </w:rPr>
              <w:t>above</w:t>
            </w:r>
            <w:proofErr w:type="spellEnd"/>
            <w:r w:rsidRPr="00D13AD7">
              <w:rPr>
                <w:rFonts w:ascii="Times New Roman" w:hAnsi="Times New Roman" w:cs="Times New Roman"/>
                <w:b/>
                <w:bCs/>
                <w:i/>
                <w:iCs/>
                <w:sz w:val="24"/>
                <w:szCs w:val="24"/>
              </w:rPr>
              <w:t xml:space="preserve"> </w:t>
            </w:r>
            <w:proofErr w:type="spellStart"/>
            <w:r w:rsidRPr="00D13AD7">
              <w:rPr>
                <w:rFonts w:ascii="Times New Roman" w:hAnsi="Times New Roman" w:cs="Times New Roman"/>
                <w:b/>
                <w:bCs/>
                <w:i/>
                <w:iCs/>
                <w:sz w:val="24"/>
                <w:szCs w:val="24"/>
              </w:rPr>
              <w:t>which</w:t>
            </w:r>
            <w:proofErr w:type="spellEnd"/>
            <w:r w:rsidRPr="00D13AD7">
              <w:rPr>
                <w:rFonts w:ascii="Times New Roman" w:hAnsi="Times New Roman" w:cs="Times New Roman"/>
                <w:b/>
                <w:bCs/>
                <w:i/>
                <w:iCs/>
                <w:sz w:val="24"/>
                <w:szCs w:val="24"/>
              </w:rPr>
              <w:t xml:space="preserve"> </w:t>
            </w:r>
            <w:proofErr w:type="spellStart"/>
            <w:r w:rsidRPr="00D13AD7">
              <w:rPr>
                <w:rFonts w:ascii="Times New Roman" w:hAnsi="Times New Roman" w:cs="Times New Roman"/>
                <w:b/>
                <w:bCs/>
                <w:i/>
                <w:iCs/>
                <w:sz w:val="24"/>
                <w:szCs w:val="24"/>
              </w:rPr>
              <w:t>the</w:t>
            </w:r>
            <w:proofErr w:type="spellEnd"/>
            <w:r w:rsidRPr="00D13AD7">
              <w:rPr>
                <w:rFonts w:ascii="Times New Roman" w:hAnsi="Times New Roman" w:cs="Times New Roman"/>
                <w:b/>
                <w:bCs/>
                <w:i/>
                <w:iCs/>
                <w:sz w:val="24"/>
                <w:szCs w:val="24"/>
              </w:rPr>
              <w:t xml:space="preserve"> </w:t>
            </w:r>
            <w:proofErr w:type="spellStart"/>
            <w:r w:rsidRPr="00D13AD7">
              <w:rPr>
                <w:rFonts w:ascii="Times New Roman" w:hAnsi="Times New Roman" w:cs="Times New Roman"/>
                <w:b/>
                <w:bCs/>
                <w:i/>
                <w:iCs/>
                <w:sz w:val="24"/>
                <w:szCs w:val="24"/>
              </w:rPr>
              <w:t>loan</w:t>
            </w:r>
            <w:proofErr w:type="spellEnd"/>
            <w:r w:rsidRPr="00D13AD7">
              <w:rPr>
                <w:rFonts w:ascii="Times New Roman" w:hAnsi="Times New Roman" w:cs="Times New Roman"/>
                <w:b/>
                <w:bCs/>
                <w:i/>
                <w:iCs/>
                <w:sz w:val="24"/>
                <w:szCs w:val="24"/>
              </w:rPr>
              <w:t xml:space="preserve"> </w:t>
            </w:r>
            <w:proofErr w:type="spellStart"/>
            <w:r w:rsidRPr="00D13AD7">
              <w:rPr>
                <w:rFonts w:ascii="Times New Roman" w:hAnsi="Times New Roman" w:cs="Times New Roman"/>
                <w:b/>
                <w:bCs/>
                <w:i/>
                <w:iCs/>
                <w:sz w:val="24"/>
                <w:szCs w:val="24"/>
              </w:rPr>
              <w:t>or</w:t>
            </w:r>
            <w:proofErr w:type="spellEnd"/>
            <w:r w:rsidRPr="00D13AD7">
              <w:rPr>
                <w:rFonts w:ascii="Times New Roman" w:hAnsi="Times New Roman" w:cs="Times New Roman"/>
                <w:b/>
                <w:bCs/>
                <w:i/>
                <w:iCs/>
                <w:sz w:val="24"/>
                <w:szCs w:val="24"/>
              </w:rPr>
              <w:t xml:space="preserve"> </w:t>
            </w:r>
            <w:proofErr w:type="spellStart"/>
            <w:r w:rsidRPr="00D13AD7">
              <w:rPr>
                <w:rFonts w:ascii="Times New Roman" w:hAnsi="Times New Roman" w:cs="Times New Roman"/>
                <w:b/>
                <w:bCs/>
                <w:i/>
                <w:iCs/>
                <w:sz w:val="24"/>
                <w:szCs w:val="24"/>
              </w:rPr>
              <w:t>other</w:t>
            </w:r>
            <w:proofErr w:type="spellEnd"/>
            <w:r w:rsidRPr="00D13AD7">
              <w:rPr>
                <w:rFonts w:ascii="Times New Roman" w:hAnsi="Times New Roman" w:cs="Times New Roman"/>
                <w:b/>
                <w:bCs/>
                <w:i/>
                <w:iCs/>
                <w:sz w:val="24"/>
                <w:szCs w:val="24"/>
              </w:rPr>
              <w:t xml:space="preserve"> </w:t>
            </w:r>
            <w:proofErr w:type="spellStart"/>
            <w:r w:rsidRPr="00D13AD7">
              <w:rPr>
                <w:rFonts w:ascii="Times New Roman" w:hAnsi="Times New Roman" w:cs="Times New Roman"/>
                <w:b/>
                <w:bCs/>
                <w:i/>
                <w:iCs/>
                <w:sz w:val="24"/>
                <w:szCs w:val="24"/>
              </w:rPr>
              <w:t>transaction</w:t>
            </w:r>
            <w:proofErr w:type="spellEnd"/>
            <w:r w:rsidRPr="00D13AD7">
              <w:rPr>
                <w:rFonts w:ascii="Times New Roman" w:hAnsi="Times New Roman" w:cs="Times New Roman"/>
                <w:b/>
                <w:bCs/>
                <w:i/>
                <w:iCs/>
                <w:sz w:val="24"/>
                <w:szCs w:val="24"/>
              </w:rPr>
              <w:t xml:space="preserve"> </w:t>
            </w:r>
            <w:proofErr w:type="spellStart"/>
            <w:r w:rsidRPr="00D13AD7">
              <w:rPr>
                <w:rFonts w:ascii="Times New Roman" w:hAnsi="Times New Roman" w:cs="Times New Roman"/>
                <w:b/>
                <w:bCs/>
                <w:i/>
                <w:iCs/>
                <w:sz w:val="24"/>
                <w:szCs w:val="24"/>
              </w:rPr>
              <w:t>with</w:t>
            </w:r>
            <w:proofErr w:type="spellEnd"/>
            <w:r w:rsidRPr="00D13AD7">
              <w:rPr>
                <w:rFonts w:ascii="Times New Roman" w:hAnsi="Times New Roman" w:cs="Times New Roman"/>
                <w:b/>
                <w:bCs/>
                <w:i/>
                <w:iCs/>
                <w:sz w:val="24"/>
                <w:szCs w:val="24"/>
              </w:rPr>
              <w:t xml:space="preserve"> a </w:t>
            </w:r>
            <w:proofErr w:type="spellStart"/>
            <w:r w:rsidRPr="00D13AD7">
              <w:rPr>
                <w:rFonts w:ascii="Times New Roman" w:hAnsi="Times New Roman" w:cs="Times New Roman"/>
                <w:b/>
                <w:bCs/>
                <w:i/>
                <w:iCs/>
                <w:sz w:val="24"/>
                <w:szCs w:val="24"/>
              </w:rPr>
              <w:t>member</w:t>
            </w:r>
            <w:proofErr w:type="spellEnd"/>
            <w:r w:rsidRPr="00D13AD7">
              <w:rPr>
                <w:rFonts w:ascii="Times New Roman" w:hAnsi="Times New Roman" w:cs="Times New Roman"/>
                <w:b/>
                <w:bCs/>
                <w:i/>
                <w:iCs/>
                <w:sz w:val="24"/>
                <w:szCs w:val="24"/>
              </w:rPr>
              <w:t xml:space="preserve"> </w:t>
            </w:r>
            <w:proofErr w:type="spellStart"/>
            <w:r w:rsidRPr="00D13AD7">
              <w:rPr>
                <w:rFonts w:ascii="Times New Roman" w:hAnsi="Times New Roman" w:cs="Times New Roman"/>
                <w:b/>
                <w:bCs/>
                <w:i/>
                <w:iCs/>
                <w:sz w:val="24"/>
                <w:szCs w:val="24"/>
              </w:rPr>
              <w:t>of</w:t>
            </w:r>
            <w:proofErr w:type="spellEnd"/>
            <w:r w:rsidRPr="00D13AD7">
              <w:rPr>
                <w:rFonts w:ascii="Times New Roman" w:hAnsi="Times New Roman" w:cs="Times New Roman"/>
                <w:b/>
                <w:bCs/>
                <w:i/>
                <w:iCs/>
                <w:sz w:val="24"/>
                <w:szCs w:val="24"/>
              </w:rPr>
              <w:t xml:space="preserve"> </w:t>
            </w:r>
            <w:proofErr w:type="spellStart"/>
            <w:r w:rsidRPr="00D13AD7">
              <w:rPr>
                <w:rFonts w:ascii="Times New Roman" w:hAnsi="Times New Roman" w:cs="Times New Roman"/>
                <w:b/>
                <w:bCs/>
                <w:i/>
                <w:iCs/>
                <w:sz w:val="24"/>
                <w:szCs w:val="24"/>
              </w:rPr>
              <w:t>the</w:t>
            </w:r>
            <w:proofErr w:type="spellEnd"/>
            <w:r w:rsidRPr="00D13AD7">
              <w:rPr>
                <w:rFonts w:ascii="Times New Roman" w:hAnsi="Times New Roman" w:cs="Times New Roman"/>
                <w:b/>
                <w:bCs/>
                <w:i/>
                <w:iCs/>
                <w:sz w:val="24"/>
                <w:szCs w:val="24"/>
              </w:rPr>
              <w:t xml:space="preserve"> </w:t>
            </w:r>
            <w:proofErr w:type="spellStart"/>
            <w:r w:rsidRPr="00D13AD7">
              <w:rPr>
                <w:rFonts w:ascii="Times New Roman" w:hAnsi="Times New Roman" w:cs="Times New Roman"/>
                <w:b/>
                <w:bCs/>
                <w:i/>
                <w:iCs/>
                <w:sz w:val="24"/>
                <w:szCs w:val="24"/>
              </w:rPr>
              <w:t>management</w:t>
            </w:r>
            <w:proofErr w:type="spellEnd"/>
            <w:r w:rsidRPr="00D13AD7">
              <w:rPr>
                <w:rFonts w:ascii="Times New Roman" w:hAnsi="Times New Roman" w:cs="Times New Roman"/>
                <w:b/>
                <w:bCs/>
                <w:i/>
                <w:iCs/>
                <w:sz w:val="24"/>
                <w:szCs w:val="24"/>
              </w:rPr>
              <w:t xml:space="preserve"> </w:t>
            </w:r>
            <w:proofErr w:type="spellStart"/>
            <w:r w:rsidRPr="00D13AD7">
              <w:rPr>
                <w:rFonts w:ascii="Times New Roman" w:hAnsi="Times New Roman" w:cs="Times New Roman"/>
                <w:b/>
                <w:bCs/>
                <w:i/>
                <w:iCs/>
                <w:sz w:val="24"/>
                <w:szCs w:val="24"/>
              </w:rPr>
              <w:t>body</w:t>
            </w:r>
            <w:proofErr w:type="spellEnd"/>
            <w:r w:rsidRPr="00D13AD7">
              <w:rPr>
                <w:rFonts w:ascii="Times New Roman" w:hAnsi="Times New Roman" w:cs="Times New Roman"/>
                <w:b/>
                <w:bCs/>
                <w:i/>
                <w:iCs/>
                <w:sz w:val="24"/>
                <w:szCs w:val="24"/>
              </w:rPr>
              <w:t xml:space="preserve"> </w:t>
            </w:r>
            <w:proofErr w:type="spellStart"/>
            <w:r w:rsidRPr="00D13AD7">
              <w:rPr>
                <w:rFonts w:ascii="Times New Roman" w:hAnsi="Times New Roman" w:cs="Times New Roman"/>
                <w:b/>
                <w:bCs/>
                <w:i/>
                <w:iCs/>
                <w:sz w:val="24"/>
                <w:szCs w:val="24"/>
              </w:rPr>
              <w:t>or</w:t>
            </w:r>
            <w:proofErr w:type="spellEnd"/>
            <w:r w:rsidRPr="00D13AD7">
              <w:rPr>
                <w:rFonts w:ascii="Times New Roman" w:hAnsi="Times New Roman" w:cs="Times New Roman"/>
                <w:b/>
                <w:bCs/>
                <w:i/>
                <w:iCs/>
                <w:sz w:val="24"/>
                <w:szCs w:val="24"/>
              </w:rPr>
              <w:t xml:space="preserve"> </w:t>
            </w:r>
            <w:proofErr w:type="spellStart"/>
            <w:r w:rsidRPr="00D13AD7">
              <w:rPr>
                <w:rFonts w:ascii="Times New Roman" w:hAnsi="Times New Roman" w:cs="Times New Roman"/>
                <w:b/>
                <w:bCs/>
                <w:i/>
                <w:iCs/>
                <w:sz w:val="24"/>
                <w:szCs w:val="24"/>
              </w:rPr>
              <w:t>its</w:t>
            </w:r>
            <w:proofErr w:type="spellEnd"/>
            <w:r w:rsidRPr="00D13AD7">
              <w:rPr>
                <w:rFonts w:ascii="Times New Roman" w:hAnsi="Times New Roman" w:cs="Times New Roman"/>
                <w:b/>
                <w:bCs/>
                <w:i/>
                <w:iCs/>
                <w:sz w:val="24"/>
                <w:szCs w:val="24"/>
              </w:rPr>
              <w:t xml:space="preserve"> </w:t>
            </w:r>
            <w:proofErr w:type="spellStart"/>
            <w:r w:rsidRPr="00D13AD7">
              <w:rPr>
                <w:rFonts w:ascii="Times New Roman" w:hAnsi="Times New Roman" w:cs="Times New Roman"/>
                <w:b/>
                <w:bCs/>
                <w:i/>
                <w:iCs/>
                <w:sz w:val="24"/>
                <w:szCs w:val="24"/>
              </w:rPr>
              <w:t>related</w:t>
            </w:r>
            <w:proofErr w:type="spellEnd"/>
            <w:r w:rsidRPr="00D13AD7">
              <w:rPr>
                <w:rFonts w:ascii="Times New Roman" w:hAnsi="Times New Roman" w:cs="Times New Roman"/>
                <w:b/>
                <w:bCs/>
                <w:i/>
                <w:iCs/>
                <w:sz w:val="24"/>
                <w:szCs w:val="24"/>
              </w:rPr>
              <w:t xml:space="preserve"> </w:t>
            </w:r>
            <w:proofErr w:type="spellStart"/>
            <w:r w:rsidRPr="00D13AD7">
              <w:rPr>
                <w:rFonts w:ascii="Times New Roman" w:hAnsi="Times New Roman" w:cs="Times New Roman"/>
                <w:b/>
                <w:bCs/>
                <w:i/>
                <w:iCs/>
                <w:sz w:val="24"/>
                <w:szCs w:val="24"/>
              </w:rPr>
              <w:t>parties</w:t>
            </w:r>
            <w:proofErr w:type="spellEnd"/>
            <w:r w:rsidRPr="00D13AD7">
              <w:rPr>
                <w:rFonts w:ascii="Times New Roman" w:hAnsi="Times New Roman" w:cs="Times New Roman"/>
                <w:b/>
                <w:bCs/>
                <w:i/>
                <w:iCs/>
                <w:sz w:val="24"/>
                <w:szCs w:val="24"/>
              </w:rPr>
              <w:t xml:space="preserve"> </w:t>
            </w:r>
            <w:proofErr w:type="spellStart"/>
            <w:r w:rsidRPr="00D13AD7">
              <w:rPr>
                <w:rFonts w:ascii="Times New Roman" w:hAnsi="Times New Roman" w:cs="Times New Roman"/>
                <w:b/>
                <w:bCs/>
                <w:i/>
                <w:iCs/>
                <w:sz w:val="24"/>
                <w:szCs w:val="24"/>
              </w:rPr>
              <w:t>always</w:t>
            </w:r>
            <w:proofErr w:type="spellEnd"/>
            <w:r w:rsidRPr="00D13AD7">
              <w:rPr>
                <w:rFonts w:ascii="Times New Roman" w:hAnsi="Times New Roman" w:cs="Times New Roman"/>
                <w:b/>
                <w:bCs/>
                <w:i/>
                <w:iCs/>
                <w:sz w:val="24"/>
                <w:szCs w:val="24"/>
              </w:rPr>
              <w:t xml:space="preserve"> </w:t>
            </w:r>
            <w:proofErr w:type="spellStart"/>
            <w:r w:rsidRPr="00D13AD7">
              <w:rPr>
                <w:rFonts w:ascii="Times New Roman" w:hAnsi="Times New Roman" w:cs="Times New Roman"/>
                <w:b/>
                <w:bCs/>
                <w:i/>
                <w:iCs/>
                <w:sz w:val="24"/>
                <w:szCs w:val="24"/>
              </w:rPr>
              <w:t>requires</w:t>
            </w:r>
            <w:proofErr w:type="spellEnd"/>
            <w:r w:rsidRPr="00D13AD7">
              <w:rPr>
                <w:rFonts w:ascii="Times New Roman" w:hAnsi="Times New Roman" w:cs="Times New Roman"/>
                <w:b/>
                <w:bCs/>
                <w:i/>
                <w:iCs/>
                <w:sz w:val="24"/>
                <w:szCs w:val="24"/>
              </w:rPr>
              <w:t xml:space="preserve"> </w:t>
            </w:r>
            <w:proofErr w:type="spellStart"/>
            <w:r w:rsidRPr="00D13AD7">
              <w:rPr>
                <w:rFonts w:ascii="Times New Roman" w:hAnsi="Times New Roman" w:cs="Times New Roman"/>
                <w:b/>
                <w:bCs/>
                <w:i/>
                <w:iCs/>
                <w:sz w:val="24"/>
                <w:szCs w:val="24"/>
              </w:rPr>
              <w:t>the</w:t>
            </w:r>
            <w:proofErr w:type="spellEnd"/>
            <w:r w:rsidRPr="00D13AD7">
              <w:rPr>
                <w:rFonts w:ascii="Times New Roman" w:hAnsi="Times New Roman" w:cs="Times New Roman"/>
                <w:b/>
                <w:bCs/>
                <w:i/>
                <w:iCs/>
                <w:sz w:val="24"/>
                <w:szCs w:val="24"/>
              </w:rPr>
              <w:t xml:space="preserve"> </w:t>
            </w:r>
            <w:proofErr w:type="spellStart"/>
            <w:r w:rsidRPr="00D13AD7">
              <w:rPr>
                <w:rFonts w:ascii="Times New Roman" w:hAnsi="Times New Roman" w:cs="Times New Roman"/>
                <w:b/>
                <w:bCs/>
                <w:i/>
                <w:iCs/>
                <w:sz w:val="24"/>
                <w:szCs w:val="24"/>
              </w:rPr>
              <w:t>approval</w:t>
            </w:r>
            <w:proofErr w:type="spellEnd"/>
            <w:r w:rsidRPr="00D13AD7">
              <w:rPr>
                <w:rFonts w:ascii="Times New Roman" w:hAnsi="Times New Roman" w:cs="Times New Roman"/>
                <w:b/>
                <w:bCs/>
                <w:i/>
                <w:iCs/>
                <w:sz w:val="24"/>
                <w:szCs w:val="24"/>
              </w:rPr>
              <w:t xml:space="preserve"> </w:t>
            </w:r>
            <w:proofErr w:type="spellStart"/>
            <w:r w:rsidRPr="00D13AD7">
              <w:rPr>
                <w:rFonts w:ascii="Times New Roman" w:hAnsi="Times New Roman" w:cs="Times New Roman"/>
                <w:b/>
                <w:bCs/>
                <w:i/>
                <w:iCs/>
                <w:sz w:val="24"/>
                <w:szCs w:val="24"/>
              </w:rPr>
              <w:t>by</w:t>
            </w:r>
            <w:proofErr w:type="spellEnd"/>
            <w:r w:rsidRPr="00D13AD7">
              <w:rPr>
                <w:rFonts w:ascii="Times New Roman" w:hAnsi="Times New Roman" w:cs="Times New Roman"/>
                <w:b/>
                <w:bCs/>
                <w:i/>
                <w:iCs/>
                <w:sz w:val="24"/>
                <w:szCs w:val="24"/>
              </w:rPr>
              <w:t xml:space="preserve"> </w:t>
            </w:r>
            <w:proofErr w:type="spellStart"/>
            <w:r w:rsidRPr="00D13AD7">
              <w:rPr>
                <w:rFonts w:ascii="Times New Roman" w:hAnsi="Times New Roman" w:cs="Times New Roman"/>
                <w:b/>
                <w:bCs/>
                <w:i/>
                <w:iCs/>
                <w:sz w:val="24"/>
                <w:szCs w:val="24"/>
              </w:rPr>
              <w:t>the</w:t>
            </w:r>
            <w:proofErr w:type="spellEnd"/>
            <w:r w:rsidRPr="00D13AD7">
              <w:rPr>
                <w:rFonts w:ascii="Times New Roman" w:hAnsi="Times New Roman" w:cs="Times New Roman"/>
                <w:b/>
                <w:bCs/>
                <w:i/>
                <w:iCs/>
                <w:sz w:val="24"/>
                <w:szCs w:val="24"/>
              </w:rPr>
              <w:t xml:space="preserve"> </w:t>
            </w:r>
            <w:proofErr w:type="spellStart"/>
            <w:r w:rsidRPr="00D13AD7">
              <w:rPr>
                <w:rFonts w:ascii="Times New Roman" w:hAnsi="Times New Roman" w:cs="Times New Roman"/>
                <w:b/>
                <w:bCs/>
                <w:i/>
                <w:iCs/>
                <w:sz w:val="24"/>
                <w:szCs w:val="24"/>
              </w:rPr>
              <w:t>management</w:t>
            </w:r>
            <w:proofErr w:type="spellEnd"/>
            <w:r w:rsidRPr="00D13AD7">
              <w:rPr>
                <w:rFonts w:ascii="Times New Roman" w:hAnsi="Times New Roman" w:cs="Times New Roman"/>
                <w:b/>
                <w:bCs/>
                <w:i/>
                <w:iCs/>
                <w:sz w:val="24"/>
                <w:szCs w:val="24"/>
              </w:rPr>
              <w:t xml:space="preserve"> </w:t>
            </w:r>
            <w:proofErr w:type="spellStart"/>
            <w:r w:rsidRPr="00D13AD7">
              <w:rPr>
                <w:rFonts w:ascii="Times New Roman" w:hAnsi="Times New Roman" w:cs="Times New Roman"/>
                <w:b/>
                <w:bCs/>
                <w:i/>
                <w:iCs/>
                <w:sz w:val="24"/>
                <w:szCs w:val="24"/>
              </w:rPr>
              <w:t>body</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Decisions</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on</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material</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loans</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or</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other</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material</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transactions</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with</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members</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of</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the</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management</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body</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that</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are</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not</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being</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concluded</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under</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normal</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market</w:t>
            </w:r>
            <w:proofErr w:type="spellEnd"/>
            <w:r w:rsidRPr="00D13AD7">
              <w:rPr>
                <w:rFonts w:ascii="Times New Roman" w:hAnsi="Times New Roman" w:cs="Times New Roman"/>
                <w:i/>
                <w:iCs/>
                <w:sz w:val="24"/>
                <w:szCs w:val="24"/>
              </w:rPr>
              <w:t xml:space="preserve"> terms, </w:t>
            </w:r>
            <w:proofErr w:type="spellStart"/>
            <w:r w:rsidRPr="00D13AD7">
              <w:rPr>
                <w:rFonts w:ascii="Times New Roman" w:hAnsi="Times New Roman" w:cs="Times New Roman"/>
                <w:i/>
                <w:iCs/>
                <w:sz w:val="24"/>
                <w:szCs w:val="24"/>
              </w:rPr>
              <w:t>but</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on</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conditions</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available</w:t>
            </w:r>
            <w:proofErr w:type="spellEnd"/>
            <w:r w:rsidRPr="00D13AD7">
              <w:rPr>
                <w:rFonts w:ascii="Times New Roman" w:hAnsi="Times New Roman" w:cs="Times New Roman"/>
                <w:i/>
                <w:iCs/>
                <w:sz w:val="24"/>
                <w:szCs w:val="24"/>
              </w:rPr>
              <w:t xml:space="preserve"> to </w:t>
            </w:r>
            <w:proofErr w:type="spellStart"/>
            <w:r w:rsidRPr="00D13AD7">
              <w:rPr>
                <w:rFonts w:ascii="Times New Roman" w:hAnsi="Times New Roman" w:cs="Times New Roman"/>
                <w:i/>
                <w:iCs/>
                <w:sz w:val="24"/>
                <w:szCs w:val="24"/>
              </w:rPr>
              <w:t>all</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staff</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should</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always</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be</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made</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by</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the</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management</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body</w:t>
            </w:r>
            <w:proofErr w:type="spellEnd"/>
            <w:r w:rsidRPr="00D13AD7">
              <w:rPr>
                <w:rFonts w:ascii="Times New Roman" w:hAnsi="Times New Roman" w:cs="Times New Roman"/>
                <w:i/>
                <w:iCs/>
                <w:sz w:val="24"/>
                <w:szCs w:val="24"/>
              </w:rPr>
              <w:t>.</w:t>
            </w:r>
            <w:r w:rsidRPr="00D13AD7">
              <w:rPr>
                <w:rFonts w:ascii="Times New Roman" w:hAnsi="Times New Roman" w:cs="Times New Roman"/>
                <w:sz w:val="24"/>
                <w:szCs w:val="24"/>
              </w:rPr>
              <w:t xml:space="preserve">” Attiecīgi sagaida kvantitatīvu robežu noteikšanu </w:t>
            </w:r>
            <w:r w:rsidRPr="00D13AD7">
              <w:rPr>
                <w:rFonts w:ascii="Times New Roman" w:hAnsi="Times New Roman" w:cs="Times New Roman"/>
                <w:b/>
                <w:bCs/>
                <w:sz w:val="24"/>
                <w:szCs w:val="24"/>
              </w:rPr>
              <w:t xml:space="preserve">tikai specifiski aizdevumiem vai citiem darījumiem </w:t>
            </w:r>
            <w:r w:rsidRPr="00D13AD7">
              <w:rPr>
                <w:rFonts w:ascii="Times New Roman" w:hAnsi="Times New Roman" w:cs="Times New Roman"/>
                <w:sz w:val="24"/>
                <w:szCs w:val="24"/>
              </w:rPr>
              <w:t xml:space="preserve">ar iestādes vadību, personām, kas saistītas ar iestādes vadību. </w:t>
            </w:r>
          </w:p>
          <w:p w14:paraId="18DDC8C8" w14:textId="77777777" w:rsidR="005A6324" w:rsidRPr="00D13AD7" w:rsidRDefault="005A6324" w:rsidP="005A6324">
            <w:pPr>
              <w:spacing w:after="0" w:line="240" w:lineRule="auto"/>
              <w:rPr>
                <w:rFonts w:ascii="Times New Roman" w:hAnsi="Times New Roman" w:cs="Times New Roman"/>
                <w:sz w:val="24"/>
                <w:szCs w:val="24"/>
              </w:rPr>
            </w:pPr>
          </w:p>
          <w:p w14:paraId="61B68982" w14:textId="2AD15E3A" w:rsidR="005A6324" w:rsidRPr="00B95B99" w:rsidRDefault="005A6324" w:rsidP="004D0835">
            <w:pPr>
              <w:spacing w:after="0" w:line="240" w:lineRule="auto"/>
              <w:rPr>
                <w:rFonts w:ascii="Times New Roman" w:hAnsi="Times New Roman" w:cs="Times New Roman"/>
                <w:sz w:val="24"/>
                <w:szCs w:val="24"/>
              </w:rPr>
            </w:pPr>
            <w:r w:rsidRPr="00D13AD7">
              <w:rPr>
                <w:rFonts w:ascii="Times New Roman" w:hAnsi="Times New Roman" w:cs="Times New Roman"/>
                <w:sz w:val="24"/>
                <w:szCs w:val="24"/>
              </w:rPr>
              <w:t xml:space="preserve">Aicinām apsvērt pielāgot noteikumu projekta tekstu atbilstoši EBA GL (39.1 un citos punktos 40., 41. ) vai pielāgot tekstu: “identificēto interešu konflikta situāciju būtiskuma izvērtēšanu, ņemot vērā šo noteikumu 40. punktā minētos interešu konflikta situāciju </w:t>
            </w:r>
            <w:r w:rsidRPr="00D13AD7">
              <w:rPr>
                <w:rFonts w:ascii="Times New Roman" w:hAnsi="Times New Roman" w:cs="Times New Roman"/>
                <w:b/>
                <w:bCs/>
                <w:sz w:val="24"/>
                <w:szCs w:val="24"/>
              </w:rPr>
              <w:t>kvalitatīvos un, kur iespējams noteikt, arī</w:t>
            </w:r>
            <w:r w:rsidRPr="00D13AD7">
              <w:rPr>
                <w:rFonts w:ascii="Times New Roman" w:hAnsi="Times New Roman" w:cs="Times New Roman"/>
                <w:sz w:val="24"/>
                <w:szCs w:val="24"/>
              </w:rPr>
              <w:t xml:space="preserve"> kvantitatīvos kritērijus, atbilstoši kuriem tās klasificējamas kā būtiskas interešu konflikta situācijas”.</w:t>
            </w:r>
          </w:p>
        </w:tc>
        <w:tc>
          <w:tcPr>
            <w:tcW w:w="4662" w:type="dxa"/>
            <w:tcBorders>
              <w:top w:val="single" w:sz="4" w:space="0" w:color="auto"/>
              <w:left w:val="single" w:sz="4" w:space="0" w:color="auto"/>
              <w:bottom w:val="single" w:sz="4" w:space="0" w:color="auto"/>
              <w:right w:val="single" w:sz="4" w:space="0" w:color="auto"/>
            </w:tcBorders>
            <w:shd w:val="clear" w:color="auto" w:fill="auto"/>
          </w:tcPr>
          <w:p w14:paraId="4DF1DC54" w14:textId="77777777" w:rsidR="00BC56B2" w:rsidRDefault="00BC56B2" w:rsidP="004D0835">
            <w:pPr>
              <w:spacing w:after="0" w:line="240" w:lineRule="auto"/>
              <w:rPr>
                <w:rFonts w:ascii="Times New Roman" w:hAnsi="Times New Roman" w:cs="Times New Roman"/>
                <w:b/>
                <w:iCs/>
                <w:sz w:val="24"/>
                <w:szCs w:val="24"/>
              </w:rPr>
            </w:pPr>
            <w:r>
              <w:rPr>
                <w:rFonts w:ascii="Times New Roman" w:hAnsi="Times New Roman" w:cs="Times New Roman"/>
                <w:b/>
                <w:iCs/>
                <w:sz w:val="24"/>
                <w:szCs w:val="24"/>
              </w:rPr>
              <w:lastRenderedPageBreak/>
              <w:t>Ņemts vērā.</w:t>
            </w:r>
          </w:p>
          <w:p w14:paraId="5DB177D8" w14:textId="51C1ED47" w:rsidR="00CF7434" w:rsidRDefault="00BE5F45" w:rsidP="004D0835">
            <w:pPr>
              <w:spacing w:after="0" w:line="240" w:lineRule="auto"/>
              <w:rPr>
                <w:rFonts w:ascii="Times New Roman" w:hAnsi="Times New Roman" w:cs="Times New Roman"/>
                <w:b/>
                <w:iCs/>
                <w:sz w:val="24"/>
                <w:szCs w:val="24"/>
              </w:rPr>
            </w:pPr>
            <w:r>
              <w:rPr>
                <w:rFonts w:ascii="Times New Roman" w:hAnsi="Times New Roman" w:cs="Times New Roman"/>
                <w:b/>
                <w:iCs/>
                <w:sz w:val="24"/>
                <w:szCs w:val="24"/>
              </w:rPr>
              <w:t>P</w:t>
            </w:r>
            <w:r w:rsidR="001D00BB">
              <w:rPr>
                <w:rFonts w:ascii="Times New Roman" w:hAnsi="Times New Roman" w:cs="Times New Roman"/>
                <w:b/>
                <w:iCs/>
                <w:sz w:val="24"/>
                <w:szCs w:val="24"/>
              </w:rPr>
              <w:t>recizē</w:t>
            </w:r>
            <w:r>
              <w:rPr>
                <w:rFonts w:ascii="Times New Roman" w:hAnsi="Times New Roman" w:cs="Times New Roman"/>
                <w:b/>
                <w:iCs/>
                <w:sz w:val="24"/>
                <w:szCs w:val="24"/>
              </w:rPr>
              <w:t>t</w:t>
            </w:r>
            <w:r w:rsidR="00CF7434">
              <w:rPr>
                <w:rFonts w:ascii="Times New Roman" w:hAnsi="Times New Roman" w:cs="Times New Roman"/>
                <w:b/>
                <w:iCs/>
                <w:sz w:val="24"/>
                <w:szCs w:val="24"/>
              </w:rPr>
              <w:t>a redakcija</w:t>
            </w:r>
            <w:r w:rsidR="00BC56B2">
              <w:rPr>
                <w:rFonts w:ascii="Times New Roman" w:hAnsi="Times New Roman" w:cs="Times New Roman"/>
                <w:b/>
                <w:iCs/>
                <w:sz w:val="24"/>
                <w:szCs w:val="24"/>
              </w:rPr>
              <w:t>:</w:t>
            </w:r>
          </w:p>
          <w:p w14:paraId="535FD5C0" w14:textId="061DB4C9" w:rsidR="00CF7434" w:rsidRPr="00CF7434" w:rsidRDefault="00CF7434" w:rsidP="00CF7434">
            <w:pPr>
              <w:spacing w:after="0" w:line="240" w:lineRule="auto"/>
              <w:rPr>
                <w:rFonts w:ascii="Times New Roman" w:hAnsi="Times New Roman" w:cs="Times New Roman"/>
                <w:bCs/>
                <w:iCs/>
                <w:sz w:val="24"/>
                <w:szCs w:val="24"/>
              </w:rPr>
            </w:pPr>
            <w:r>
              <w:rPr>
                <w:rFonts w:ascii="Times New Roman" w:hAnsi="Times New Roman" w:cs="Times New Roman"/>
                <w:bCs/>
                <w:iCs/>
                <w:sz w:val="24"/>
                <w:szCs w:val="24"/>
              </w:rPr>
              <w:t xml:space="preserve">39.1. </w:t>
            </w:r>
            <w:r w:rsidRPr="00CF7434">
              <w:rPr>
                <w:rFonts w:ascii="Times New Roman" w:hAnsi="Times New Roman" w:cs="Times New Roman"/>
                <w:bCs/>
                <w:iCs/>
                <w:sz w:val="24"/>
                <w:szCs w:val="24"/>
              </w:rPr>
              <w:t xml:space="preserve">identificēto interešu konflikta situāciju būtiskuma izvērtēšanu, ņemot vērā šo noteikumu 40. punktā minētos </w:t>
            </w:r>
            <w:r w:rsidR="00BB4C05">
              <w:rPr>
                <w:rFonts w:ascii="Times New Roman" w:hAnsi="Times New Roman" w:cs="Times New Roman"/>
                <w:bCs/>
                <w:iCs/>
                <w:sz w:val="24"/>
                <w:szCs w:val="24"/>
              </w:rPr>
              <w:t xml:space="preserve">iestādes noteiktos </w:t>
            </w:r>
            <w:r w:rsidRPr="00CF7434">
              <w:rPr>
                <w:rFonts w:ascii="Times New Roman" w:hAnsi="Times New Roman" w:cs="Times New Roman"/>
                <w:bCs/>
                <w:iCs/>
                <w:sz w:val="24"/>
                <w:szCs w:val="24"/>
              </w:rPr>
              <w:t>interešu konflikta situāciju  kritērijus, atbilstoši kuriem tās klasificējamas kā būtiskas interešu konflikta situācijas;</w:t>
            </w:r>
          </w:p>
          <w:p w14:paraId="751468AC" w14:textId="77777777" w:rsidR="00CF7434" w:rsidRDefault="00CF7434" w:rsidP="004D0835">
            <w:pPr>
              <w:spacing w:after="0" w:line="240" w:lineRule="auto"/>
              <w:rPr>
                <w:rFonts w:ascii="Times New Roman" w:hAnsi="Times New Roman" w:cs="Times New Roman"/>
                <w:bCs/>
                <w:iCs/>
                <w:sz w:val="24"/>
                <w:szCs w:val="24"/>
              </w:rPr>
            </w:pPr>
          </w:p>
          <w:p w14:paraId="32C623BC" w14:textId="79F9B1DF" w:rsidR="005A6324" w:rsidRPr="00CF7434" w:rsidRDefault="00CF7434" w:rsidP="004D0835">
            <w:pPr>
              <w:spacing w:after="0" w:line="240" w:lineRule="auto"/>
              <w:rPr>
                <w:rFonts w:ascii="Times New Roman" w:hAnsi="Times New Roman" w:cs="Times New Roman"/>
                <w:bCs/>
                <w:iCs/>
                <w:sz w:val="24"/>
                <w:szCs w:val="24"/>
              </w:rPr>
            </w:pPr>
            <w:r w:rsidRPr="00CF7434">
              <w:rPr>
                <w:rFonts w:ascii="Times New Roman" w:hAnsi="Times New Roman" w:cs="Times New Roman"/>
                <w:bCs/>
                <w:iCs/>
                <w:sz w:val="24"/>
                <w:szCs w:val="24"/>
              </w:rPr>
              <w:t>40. Iestāde, ņemot vērā šajos noteikumos minētos interešu konflikta situāciju pārvaldības principus un risku stratēģiju, nosaka interešu konflikta situācijas kvalitatīvos un</w:t>
            </w:r>
            <w:r w:rsidR="003849E4">
              <w:rPr>
                <w:rFonts w:ascii="Times New Roman" w:hAnsi="Times New Roman" w:cs="Times New Roman"/>
                <w:bCs/>
                <w:iCs/>
                <w:sz w:val="24"/>
                <w:szCs w:val="24"/>
              </w:rPr>
              <w:t>,</w:t>
            </w:r>
            <w:r w:rsidRPr="00CF7434">
              <w:rPr>
                <w:rFonts w:ascii="Times New Roman" w:hAnsi="Times New Roman" w:cs="Times New Roman"/>
                <w:bCs/>
                <w:iCs/>
                <w:sz w:val="24"/>
                <w:szCs w:val="24"/>
              </w:rPr>
              <w:t xml:space="preserve"> </w:t>
            </w:r>
            <w:r w:rsidR="000801A7" w:rsidRPr="000801A7">
              <w:rPr>
                <w:rFonts w:ascii="Times New Roman" w:hAnsi="Times New Roman" w:cs="Times New Roman"/>
                <w:b/>
                <w:iCs/>
                <w:sz w:val="24"/>
                <w:szCs w:val="24"/>
              </w:rPr>
              <w:t xml:space="preserve">kur </w:t>
            </w:r>
            <w:r w:rsidRPr="000801A7">
              <w:rPr>
                <w:rFonts w:ascii="Times New Roman" w:hAnsi="Times New Roman" w:cs="Times New Roman"/>
                <w:b/>
                <w:iCs/>
                <w:sz w:val="24"/>
                <w:szCs w:val="24"/>
              </w:rPr>
              <w:t>iespējams noteikt</w:t>
            </w:r>
            <w:r w:rsidRPr="00CF7434">
              <w:rPr>
                <w:rFonts w:ascii="Times New Roman" w:hAnsi="Times New Roman" w:cs="Times New Roman"/>
                <w:bCs/>
                <w:iCs/>
                <w:sz w:val="24"/>
                <w:szCs w:val="24"/>
              </w:rPr>
              <w:t xml:space="preserve">, arī kvantitatīvos kritērijus, atbilstoši kuriem tā klasificējama kā būtiska interešu konflikta situācija. </w:t>
            </w:r>
            <w:r w:rsidR="00954471" w:rsidRPr="00CF7434">
              <w:rPr>
                <w:rFonts w:ascii="Times New Roman" w:hAnsi="Times New Roman" w:cs="Times New Roman"/>
                <w:bCs/>
                <w:iCs/>
                <w:sz w:val="24"/>
                <w:szCs w:val="24"/>
              </w:rPr>
              <w:t xml:space="preserve"> </w:t>
            </w:r>
          </w:p>
        </w:tc>
      </w:tr>
      <w:tr w:rsidR="005A6324" w:rsidRPr="004D0835" w14:paraId="67A3FE7E" w14:textId="77777777" w:rsidTr="00176E33">
        <w:tc>
          <w:tcPr>
            <w:tcW w:w="0" w:type="auto"/>
            <w:tcBorders>
              <w:top w:val="single" w:sz="4" w:space="0" w:color="auto"/>
              <w:left w:val="single" w:sz="4" w:space="0" w:color="auto"/>
              <w:bottom w:val="single" w:sz="4" w:space="0" w:color="auto"/>
              <w:right w:val="single" w:sz="4" w:space="0" w:color="auto"/>
            </w:tcBorders>
          </w:tcPr>
          <w:p w14:paraId="1C483F51" w14:textId="19B17E55" w:rsidR="005A6324" w:rsidRPr="004D0835" w:rsidRDefault="00B95B99" w:rsidP="004D0835">
            <w:pPr>
              <w:spacing w:after="0" w:line="240" w:lineRule="auto"/>
              <w:rPr>
                <w:rFonts w:ascii="Times New Roman" w:hAnsi="Times New Roman" w:cs="Times New Roman"/>
                <w:sz w:val="24"/>
                <w:szCs w:val="24"/>
              </w:rPr>
            </w:pPr>
            <w:r>
              <w:rPr>
                <w:rFonts w:ascii="Times New Roman" w:hAnsi="Times New Roman" w:cs="Times New Roman"/>
                <w:sz w:val="24"/>
                <w:szCs w:val="24"/>
              </w:rPr>
              <w:t>3.</w:t>
            </w:r>
          </w:p>
        </w:tc>
        <w:tc>
          <w:tcPr>
            <w:tcW w:w="4577" w:type="dxa"/>
            <w:tcBorders>
              <w:top w:val="single" w:sz="4" w:space="0" w:color="auto"/>
              <w:left w:val="single" w:sz="4" w:space="0" w:color="auto"/>
              <w:bottom w:val="single" w:sz="4" w:space="0" w:color="auto"/>
              <w:right w:val="single" w:sz="4" w:space="0" w:color="auto"/>
            </w:tcBorders>
          </w:tcPr>
          <w:p w14:paraId="1AB1CF1C" w14:textId="49E5469F" w:rsidR="005A6324" w:rsidRPr="004D0835" w:rsidRDefault="00EF1BFD" w:rsidP="004D0835">
            <w:pPr>
              <w:spacing w:after="0" w:line="240" w:lineRule="auto"/>
              <w:rPr>
                <w:rFonts w:ascii="Times New Roman" w:hAnsi="Times New Roman" w:cs="Times New Roman"/>
                <w:sz w:val="24"/>
                <w:szCs w:val="24"/>
              </w:rPr>
            </w:pPr>
            <w:r w:rsidRPr="00EF1BFD">
              <w:rPr>
                <w:rFonts w:ascii="Times New Roman" w:hAnsi="Times New Roman" w:cs="Times New Roman"/>
                <w:sz w:val="24"/>
                <w:szCs w:val="24"/>
              </w:rPr>
              <w:t xml:space="preserve">39.4. procedūru izveidi darījumiem ar </w:t>
            </w:r>
            <w:r w:rsidRPr="003B3A1F">
              <w:rPr>
                <w:rFonts w:ascii="Times New Roman" w:hAnsi="Times New Roman" w:cs="Times New Roman"/>
                <w:sz w:val="24"/>
                <w:szCs w:val="24"/>
              </w:rPr>
              <w:t>personām, kas saistītas ar iestādes vadību, atbilstoši normatīvo aktu prasībām, piemēram, paredzot būtiskāko darījumu saskaņošanu akcionāru sapulcē, vienlaikus nodrošinot šo darījumu apmēra ierobežojumus un interešu konflikta</w:t>
            </w:r>
            <w:r w:rsidRPr="00EF1BFD">
              <w:rPr>
                <w:rFonts w:ascii="Times New Roman" w:hAnsi="Times New Roman" w:cs="Times New Roman"/>
                <w:sz w:val="24"/>
                <w:szCs w:val="24"/>
              </w:rPr>
              <w:t xml:space="preserve"> situāciju novēršanu šo darījumu saskaņošanas procesā.</w:t>
            </w:r>
          </w:p>
        </w:tc>
        <w:tc>
          <w:tcPr>
            <w:tcW w:w="4694" w:type="dxa"/>
            <w:tcBorders>
              <w:top w:val="single" w:sz="4" w:space="0" w:color="auto"/>
              <w:left w:val="single" w:sz="4" w:space="0" w:color="auto"/>
              <w:bottom w:val="single" w:sz="4" w:space="0" w:color="auto"/>
              <w:right w:val="single" w:sz="4" w:space="0" w:color="auto"/>
            </w:tcBorders>
          </w:tcPr>
          <w:p w14:paraId="2F4D2205" w14:textId="77777777" w:rsidR="005A6324" w:rsidRPr="00D13AD7" w:rsidRDefault="005A6324" w:rsidP="005A6324">
            <w:pPr>
              <w:spacing w:after="0" w:line="240" w:lineRule="auto"/>
              <w:rPr>
                <w:rFonts w:ascii="Times New Roman" w:hAnsi="Times New Roman" w:cs="Times New Roman"/>
                <w:sz w:val="24"/>
                <w:szCs w:val="24"/>
              </w:rPr>
            </w:pPr>
            <w:r w:rsidRPr="00D13AD7">
              <w:rPr>
                <w:rFonts w:ascii="Times New Roman" w:hAnsi="Times New Roman" w:cs="Times New Roman"/>
                <w:b/>
                <w:bCs/>
                <w:sz w:val="24"/>
                <w:szCs w:val="24"/>
              </w:rPr>
              <w:t>39.4.punkts</w:t>
            </w:r>
            <w:r w:rsidRPr="00D13AD7">
              <w:rPr>
                <w:rFonts w:ascii="Times New Roman" w:hAnsi="Times New Roman" w:cs="Times New Roman"/>
                <w:sz w:val="24"/>
                <w:szCs w:val="24"/>
              </w:rPr>
              <w:t xml:space="preserve"> - Piedāvājums apsvērt precizēt, ka tā varētu augstākā vadības institūcija, attiecīgi vai nu Padome (Padomes komiteja) vai akcionāru sapulce </w:t>
            </w:r>
          </w:p>
          <w:p w14:paraId="32631FFE" w14:textId="573F19E6" w:rsidR="005A6324" w:rsidRPr="00B95B99" w:rsidRDefault="005A6324" w:rsidP="00D13AD7">
            <w:pPr>
              <w:spacing w:after="0" w:line="240" w:lineRule="auto"/>
              <w:rPr>
                <w:rFonts w:ascii="Times New Roman" w:hAnsi="Times New Roman" w:cs="Times New Roman"/>
                <w:sz w:val="24"/>
                <w:szCs w:val="24"/>
              </w:rPr>
            </w:pPr>
            <w:r w:rsidRPr="00D13AD7">
              <w:rPr>
                <w:rFonts w:ascii="Times New Roman" w:hAnsi="Times New Roman" w:cs="Times New Roman"/>
                <w:sz w:val="24"/>
                <w:szCs w:val="24"/>
              </w:rPr>
              <w:t>“</w:t>
            </w:r>
            <w:r w:rsidRPr="00D13AD7">
              <w:rPr>
                <w:rFonts w:ascii="Times New Roman" w:hAnsi="Times New Roman" w:cs="Times New Roman"/>
                <w:i/>
                <w:iCs/>
                <w:sz w:val="24"/>
                <w:szCs w:val="24"/>
              </w:rPr>
              <w:t xml:space="preserve">procedūru izveidi darījumiem ar personām, kas saistītas ar iestādes vadību, atbilstoši normatīvo aktu prasībām, piemēram, paredzot būtiskāko darījumu saskaņošanu </w:t>
            </w:r>
            <w:r w:rsidRPr="00D13AD7">
              <w:rPr>
                <w:rFonts w:ascii="Times New Roman" w:hAnsi="Times New Roman" w:cs="Times New Roman"/>
                <w:b/>
                <w:bCs/>
                <w:i/>
                <w:iCs/>
                <w:sz w:val="24"/>
                <w:szCs w:val="24"/>
              </w:rPr>
              <w:t>akcionāru sapulcē</w:t>
            </w:r>
            <w:r w:rsidRPr="00D13AD7">
              <w:rPr>
                <w:rFonts w:ascii="Times New Roman" w:hAnsi="Times New Roman" w:cs="Times New Roman"/>
                <w:i/>
                <w:iCs/>
                <w:sz w:val="24"/>
                <w:szCs w:val="24"/>
              </w:rPr>
              <w:t>, vienlaikus (…)</w:t>
            </w:r>
            <w:r w:rsidRPr="00D13AD7">
              <w:rPr>
                <w:rFonts w:ascii="Times New Roman" w:hAnsi="Times New Roman" w:cs="Times New Roman"/>
                <w:sz w:val="24"/>
                <w:szCs w:val="24"/>
              </w:rPr>
              <w:t xml:space="preserve">” </w:t>
            </w:r>
          </w:p>
        </w:tc>
        <w:tc>
          <w:tcPr>
            <w:tcW w:w="4662" w:type="dxa"/>
            <w:tcBorders>
              <w:top w:val="single" w:sz="4" w:space="0" w:color="auto"/>
              <w:left w:val="single" w:sz="4" w:space="0" w:color="auto"/>
              <w:bottom w:val="single" w:sz="4" w:space="0" w:color="auto"/>
              <w:right w:val="single" w:sz="4" w:space="0" w:color="auto"/>
            </w:tcBorders>
          </w:tcPr>
          <w:p w14:paraId="5102F4C9" w14:textId="77777777" w:rsidR="00127D1D" w:rsidRDefault="00BE5F45" w:rsidP="003B3A1F">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Skaidrojums. </w:t>
            </w:r>
          </w:p>
          <w:p w14:paraId="1FCF1D4E" w14:textId="1CDF83A0" w:rsidR="00EF1BFD" w:rsidRPr="004D0835" w:rsidRDefault="003F0658" w:rsidP="003B3A1F">
            <w:pPr>
              <w:spacing w:after="0" w:line="240" w:lineRule="auto"/>
              <w:rPr>
                <w:rFonts w:ascii="Times New Roman" w:hAnsi="Times New Roman" w:cs="Times New Roman"/>
                <w:b/>
                <w:sz w:val="24"/>
                <w:szCs w:val="24"/>
              </w:rPr>
            </w:pPr>
            <w:r w:rsidRPr="00E34FAA">
              <w:rPr>
                <w:rFonts w:ascii="Times New Roman" w:hAnsi="Times New Roman" w:cs="Times New Roman"/>
                <w:bCs/>
                <w:sz w:val="24"/>
                <w:szCs w:val="24"/>
              </w:rPr>
              <w:t xml:space="preserve">Vēlamies norādīt, ka noteikumu projekta 39.4. </w:t>
            </w:r>
            <w:r w:rsidR="00E34FAA">
              <w:rPr>
                <w:rFonts w:ascii="Times New Roman" w:hAnsi="Times New Roman" w:cs="Times New Roman"/>
                <w:bCs/>
                <w:sz w:val="24"/>
                <w:szCs w:val="24"/>
              </w:rPr>
              <w:t>apakš</w:t>
            </w:r>
            <w:r w:rsidRPr="00E34FAA">
              <w:rPr>
                <w:rFonts w:ascii="Times New Roman" w:hAnsi="Times New Roman" w:cs="Times New Roman"/>
                <w:bCs/>
                <w:sz w:val="24"/>
                <w:szCs w:val="24"/>
              </w:rPr>
              <w:t xml:space="preserve">punktā </w:t>
            </w:r>
            <w:r w:rsidR="00E34FAA" w:rsidRPr="00E34FAA">
              <w:rPr>
                <w:rFonts w:ascii="Times New Roman" w:hAnsi="Times New Roman" w:cs="Times New Roman"/>
                <w:bCs/>
                <w:sz w:val="24"/>
                <w:szCs w:val="24"/>
              </w:rPr>
              <w:t>"akcionāru sapulce" minēta kā piemērs</w:t>
            </w:r>
            <w:r w:rsidR="00E34FAA">
              <w:rPr>
                <w:rFonts w:ascii="Times New Roman" w:hAnsi="Times New Roman" w:cs="Times New Roman"/>
                <w:bCs/>
                <w:sz w:val="24"/>
                <w:szCs w:val="24"/>
              </w:rPr>
              <w:t>, lai izstrādājot procedūras darījumiem ar personām, kas saistītas ar iestādes vadību</w:t>
            </w:r>
            <w:r w:rsidR="00127D1D">
              <w:rPr>
                <w:rFonts w:ascii="Times New Roman" w:hAnsi="Times New Roman" w:cs="Times New Roman"/>
                <w:bCs/>
                <w:sz w:val="24"/>
                <w:szCs w:val="24"/>
              </w:rPr>
              <w:t xml:space="preserve"> nodrošinātu atbilstošu kontroles mehānismu. T</w:t>
            </w:r>
            <w:r w:rsidR="003B3A1F">
              <w:rPr>
                <w:rFonts w:ascii="Times New Roman" w:hAnsi="Times New Roman" w:cs="Times New Roman"/>
                <w:bCs/>
                <w:sz w:val="24"/>
                <w:szCs w:val="24"/>
              </w:rPr>
              <w:t xml:space="preserve">as neizslēdz </w:t>
            </w:r>
            <w:r w:rsidR="00E34FAA" w:rsidRPr="00E34FAA">
              <w:rPr>
                <w:rFonts w:ascii="Times New Roman" w:hAnsi="Times New Roman" w:cs="Times New Roman"/>
                <w:bCs/>
                <w:sz w:val="24"/>
                <w:szCs w:val="24"/>
              </w:rPr>
              <w:t xml:space="preserve">iespēju </w:t>
            </w:r>
            <w:r w:rsidR="00127D1D">
              <w:rPr>
                <w:rFonts w:ascii="Times New Roman" w:hAnsi="Times New Roman" w:cs="Times New Roman"/>
                <w:bCs/>
                <w:sz w:val="24"/>
                <w:szCs w:val="24"/>
              </w:rPr>
              <w:t xml:space="preserve">iestādei veidojot </w:t>
            </w:r>
            <w:r w:rsidR="00E34FAA" w:rsidRPr="00E34FAA">
              <w:rPr>
                <w:rFonts w:ascii="Times New Roman" w:hAnsi="Times New Roman" w:cs="Times New Roman"/>
                <w:bCs/>
                <w:sz w:val="24"/>
                <w:szCs w:val="24"/>
              </w:rPr>
              <w:t>procedūr</w:t>
            </w:r>
            <w:r w:rsidR="00127D1D">
              <w:rPr>
                <w:rFonts w:ascii="Times New Roman" w:hAnsi="Times New Roman" w:cs="Times New Roman"/>
                <w:bCs/>
                <w:sz w:val="24"/>
                <w:szCs w:val="24"/>
              </w:rPr>
              <w:t>as</w:t>
            </w:r>
            <w:r w:rsidR="00E34FAA" w:rsidRPr="00E34FAA">
              <w:rPr>
                <w:rFonts w:ascii="Times New Roman" w:hAnsi="Times New Roman" w:cs="Times New Roman"/>
                <w:bCs/>
                <w:sz w:val="24"/>
                <w:szCs w:val="24"/>
              </w:rPr>
              <w:t xml:space="preserve"> darījum</w:t>
            </w:r>
            <w:r w:rsidR="00127D1D">
              <w:rPr>
                <w:rFonts w:ascii="Times New Roman" w:hAnsi="Times New Roman" w:cs="Times New Roman"/>
                <w:bCs/>
                <w:sz w:val="24"/>
                <w:szCs w:val="24"/>
              </w:rPr>
              <w:t xml:space="preserve">iem </w:t>
            </w:r>
            <w:r w:rsidR="00E34FAA" w:rsidRPr="00E34FAA">
              <w:rPr>
                <w:rFonts w:ascii="Times New Roman" w:hAnsi="Times New Roman" w:cs="Times New Roman"/>
                <w:bCs/>
                <w:sz w:val="24"/>
                <w:szCs w:val="24"/>
              </w:rPr>
              <w:t xml:space="preserve">ar personām, kas saistītas ar iestādes vadību izvēlēties citus </w:t>
            </w:r>
            <w:r w:rsidR="00127D1D">
              <w:rPr>
                <w:rFonts w:ascii="Times New Roman" w:hAnsi="Times New Roman" w:cs="Times New Roman"/>
                <w:bCs/>
                <w:sz w:val="24"/>
                <w:szCs w:val="24"/>
              </w:rPr>
              <w:t xml:space="preserve">saskaņošanas nosacījumus, kuri nodrošina atbilstošu kontroli. </w:t>
            </w:r>
            <w:r w:rsidR="003B3A1F">
              <w:rPr>
                <w:rFonts w:ascii="Times New Roman" w:hAnsi="Times New Roman" w:cs="Times New Roman"/>
                <w:bCs/>
                <w:sz w:val="24"/>
                <w:szCs w:val="24"/>
              </w:rPr>
              <w:t xml:space="preserve"> </w:t>
            </w:r>
          </w:p>
        </w:tc>
      </w:tr>
      <w:tr w:rsidR="005A6324" w:rsidRPr="004D0835" w14:paraId="6D50FE6A" w14:textId="77777777" w:rsidTr="00176E33">
        <w:tc>
          <w:tcPr>
            <w:tcW w:w="0" w:type="auto"/>
            <w:tcBorders>
              <w:top w:val="single" w:sz="4" w:space="0" w:color="auto"/>
              <w:left w:val="single" w:sz="4" w:space="0" w:color="auto"/>
              <w:bottom w:val="single" w:sz="4" w:space="0" w:color="auto"/>
              <w:right w:val="single" w:sz="4" w:space="0" w:color="auto"/>
            </w:tcBorders>
          </w:tcPr>
          <w:p w14:paraId="0CCEEA21" w14:textId="75650FAE" w:rsidR="005A6324" w:rsidRPr="004D0835" w:rsidRDefault="00B95B99" w:rsidP="004D0835">
            <w:pPr>
              <w:spacing w:after="0" w:line="240" w:lineRule="auto"/>
              <w:rPr>
                <w:rFonts w:ascii="Times New Roman" w:hAnsi="Times New Roman" w:cs="Times New Roman"/>
                <w:sz w:val="24"/>
                <w:szCs w:val="24"/>
              </w:rPr>
            </w:pPr>
            <w:r>
              <w:rPr>
                <w:rFonts w:ascii="Times New Roman" w:hAnsi="Times New Roman" w:cs="Times New Roman"/>
                <w:sz w:val="24"/>
                <w:szCs w:val="24"/>
              </w:rPr>
              <w:t>4.</w:t>
            </w:r>
          </w:p>
        </w:tc>
        <w:tc>
          <w:tcPr>
            <w:tcW w:w="4577" w:type="dxa"/>
            <w:tcBorders>
              <w:top w:val="single" w:sz="4" w:space="0" w:color="auto"/>
              <w:left w:val="single" w:sz="4" w:space="0" w:color="auto"/>
              <w:bottom w:val="single" w:sz="4" w:space="0" w:color="auto"/>
              <w:right w:val="single" w:sz="4" w:space="0" w:color="auto"/>
            </w:tcBorders>
          </w:tcPr>
          <w:p w14:paraId="78F8A98F" w14:textId="5A11AD0E" w:rsidR="005A6324" w:rsidRPr="004D0835" w:rsidRDefault="00EF1BFD" w:rsidP="004D0835">
            <w:pPr>
              <w:spacing w:after="0" w:line="240" w:lineRule="auto"/>
              <w:rPr>
                <w:rFonts w:ascii="Times New Roman" w:hAnsi="Times New Roman" w:cs="Times New Roman"/>
                <w:sz w:val="24"/>
                <w:szCs w:val="24"/>
              </w:rPr>
            </w:pPr>
            <w:r w:rsidRPr="00EF1BFD">
              <w:rPr>
                <w:rFonts w:ascii="Times New Roman" w:hAnsi="Times New Roman" w:cs="Times New Roman"/>
                <w:sz w:val="24"/>
                <w:szCs w:val="24"/>
              </w:rPr>
              <w:t xml:space="preserve">41. Ja iestādes darbinieks vienlaikus ir iestādes akcionārs vai iestādes klients, tad šāds statuss pats par sevi nav uzskatāms par interešu konflikta situāciju, ja vien netiek pārsniegti iestādes noteiktie interešu konflikta situācijas </w:t>
            </w:r>
            <w:r w:rsidRPr="00127D1D">
              <w:rPr>
                <w:rFonts w:ascii="Times New Roman" w:hAnsi="Times New Roman" w:cs="Times New Roman"/>
                <w:sz w:val="24"/>
                <w:szCs w:val="24"/>
              </w:rPr>
              <w:t>kvantitatīvie un kvalitatīvie kritēriji.</w:t>
            </w:r>
          </w:p>
        </w:tc>
        <w:tc>
          <w:tcPr>
            <w:tcW w:w="4694" w:type="dxa"/>
            <w:tcBorders>
              <w:top w:val="single" w:sz="4" w:space="0" w:color="auto"/>
              <w:left w:val="single" w:sz="4" w:space="0" w:color="auto"/>
              <w:bottom w:val="single" w:sz="4" w:space="0" w:color="auto"/>
              <w:right w:val="single" w:sz="4" w:space="0" w:color="auto"/>
            </w:tcBorders>
          </w:tcPr>
          <w:p w14:paraId="768DCE47" w14:textId="07C4ECF9" w:rsidR="005A6324" w:rsidRPr="00D13AD7" w:rsidRDefault="005A6324" w:rsidP="00D13AD7">
            <w:pPr>
              <w:spacing w:after="0" w:line="240" w:lineRule="auto"/>
              <w:rPr>
                <w:rFonts w:ascii="Times New Roman" w:hAnsi="Times New Roman" w:cs="Times New Roman"/>
                <w:b/>
                <w:bCs/>
                <w:sz w:val="24"/>
                <w:szCs w:val="24"/>
              </w:rPr>
            </w:pPr>
            <w:r w:rsidRPr="00D13AD7">
              <w:rPr>
                <w:rFonts w:ascii="Times New Roman" w:hAnsi="Times New Roman" w:cs="Times New Roman"/>
                <w:b/>
                <w:bCs/>
                <w:sz w:val="24"/>
                <w:szCs w:val="24"/>
              </w:rPr>
              <w:t>41.punkts</w:t>
            </w:r>
            <w:r w:rsidRPr="00D13AD7">
              <w:rPr>
                <w:rFonts w:ascii="Times New Roman" w:hAnsi="Times New Roman" w:cs="Times New Roman"/>
                <w:sz w:val="24"/>
                <w:szCs w:val="24"/>
              </w:rPr>
              <w:t xml:space="preserve"> – Aicinām apsvērt un precizēt par kvantitatīvo kritēriju noteikšanu, ja iestādes darbinieks ir iestādes akcionārs un klients – bankas, kuru akcijas ir publiskajā tirgū, šīs situācijas ir ļoti iespējamas un kvantitatīvo kritēriju noteikšana ir neloģiska (piemēram, akciju programmas kā mainīgais atalgojums bankas darbiniekiem).</w:t>
            </w:r>
          </w:p>
        </w:tc>
        <w:tc>
          <w:tcPr>
            <w:tcW w:w="4662" w:type="dxa"/>
            <w:tcBorders>
              <w:top w:val="single" w:sz="4" w:space="0" w:color="auto"/>
              <w:left w:val="single" w:sz="4" w:space="0" w:color="auto"/>
              <w:bottom w:val="single" w:sz="4" w:space="0" w:color="auto"/>
              <w:right w:val="single" w:sz="4" w:space="0" w:color="auto"/>
            </w:tcBorders>
          </w:tcPr>
          <w:p w14:paraId="1EE6B2D5" w14:textId="32A6241F" w:rsidR="005A6324" w:rsidRDefault="001D00BB" w:rsidP="004D0835">
            <w:pPr>
              <w:spacing w:after="0" w:line="240" w:lineRule="auto"/>
              <w:rPr>
                <w:rFonts w:ascii="Times New Roman" w:hAnsi="Times New Roman" w:cs="Times New Roman"/>
                <w:b/>
                <w:sz w:val="24"/>
                <w:szCs w:val="24"/>
              </w:rPr>
            </w:pPr>
            <w:r>
              <w:rPr>
                <w:rFonts w:ascii="Times New Roman" w:hAnsi="Times New Roman" w:cs="Times New Roman"/>
                <w:b/>
                <w:sz w:val="24"/>
                <w:szCs w:val="24"/>
              </w:rPr>
              <w:t>Ņemts vērā</w:t>
            </w:r>
            <w:r w:rsidR="00CF7434">
              <w:rPr>
                <w:rFonts w:ascii="Times New Roman" w:hAnsi="Times New Roman" w:cs="Times New Roman"/>
                <w:b/>
                <w:sz w:val="24"/>
                <w:szCs w:val="24"/>
              </w:rPr>
              <w:t>.</w:t>
            </w:r>
          </w:p>
          <w:p w14:paraId="5060943B" w14:textId="430D8D33" w:rsidR="00CF7434" w:rsidRDefault="00CF7434" w:rsidP="004D0835">
            <w:pPr>
              <w:spacing w:after="0" w:line="240" w:lineRule="auto"/>
              <w:rPr>
                <w:rFonts w:ascii="Times New Roman" w:hAnsi="Times New Roman" w:cs="Times New Roman"/>
                <w:b/>
                <w:sz w:val="24"/>
                <w:szCs w:val="24"/>
              </w:rPr>
            </w:pPr>
            <w:r>
              <w:rPr>
                <w:rFonts w:ascii="Times New Roman" w:hAnsi="Times New Roman" w:cs="Times New Roman"/>
                <w:b/>
                <w:sz w:val="24"/>
                <w:szCs w:val="24"/>
              </w:rPr>
              <w:t>Precizēta redakcija:</w:t>
            </w:r>
          </w:p>
          <w:p w14:paraId="392F7966" w14:textId="0EE7B77E" w:rsidR="003B3A1F" w:rsidRPr="00127D1D" w:rsidRDefault="00127D1D" w:rsidP="004D0835">
            <w:pPr>
              <w:spacing w:after="0" w:line="240" w:lineRule="auto"/>
              <w:rPr>
                <w:rFonts w:ascii="Times New Roman" w:hAnsi="Times New Roman" w:cs="Times New Roman"/>
                <w:bCs/>
                <w:sz w:val="24"/>
                <w:szCs w:val="24"/>
              </w:rPr>
            </w:pPr>
            <w:r w:rsidRPr="00127D1D">
              <w:rPr>
                <w:rFonts w:ascii="Times New Roman" w:hAnsi="Times New Roman" w:cs="Times New Roman"/>
                <w:bCs/>
                <w:sz w:val="24"/>
                <w:szCs w:val="24"/>
              </w:rPr>
              <w:t xml:space="preserve">41. Ja iestādes darbinieks vienlaikus ir iestādes akcionārs vai iestādes klients, tad šāds statuss pats par sevi nav uzskatāms par interešu konflikta situāciju, ja vien netiek pārsniegti iestādes noteiktie kritēriji interešu konflikta situācijas </w:t>
            </w:r>
            <w:r>
              <w:rPr>
                <w:rFonts w:ascii="Times New Roman" w:hAnsi="Times New Roman" w:cs="Times New Roman"/>
                <w:bCs/>
                <w:sz w:val="24"/>
                <w:szCs w:val="24"/>
              </w:rPr>
              <w:t>no</w:t>
            </w:r>
            <w:r w:rsidR="00BB4C05">
              <w:rPr>
                <w:rFonts w:ascii="Times New Roman" w:hAnsi="Times New Roman" w:cs="Times New Roman"/>
                <w:bCs/>
                <w:sz w:val="24"/>
                <w:szCs w:val="24"/>
              </w:rPr>
              <w:t>vērtēšanai</w:t>
            </w:r>
            <w:r w:rsidRPr="00127D1D">
              <w:rPr>
                <w:rFonts w:ascii="Times New Roman" w:hAnsi="Times New Roman" w:cs="Times New Roman"/>
                <w:bCs/>
                <w:sz w:val="24"/>
                <w:szCs w:val="24"/>
              </w:rPr>
              <w:t>.</w:t>
            </w:r>
          </w:p>
        </w:tc>
      </w:tr>
      <w:tr w:rsidR="005A6324" w:rsidRPr="004D0835" w14:paraId="4F65D26E" w14:textId="77777777" w:rsidTr="00176E33">
        <w:tc>
          <w:tcPr>
            <w:tcW w:w="0" w:type="auto"/>
            <w:tcBorders>
              <w:top w:val="single" w:sz="4" w:space="0" w:color="auto"/>
              <w:left w:val="single" w:sz="4" w:space="0" w:color="auto"/>
              <w:bottom w:val="single" w:sz="4" w:space="0" w:color="auto"/>
              <w:right w:val="single" w:sz="4" w:space="0" w:color="auto"/>
            </w:tcBorders>
          </w:tcPr>
          <w:p w14:paraId="22E9ED87" w14:textId="3DD74A54" w:rsidR="005A6324" w:rsidRPr="004D0835" w:rsidRDefault="00B95B99" w:rsidP="004D0835">
            <w:pPr>
              <w:spacing w:after="0" w:line="240" w:lineRule="auto"/>
              <w:rPr>
                <w:rFonts w:ascii="Times New Roman" w:hAnsi="Times New Roman" w:cs="Times New Roman"/>
                <w:sz w:val="24"/>
                <w:szCs w:val="24"/>
              </w:rPr>
            </w:pPr>
            <w:r>
              <w:rPr>
                <w:rFonts w:ascii="Times New Roman" w:hAnsi="Times New Roman" w:cs="Times New Roman"/>
                <w:sz w:val="24"/>
                <w:szCs w:val="24"/>
              </w:rPr>
              <w:t>5.</w:t>
            </w:r>
          </w:p>
        </w:tc>
        <w:tc>
          <w:tcPr>
            <w:tcW w:w="4577" w:type="dxa"/>
            <w:tcBorders>
              <w:top w:val="single" w:sz="4" w:space="0" w:color="auto"/>
              <w:left w:val="single" w:sz="4" w:space="0" w:color="auto"/>
              <w:bottom w:val="single" w:sz="4" w:space="0" w:color="auto"/>
              <w:right w:val="single" w:sz="4" w:space="0" w:color="auto"/>
            </w:tcBorders>
          </w:tcPr>
          <w:p w14:paraId="6E2ACABA" w14:textId="77777777" w:rsidR="00EF1BFD" w:rsidRPr="00EF1BFD" w:rsidRDefault="00EF1BFD" w:rsidP="00EF1BFD">
            <w:pPr>
              <w:spacing w:after="0" w:line="240" w:lineRule="auto"/>
              <w:rPr>
                <w:rFonts w:ascii="Times New Roman" w:hAnsi="Times New Roman" w:cs="Times New Roman"/>
                <w:sz w:val="24"/>
                <w:szCs w:val="24"/>
              </w:rPr>
            </w:pPr>
            <w:r w:rsidRPr="00EF1BFD">
              <w:rPr>
                <w:rFonts w:ascii="Times New Roman" w:hAnsi="Times New Roman" w:cs="Times New Roman"/>
                <w:sz w:val="24"/>
                <w:szCs w:val="24"/>
              </w:rPr>
              <w:t>57. Izveidojot risku kultūru, iestāde:</w:t>
            </w:r>
          </w:p>
          <w:p w14:paraId="034A0859" w14:textId="7AB03B2D" w:rsidR="005A6324" w:rsidRPr="004D0835" w:rsidRDefault="00EF1BFD" w:rsidP="00EF1BFD">
            <w:pPr>
              <w:spacing w:after="0" w:line="240" w:lineRule="auto"/>
              <w:rPr>
                <w:rFonts w:ascii="Times New Roman" w:hAnsi="Times New Roman" w:cs="Times New Roman"/>
                <w:sz w:val="24"/>
                <w:szCs w:val="24"/>
              </w:rPr>
            </w:pPr>
            <w:r w:rsidRPr="00EF1BFD">
              <w:rPr>
                <w:rFonts w:ascii="Times New Roman" w:hAnsi="Times New Roman" w:cs="Times New Roman"/>
                <w:sz w:val="24"/>
                <w:szCs w:val="24"/>
              </w:rPr>
              <w:lastRenderedPageBreak/>
              <w:t xml:space="preserve">57.1. </w:t>
            </w:r>
            <w:r w:rsidRPr="00920269">
              <w:rPr>
                <w:rFonts w:ascii="Times New Roman" w:hAnsi="Times New Roman" w:cs="Times New Roman"/>
                <w:b/>
                <w:bCs/>
                <w:sz w:val="24"/>
                <w:szCs w:val="24"/>
              </w:rPr>
              <w:t>izstrādā rīcības plānu</w:t>
            </w:r>
            <w:r w:rsidRPr="00920269">
              <w:rPr>
                <w:rFonts w:ascii="Times New Roman" w:hAnsi="Times New Roman" w:cs="Times New Roman"/>
                <w:sz w:val="24"/>
                <w:szCs w:val="24"/>
              </w:rPr>
              <w:t>, kas nosaka iestādes padomes un valdes</w:t>
            </w:r>
            <w:r w:rsidRPr="00EF1BFD">
              <w:rPr>
                <w:rFonts w:ascii="Times New Roman" w:hAnsi="Times New Roman" w:cs="Times New Roman"/>
                <w:sz w:val="24"/>
                <w:szCs w:val="24"/>
              </w:rPr>
              <w:t xml:space="preserve"> uzstādījumus attiecībā uz visu iestādes darbinieku un amatpersonu sagaidāmo rīcību risku pārvaldības procesu nodrošināšanā, ņemot vērā būtiskākās iestādes pamatvērtības;</w:t>
            </w:r>
          </w:p>
        </w:tc>
        <w:tc>
          <w:tcPr>
            <w:tcW w:w="4694" w:type="dxa"/>
            <w:tcBorders>
              <w:top w:val="single" w:sz="4" w:space="0" w:color="auto"/>
              <w:left w:val="single" w:sz="4" w:space="0" w:color="auto"/>
              <w:bottom w:val="single" w:sz="4" w:space="0" w:color="auto"/>
              <w:right w:val="single" w:sz="4" w:space="0" w:color="auto"/>
            </w:tcBorders>
          </w:tcPr>
          <w:p w14:paraId="5F15B778" w14:textId="77777777" w:rsidR="005A6324" w:rsidRPr="00D13AD7" w:rsidRDefault="005A6324" w:rsidP="005A6324">
            <w:pPr>
              <w:spacing w:after="0" w:line="240" w:lineRule="auto"/>
              <w:rPr>
                <w:rFonts w:ascii="Times New Roman" w:hAnsi="Times New Roman" w:cs="Times New Roman"/>
                <w:sz w:val="24"/>
                <w:szCs w:val="24"/>
              </w:rPr>
            </w:pPr>
            <w:r w:rsidRPr="00D13AD7">
              <w:rPr>
                <w:rFonts w:ascii="Times New Roman" w:hAnsi="Times New Roman" w:cs="Times New Roman"/>
                <w:b/>
                <w:bCs/>
                <w:sz w:val="24"/>
                <w:szCs w:val="24"/>
              </w:rPr>
              <w:lastRenderedPageBreak/>
              <w:t xml:space="preserve">57.1.punkts </w:t>
            </w:r>
            <w:r w:rsidRPr="00D13AD7">
              <w:rPr>
                <w:rFonts w:ascii="Times New Roman" w:hAnsi="Times New Roman" w:cs="Times New Roman"/>
                <w:sz w:val="24"/>
                <w:szCs w:val="24"/>
              </w:rPr>
              <w:t xml:space="preserve">- Aicinām apsvērt pārskatīt “rīcības plānu” izmantošanu ņemot vērā, ka </w:t>
            </w:r>
            <w:r w:rsidRPr="00D13AD7">
              <w:rPr>
                <w:rFonts w:ascii="Times New Roman" w:hAnsi="Times New Roman" w:cs="Times New Roman"/>
                <w:sz w:val="24"/>
                <w:szCs w:val="24"/>
              </w:rPr>
              <w:lastRenderedPageBreak/>
              <w:t xml:space="preserve">pamatnostādnes, ko kurām šīs prasības pārņemtas, šādu pienākumu neparedz, un auditori šo pienākumi tulko šauri un burtiski, kas nav lietderīgi, ņemot vērā, ka “risku kultūra” bankā ir sistēma. </w:t>
            </w:r>
          </w:p>
          <w:p w14:paraId="4A2EE991" w14:textId="074B48FE" w:rsidR="005A6324" w:rsidRPr="00B95B99" w:rsidRDefault="005A6324" w:rsidP="00D13AD7">
            <w:pPr>
              <w:spacing w:after="0" w:line="240" w:lineRule="auto"/>
              <w:rPr>
                <w:rFonts w:ascii="Times New Roman" w:hAnsi="Times New Roman" w:cs="Times New Roman"/>
                <w:i/>
                <w:iCs/>
                <w:sz w:val="24"/>
                <w:szCs w:val="24"/>
              </w:rPr>
            </w:pPr>
            <w:r w:rsidRPr="00D13AD7">
              <w:rPr>
                <w:rFonts w:ascii="Times New Roman" w:hAnsi="Times New Roman" w:cs="Times New Roman"/>
                <w:i/>
                <w:iCs/>
                <w:sz w:val="24"/>
                <w:szCs w:val="24"/>
              </w:rPr>
              <w:t xml:space="preserve">EBA 2021. gada 2. jūlija pamatnostādnes Nr. EBA/GL/2021/05 "Pamatnostādnes par iekšējo pārvaldību" </w:t>
            </w:r>
          </w:p>
        </w:tc>
        <w:tc>
          <w:tcPr>
            <w:tcW w:w="4662" w:type="dxa"/>
            <w:tcBorders>
              <w:top w:val="single" w:sz="4" w:space="0" w:color="auto"/>
              <w:left w:val="single" w:sz="4" w:space="0" w:color="auto"/>
              <w:bottom w:val="single" w:sz="4" w:space="0" w:color="auto"/>
              <w:right w:val="single" w:sz="4" w:space="0" w:color="auto"/>
            </w:tcBorders>
          </w:tcPr>
          <w:p w14:paraId="52130E4C" w14:textId="77777777" w:rsidR="005A6324" w:rsidRDefault="001D00BB" w:rsidP="004D0835">
            <w:pPr>
              <w:spacing w:after="0" w:line="240" w:lineRule="auto"/>
              <w:rPr>
                <w:rFonts w:ascii="Times New Roman" w:hAnsi="Times New Roman" w:cs="Times New Roman"/>
                <w:b/>
                <w:sz w:val="24"/>
                <w:szCs w:val="24"/>
              </w:rPr>
            </w:pPr>
            <w:r>
              <w:rPr>
                <w:rFonts w:ascii="Times New Roman" w:hAnsi="Times New Roman" w:cs="Times New Roman"/>
                <w:b/>
                <w:sz w:val="24"/>
                <w:szCs w:val="24"/>
              </w:rPr>
              <w:lastRenderedPageBreak/>
              <w:t>Ņemts vērā</w:t>
            </w:r>
            <w:r w:rsidR="003B3A1F">
              <w:rPr>
                <w:rFonts w:ascii="Times New Roman" w:hAnsi="Times New Roman" w:cs="Times New Roman"/>
                <w:b/>
                <w:sz w:val="24"/>
                <w:szCs w:val="24"/>
              </w:rPr>
              <w:t>.</w:t>
            </w:r>
          </w:p>
          <w:p w14:paraId="5442B6BC" w14:textId="2F45B759" w:rsidR="00CF7434" w:rsidRDefault="00CF7434" w:rsidP="004D0835">
            <w:pPr>
              <w:spacing w:after="0" w:line="240" w:lineRule="auto"/>
              <w:rPr>
                <w:rFonts w:ascii="Times New Roman" w:hAnsi="Times New Roman" w:cs="Times New Roman"/>
                <w:b/>
                <w:sz w:val="24"/>
                <w:szCs w:val="24"/>
              </w:rPr>
            </w:pPr>
            <w:r>
              <w:rPr>
                <w:rFonts w:ascii="Times New Roman" w:hAnsi="Times New Roman" w:cs="Times New Roman"/>
                <w:b/>
                <w:sz w:val="24"/>
                <w:szCs w:val="24"/>
              </w:rPr>
              <w:t>Precizēta redakcija:</w:t>
            </w:r>
          </w:p>
          <w:p w14:paraId="40185B2B" w14:textId="77777777" w:rsidR="003B3A1F" w:rsidRPr="00EF1BFD" w:rsidRDefault="003B3A1F" w:rsidP="003B3A1F">
            <w:pPr>
              <w:spacing w:after="0" w:line="240" w:lineRule="auto"/>
              <w:rPr>
                <w:rFonts w:ascii="Times New Roman" w:hAnsi="Times New Roman" w:cs="Times New Roman"/>
                <w:sz w:val="24"/>
                <w:szCs w:val="24"/>
              </w:rPr>
            </w:pPr>
            <w:r w:rsidRPr="00EF1BFD">
              <w:rPr>
                <w:rFonts w:ascii="Times New Roman" w:hAnsi="Times New Roman" w:cs="Times New Roman"/>
                <w:sz w:val="24"/>
                <w:szCs w:val="24"/>
              </w:rPr>
              <w:lastRenderedPageBreak/>
              <w:t>57. Izveidojot risku kultūru, iestāde:</w:t>
            </w:r>
          </w:p>
          <w:p w14:paraId="04C3321A" w14:textId="7EAB93E7" w:rsidR="003B3A1F" w:rsidRPr="004D0835" w:rsidRDefault="003B3A1F" w:rsidP="003B3A1F">
            <w:pPr>
              <w:spacing w:after="0" w:line="240" w:lineRule="auto"/>
              <w:rPr>
                <w:rFonts w:ascii="Times New Roman" w:hAnsi="Times New Roman" w:cs="Times New Roman"/>
                <w:b/>
                <w:sz w:val="24"/>
                <w:szCs w:val="24"/>
              </w:rPr>
            </w:pPr>
            <w:r w:rsidRPr="00EF1BFD">
              <w:rPr>
                <w:rFonts w:ascii="Times New Roman" w:hAnsi="Times New Roman" w:cs="Times New Roman"/>
                <w:sz w:val="24"/>
                <w:szCs w:val="24"/>
              </w:rPr>
              <w:t>57.1. nosaka iestādes padomes un valdes uzstādījumus attiecībā uz visu iestādes darbinieku un amatpersonu sagaidāmo rīcību risku pārvaldības procesu nodrošināšanā, ņemot vērā būtiskākās iestādes pamatvērtības;</w:t>
            </w:r>
          </w:p>
        </w:tc>
      </w:tr>
      <w:tr w:rsidR="005A6324" w:rsidRPr="004D0835" w14:paraId="67AD0B46" w14:textId="77777777" w:rsidTr="00176E33">
        <w:tc>
          <w:tcPr>
            <w:tcW w:w="0" w:type="auto"/>
            <w:tcBorders>
              <w:top w:val="single" w:sz="4" w:space="0" w:color="auto"/>
              <w:left w:val="single" w:sz="4" w:space="0" w:color="auto"/>
              <w:bottom w:val="single" w:sz="4" w:space="0" w:color="auto"/>
              <w:right w:val="single" w:sz="4" w:space="0" w:color="auto"/>
            </w:tcBorders>
          </w:tcPr>
          <w:p w14:paraId="0446B312" w14:textId="0C48B0FE" w:rsidR="005A6324" w:rsidRPr="004D0835" w:rsidRDefault="00B95B99" w:rsidP="004D0835">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6.</w:t>
            </w:r>
          </w:p>
        </w:tc>
        <w:tc>
          <w:tcPr>
            <w:tcW w:w="4577" w:type="dxa"/>
            <w:tcBorders>
              <w:top w:val="single" w:sz="4" w:space="0" w:color="auto"/>
              <w:left w:val="single" w:sz="4" w:space="0" w:color="auto"/>
              <w:bottom w:val="single" w:sz="4" w:space="0" w:color="auto"/>
              <w:right w:val="single" w:sz="4" w:space="0" w:color="auto"/>
            </w:tcBorders>
          </w:tcPr>
          <w:p w14:paraId="45522582" w14:textId="77777777" w:rsidR="00EF1BFD" w:rsidRPr="00EF1BFD" w:rsidRDefault="00EF1BFD" w:rsidP="00EF1BFD">
            <w:pPr>
              <w:spacing w:after="0" w:line="240" w:lineRule="auto"/>
              <w:rPr>
                <w:rFonts w:ascii="Times New Roman" w:hAnsi="Times New Roman" w:cs="Times New Roman"/>
                <w:sz w:val="24"/>
                <w:szCs w:val="24"/>
              </w:rPr>
            </w:pPr>
            <w:r w:rsidRPr="00EF1BFD">
              <w:rPr>
                <w:rFonts w:ascii="Times New Roman" w:hAnsi="Times New Roman" w:cs="Times New Roman"/>
                <w:sz w:val="24"/>
                <w:szCs w:val="24"/>
              </w:rPr>
              <w:t>64. Veicot iestādes darbībai piemītošo būtisko risku identificēšanu, iestāde regulāri novērtē, kādi riski var nelabvēlīgi ietekmēt tās darbības mērķu sasniegšanu, tai skaitā plānoto finanšu rezultātu sasniegšanu. Iestāde nodrošina, ka būtisko risku identificēšanai tiek izmantoti atbilstoši kvantitatīvie un kvalitatīvie kritēriji, tai skaitā stresa testēšana, un novērtējuma rezultāti un secinājumi ir pamatoti un dokumentēti. Novērtējumā atbilstoši iestādes darbības specifikai tiek izvērtēti vismaz šādi riski:</w:t>
            </w:r>
          </w:p>
          <w:p w14:paraId="7B75C550" w14:textId="77777777" w:rsidR="00EF1BFD" w:rsidRPr="00EF1BFD" w:rsidRDefault="00EF1BFD" w:rsidP="00EF1BFD">
            <w:pPr>
              <w:spacing w:after="0" w:line="240" w:lineRule="auto"/>
              <w:rPr>
                <w:rFonts w:ascii="Times New Roman" w:hAnsi="Times New Roman" w:cs="Times New Roman"/>
                <w:sz w:val="24"/>
                <w:szCs w:val="24"/>
              </w:rPr>
            </w:pPr>
            <w:r w:rsidRPr="00EF1BFD">
              <w:rPr>
                <w:rFonts w:ascii="Times New Roman" w:hAnsi="Times New Roman" w:cs="Times New Roman"/>
                <w:sz w:val="24"/>
                <w:szCs w:val="24"/>
              </w:rPr>
              <w:t>64.1. kredītrisks;</w:t>
            </w:r>
          </w:p>
          <w:p w14:paraId="701F8D23" w14:textId="77777777" w:rsidR="00EF1BFD" w:rsidRPr="00EF1BFD" w:rsidRDefault="00EF1BFD" w:rsidP="00EF1BFD">
            <w:pPr>
              <w:spacing w:after="0" w:line="240" w:lineRule="auto"/>
              <w:rPr>
                <w:rFonts w:ascii="Times New Roman" w:hAnsi="Times New Roman" w:cs="Times New Roman"/>
                <w:sz w:val="24"/>
                <w:szCs w:val="24"/>
              </w:rPr>
            </w:pPr>
            <w:r w:rsidRPr="00EF1BFD">
              <w:rPr>
                <w:rFonts w:ascii="Times New Roman" w:hAnsi="Times New Roman" w:cs="Times New Roman"/>
                <w:sz w:val="24"/>
                <w:szCs w:val="24"/>
              </w:rPr>
              <w:t>64.2. tirgus riski;</w:t>
            </w:r>
          </w:p>
          <w:p w14:paraId="05767A52" w14:textId="77777777" w:rsidR="00EF1BFD" w:rsidRPr="00EF1BFD" w:rsidRDefault="00EF1BFD" w:rsidP="00EF1BFD">
            <w:pPr>
              <w:spacing w:after="0" w:line="240" w:lineRule="auto"/>
              <w:rPr>
                <w:rFonts w:ascii="Times New Roman" w:hAnsi="Times New Roman" w:cs="Times New Roman"/>
                <w:sz w:val="24"/>
                <w:szCs w:val="24"/>
              </w:rPr>
            </w:pPr>
            <w:r w:rsidRPr="00EF1BFD">
              <w:rPr>
                <w:rFonts w:ascii="Times New Roman" w:hAnsi="Times New Roman" w:cs="Times New Roman"/>
                <w:sz w:val="24"/>
                <w:szCs w:val="24"/>
              </w:rPr>
              <w:t>64.3. operacionālais risks;</w:t>
            </w:r>
          </w:p>
          <w:p w14:paraId="2D3F3FFB" w14:textId="77777777" w:rsidR="00EF1BFD" w:rsidRPr="00EF1BFD" w:rsidRDefault="00EF1BFD" w:rsidP="00EF1BFD">
            <w:pPr>
              <w:spacing w:after="0" w:line="240" w:lineRule="auto"/>
              <w:rPr>
                <w:rFonts w:ascii="Times New Roman" w:hAnsi="Times New Roman" w:cs="Times New Roman"/>
                <w:sz w:val="24"/>
                <w:szCs w:val="24"/>
              </w:rPr>
            </w:pPr>
            <w:r w:rsidRPr="00EF1BFD">
              <w:rPr>
                <w:rFonts w:ascii="Times New Roman" w:hAnsi="Times New Roman" w:cs="Times New Roman"/>
                <w:sz w:val="24"/>
                <w:szCs w:val="24"/>
              </w:rPr>
              <w:t>64.4. darbības atbilstības risks;</w:t>
            </w:r>
          </w:p>
          <w:p w14:paraId="6E864FC1" w14:textId="77777777" w:rsidR="00EF1BFD" w:rsidRPr="00EF1BFD" w:rsidRDefault="00EF1BFD" w:rsidP="00EF1BFD">
            <w:pPr>
              <w:spacing w:after="0" w:line="240" w:lineRule="auto"/>
              <w:rPr>
                <w:rFonts w:ascii="Times New Roman" w:hAnsi="Times New Roman" w:cs="Times New Roman"/>
                <w:sz w:val="24"/>
                <w:szCs w:val="24"/>
              </w:rPr>
            </w:pPr>
            <w:r w:rsidRPr="00EF1BFD">
              <w:rPr>
                <w:rFonts w:ascii="Times New Roman" w:hAnsi="Times New Roman" w:cs="Times New Roman"/>
                <w:sz w:val="24"/>
                <w:szCs w:val="24"/>
              </w:rPr>
              <w:t xml:space="preserve">64.5. noziedzīgi iegūtu līdzekļu legalizācijas un terorisma un </w:t>
            </w:r>
            <w:proofErr w:type="spellStart"/>
            <w:r w:rsidRPr="00EF1BFD">
              <w:rPr>
                <w:rFonts w:ascii="Times New Roman" w:hAnsi="Times New Roman" w:cs="Times New Roman"/>
                <w:sz w:val="24"/>
                <w:szCs w:val="24"/>
              </w:rPr>
              <w:t>proliferācijas</w:t>
            </w:r>
            <w:proofErr w:type="spellEnd"/>
            <w:r w:rsidRPr="00EF1BFD">
              <w:rPr>
                <w:rFonts w:ascii="Times New Roman" w:hAnsi="Times New Roman" w:cs="Times New Roman"/>
                <w:sz w:val="24"/>
                <w:szCs w:val="24"/>
              </w:rPr>
              <w:t xml:space="preserve"> finansēšanas risks un sankciju risks;</w:t>
            </w:r>
          </w:p>
          <w:p w14:paraId="31AE9B92" w14:textId="77777777" w:rsidR="00EF1BFD" w:rsidRPr="00EF1BFD" w:rsidRDefault="00EF1BFD" w:rsidP="00EF1BFD">
            <w:pPr>
              <w:spacing w:after="0" w:line="240" w:lineRule="auto"/>
              <w:rPr>
                <w:rFonts w:ascii="Times New Roman" w:hAnsi="Times New Roman" w:cs="Times New Roman"/>
                <w:sz w:val="24"/>
                <w:szCs w:val="24"/>
              </w:rPr>
            </w:pPr>
            <w:r w:rsidRPr="00EF1BFD">
              <w:rPr>
                <w:rFonts w:ascii="Times New Roman" w:hAnsi="Times New Roman" w:cs="Times New Roman"/>
                <w:sz w:val="24"/>
                <w:szCs w:val="24"/>
              </w:rPr>
              <w:t>64.6. informācijas tehnoloģiju risks;</w:t>
            </w:r>
          </w:p>
          <w:p w14:paraId="1292FEA4" w14:textId="77777777" w:rsidR="00EF1BFD" w:rsidRPr="00EF1BFD" w:rsidRDefault="00EF1BFD" w:rsidP="00EF1BFD">
            <w:pPr>
              <w:spacing w:after="0" w:line="240" w:lineRule="auto"/>
              <w:rPr>
                <w:rFonts w:ascii="Times New Roman" w:hAnsi="Times New Roman" w:cs="Times New Roman"/>
                <w:sz w:val="24"/>
                <w:szCs w:val="24"/>
              </w:rPr>
            </w:pPr>
            <w:r w:rsidRPr="00EF1BFD">
              <w:rPr>
                <w:rFonts w:ascii="Times New Roman" w:hAnsi="Times New Roman" w:cs="Times New Roman"/>
                <w:sz w:val="24"/>
                <w:szCs w:val="24"/>
              </w:rPr>
              <w:t xml:space="preserve">64.7. procentu likmju risks </w:t>
            </w:r>
            <w:proofErr w:type="spellStart"/>
            <w:r w:rsidRPr="00EF1BFD">
              <w:rPr>
                <w:rFonts w:ascii="Times New Roman" w:hAnsi="Times New Roman" w:cs="Times New Roman"/>
                <w:sz w:val="24"/>
                <w:szCs w:val="24"/>
              </w:rPr>
              <w:t>netirdzniecības</w:t>
            </w:r>
            <w:proofErr w:type="spellEnd"/>
            <w:r w:rsidRPr="00EF1BFD">
              <w:rPr>
                <w:rFonts w:ascii="Times New Roman" w:hAnsi="Times New Roman" w:cs="Times New Roman"/>
                <w:sz w:val="24"/>
                <w:szCs w:val="24"/>
              </w:rPr>
              <w:t xml:space="preserve"> portfelī;</w:t>
            </w:r>
          </w:p>
          <w:p w14:paraId="2C3FA1CF" w14:textId="77777777" w:rsidR="00EF1BFD" w:rsidRPr="00EF1BFD" w:rsidRDefault="00EF1BFD" w:rsidP="00EF1BFD">
            <w:pPr>
              <w:spacing w:after="0" w:line="240" w:lineRule="auto"/>
              <w:rPr>
                <w:rFonts w:ascii="Times New Roman" w:hAnsi="Times New Roman" w:cs="Times New Roman"/>
                <w:sz w:val="24"/>
                <w:szCs w:val="24"/>
              </w:rPr>
            </w:pPr>
            <w:r w:rsidRPr="00EF1BFD">
              <w:rPr>
                <w:rFonts w:ascii="Times New Roman" w:hAnsi="Times New Roman" w:cs="Times New Roman"/>
                <w:sz w:val="24"/>
                <w:szCs w:val="24"/>
              </w:rPr>
              <w:t>64.8. likviditātes risks;</w:t>
            </w:r>
          </w:p>
          <w:p w14:paraId="202F5FF0" w14:textId="77777777" w:rsidR="00EF1BFD" w:rsidRPr="00EF1BFD" w:rsidRDefault="00EF1BFD" w:rsidP="00EF1BFD">
            <w:pPr>
              <w:spacing w:after="0" w:line="240" w:lineRule="auto"/>
              <w:rPr>
                <w:rFonts w:ascii="Times New Roman" w:hAnsi="Times New Roman" w:cs="Times New Roman"/>
                <w:sz w:val="24"/>
                <w:szCs w:val="24"/>
              </w:rPr>
            </w:pPr>
            <w:r w:rsidRPr="00EF1BFD">
              <w:rPr>
                <w:rFonts w:ascii="Times New Roman" w:hAnsi="Times New Roman" w:cs="Times New Roman"/>
                <w:sz w:val="24"/>
                <w:szCs w:val="24"/>
              </w:rPr>
              <w:lastRenderedPageBreak/>
              <w:t>64.9. riski, kas rodas no riska darījumu koncentrācijas;</w:t>
            </w:r>
          </w:p>
          <w:p w14:paraId="54803694" w14:textId="77777777" w:rsidR="00EF1BFD" w:rsidRPr="00EF1BFD" w:rsidRDefault="00EF1BFD" w:rsidP="00EF1BFD">
            <w:pPr>
              <w:spacing w:after="0" w:line="240" w:lineRule="auto"/>
              <w:rPr>
                <w:rFonts w:ascii="Times New Roman" w:hAnsi="Times New Roman" w:cs="Times New Roman"/>
                <w:sz w:val="24"/>
                <w:szCs w:val="24"/>
              </w:rPr>
            </w:pPr>
            <w:r w:rsidRPr="00EF1BFD">
              <w:rPr>
                <w:rFonts w:ascii="Times New Roman" w:hAnsi="Times New Roman" w:cs="Times New Roman"/>
                <w:sz w:val="24"/>
                <w:szCs w:val="24"/>
              </w:rPr>
              <w:t>64.10. atlikušais risks – risks, ka iestādes lietotās kredītriska mazināšanas metodes izrādās mazāk efektīvas, nekā sākotnēji paredzēts;</w:t>
            </w:r>
          </w:p>
          <w:p w14:paraId="55BAB50A" w14:textId="77777777" w:rsidR="00EF1BFD" w:rsidRPr="00EF1BFD" w:rsidRDefault="00EF1BFD" w:rsidP="00EF1BFD">
            <w:pPr>
              <w:spacing w:after="0" w:line="240" w:lineRule="auto"/>
              <w:rPr>
                <w:rFonts w:ascii="Times New Roman" w:hAnsi="Times New Roman" w:cs="Times New Roman"/>
                <w:sz w:val="24"/>
                <w:szCs w:val="24"/>
              </w:rPr>
            </w:pPr>
            <w:r w:rsidRPr="00EF1BFD">
              <w:rPr>
                <w:rFonts w:ascii="Times New Roman" w:hAnsi="Times New Roman" w:cs="Times New Roman"/>
                <w:sz w:val="24"/>
                <w:szCs w:val="24"/>
              </w:rPr>
              <w:t xml:space="preserve">64.11. riski, kas rodas </w:t>
            </w:r>
            <w:proofErr w:type="spellStart"/>
            <w:r w:rsidRPr="00EF1BFD">
              <w:rPr>
                <w:rFonts w:ascii="Times New Roman" w:hAnsi="Times New Roman" w:cs="Times New Roman"/>
                <w:sz w:val="24"/>
                <w:szCs w:val="24"/>
              </w:rPr>
              <w:t>vērtspapīrošanas</w:t>
            </w:r>
            <w:proofErr w:type="spellEnd"/>
            <w:r w:rsidRPr="00EF1BFD">
              <w:rPr>
                <w:rFonts w:ascii="Times New Roman" w:hAnsi="Times New Roman" w:cs="Times New Roman"/>
                <w:sz w:val="24"/>
                <w:szCs w:val="24"/>
              </w:rPr>
              <w:t xml:space="preserve"> darījumu rezultātā, ja iestāde šajos darījumos piedalās kā ieguldītājs, sākotnējais aizdevējs, iniciators vai sponsors;</w:t>
            </w:r>
          </w:p>
          <w:p w14:paraId="76C02256" w14:textId="77777777" w:rsidR="00EF1BFD" w:rsidRPr="00EF1BFD" w:rsidRDefault="00EF1BFD" w:rsidP="00EF1BFD">
            <w:pPr>
              <w:spacing w:after="0" w:line="240" w:lineRule="auto"/>
              <w:rPr>
                <w:rFonts w:ascii="Times New Roman" w:hAnsi="Times New Roman" w:cs="Times New Roman"/>
                <w:sz w:val="24"/>
                <w:szCs w:val="24"/>
              </w:rPr>
            </w:pPr>
            <w:r w:rsidRPr="00EF1BFD">
              <w:rPr>
                <w:rFonts w:ascii="Times New Roman" w:hAnsi="Times New Roman" w:cs="Times New Roman"/>
                <w:sz w:val="24"/>
                <w:szCs w:val="24"/>
              </w:rPr>
              <w:t>64.12. pārmērīgas sviras risks;</w:t>
            </w:r>
          </w:p>
          <w:p w14:paraId="43F2380D" w14:textId="77777777" w:rsidR="00EF1BFD" w:rsidRPr="00EF1BFD" w:rsidRDefault="00EF1BFD" w:rsidP="00EF1BFD">
            <w:pPr>
              <w:spacing w:after="0" w:line="240" w:lineRule="auto"/>
              <w:rPr>
                <w:rFonts w:ascii="Times New Roman" w:hAnsi="Times New Roman" w:cs="Times New Roman"/>
                <w:sz w:val="24"/>
                <w:szCs w:val="24"/>
              </w:rPr>
            </w:pPr>
            <w:r w:rsidRPr="00EF1BFD">
              <w:rPr>
                <w:rFonts w:ascii="Times New Roman" w:hAnsi="Times New Roman" w:cs="Times New Roman"/>
                <w:sz w:val="24"/>
                <w:szCs w:val="24"/>
              </w:rPr>
              <w:t>64.13. valsts risks – risks ciest zaudējumus ārvalsts ekonomisko, sociālo vai politisko notikumu dēļ. Valsts risks ietver arī pārveduma risku – risku, ka parādnieks nespēs nodrošināt to, ka tā rīcībā ir ārvalstu valūta saistību pildīšanai;</w:t>
            </w:r>
          </w:p>
          <w:p w14:paraId="27507269" w14:textId="3E5D1979" w:rsidR="005A6324" w:rsidRPr="004D0835" w:rsidRDefault="00EF1BFD" w:rsidP="00EF1BFD">
            <w:pPr>
              <w:spacing w:after="0" w:line="240" w:lineRule="auto"/>
              <w:rPr>
                <w:rFonts w:ascii="Times New Roman" w:hAnsi="Times New Roman" w:cs="Times New Roman"/>
                <w:sz w:val="24"/>
                <w:szCs w:val="24"/>
              </w:rPr>
            </w:pPr>
            <w:r w:rsidRPr="00EF1BFD">
              <w:rPr>
                <w:rFonts w:ascii="Times New Roman" w:hAnsi="Times New Roman" w:cs="Times New Roman"/>
                <w:sz w:val="24"/>
                <w:szCs w:val="24"/>
              </w:rPr>
              <w:t>64.14. pārējie iestādes darbību ietekmējošie riski (piemēram, reputācijas risks, stratēģijas risks).</w:t>
            </w:r>
          </w:p>
        </w:tc>
        <w:tc>
          <w:tcPr>
            <w:tcW w:w="4694" w:type="dxa"/>
            <w:tcBorders>
              <w:top w:val="single" w:sz="4" w:space="0" w:color="auto"/>
              <w:left w:val="single" w:sz="4" w:space="0" w:color="auto"/>
              <w:bottom w:val="single" w:sz="4" w:space="0" w:color="auto"/>
              <w:right w:val="single" w:sz="4" w:space="0" w:color="auto"/>
            </w:tcBorders>
          </w:tcPr>
          <w:p w14:paraId="48DA4D0F" w14:textId="77777777" w:rsidR="005A6324" w:rsidRDefault="005A6324" w:rsidP="00D13AD7">
            <w:pPr>
              <w:spacing w:after="0" w:line="240" w:lineRule="auto"/>
              <w:rPr>
                <w:rFonts w:ascii="Times New Roman" w:hAnsi="Times New Roman" w:cs="Times New Roman"/>
                <w:i/>
                <w:iCs/>
                <w:sz w:val="24"/>
                <w:szCs w:val="24"/>
              </w:rPr>
            </w:pPr>
            <w:r w:rsidRPr="00D13AD7">
              <w:rPr>
                <w:rFonts w:ascii="Times New Roman" w:hAnsi="Times New Roman" w:cs="Times New Roman"/>
                <w:b/>
                <w:bCs/>
                <w:sz w:val="24"/>
                <w:szCs w:val="24"/>
              </w:rPr>
              <w:lastRenderedPageBreak/>
              <w:t>64.punkts</w:t>
            </w:r>
            <w:r w:rsidRPr="00D13AD7">
              <w:rPr>
                <w:rFonts w:ascii="Times New Roman" w:hAnsi="Times New Roman" w:cs="Times New Roman"/>
                <w:sz w:val="24"/>
                <w:szCs w:val="24"/>
              </w:rPr>
              <w:t xml:space="preserve"> – Lūdzam sniegt skaidrojumu, kāpēc izņemts modeļa risks? </w:t>
            </w:r>
            <w:r w:rsidRPr="00D13AD7">
              <w:rPr>
                <w:rFonts w:ascii="Times New Roman" w:hAnsi="Times New Roman" w:cs="Times New Roman"/>
                <w:i/>
                <w:iCs/>
                <w:sz w:val="24"/>
                <w:szCs w:val="24"/>
              </w:rPr>
              <w:t>Iespējams, ka ir jāprecizē definīcija, jo tas ir aktuāli ne tikai IRB, bet jebkuram modelim, ko izmanto banka (cenošana, klientu vērtēšana). (varbūt šo risku klasificē zem operacionālajiem riskiem?)</w:t>
            </w:r>
          </w:p>
          <w:p w14:paraId="5441FAD0" w14:textId="2F935F28" w:rsidR="008A32C5" w:rsidRPr="005A6324" w:rsidRDefault="008A32C5" w:rsidP="00D13AD7">
            <w:pPr>
              <w:spacing w:after="0" w:line="240" w:lineRule="auto"/>
              <w:rPr>
                <w:rFonts w:ascii="Times New Roman" w:hAnsi="Times New Roman" w:cs="Times New Roman"/>
                <w:i/>
                <w:iCs/>
                <w:sz w:val="24"/>
                <w:szCs w:val="24"/>
              </w:rPr>
            </w:pPr>
          </w:p>
        </w:tc>
        <w:tc>
          <w:tcPr>
            <w:tcW w:w="4662" w:type="dxa"/>
            <w:tcBorders>
              <w:top w:val="single" w:sz="4" w:space="0" w:color="auto"/>
              <w:left w:val="single" w:sz="4" w:space="0" w:color="auto"/>
              <w:bottom w:val="single" w:sz="4" w:space="0" w:color="auto"/>
              <w:right w:val="single" w:sz="4" w:space="0" w:color="auto"/>
            </w:tcBorders>
          </w:tcPr>
          <w:p w14:paraId="585A6734" w14:textId="77777777" w:rsidR="003B3A1F" w:rsidRDefault="00F92437" w:rsidP="004D0835">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Skaidrojums. </w:t>
            </w:r>
          </w:p>
          <w:p w14:paraId="023FE125" w14:textId="27C169F4" w:rsidR="008A32C5" w:rsidRPr="004D0835" w:rsidRDefault="001A59B6" w:rsidP="009C5F66">
            <w:pPr>
              <w:spacing w:after="0" w:line="240" w:lineRule="auto"/>
              <w:rPr>
                <w:rFonts w:ascii="Times New Roman" w:hAnsi="Times New Roman" w:cs="Times New Roman"/>
                <w:b/>
                <w:sz w:val="24"/>
                <w:szCs w:val="24"/>
              </w:rPr>
            </w:pPr>
            <w:r>
              <w:rPr>
                <w:rFonts w:ascii="Times New Roman" w:hAnsi="Times New Roman" w:cs="Times New Roman"/>
                <w:bCs/>
                <w:sz w:val="24"/>
                <w:szCs w:val="24"/>
              </w:rPr>
              <w:t>Noteikumu projektā nav iekļauta m</w:t>
            </w:r>
            <w:r w:rsidR="001D00BB" w:rsidRPr="003B3A1F">
              <w:rPr>
                <w:rFonts w:ascii="Times New Roman" w:hAnsi="Times New Roman" w:cs="Times New Roman"/>
                <w:bCs/>
                <w:sz w:val="24"/>
                <w:szCs w:val="24"/>
              </w:rPr>
              <w:t>odeļa risk</w:t>
            </w:r>
            <w:r w:rsidR="003B3A1F" w:rsidRPr="003B3A1F">
              <w:rPr>
                <w:rFonts w:ascii="Times New Roman" w:hAnsi="Times New Roman" w:cs="Times New Roman"/>
                <w:bCs/>
                <w:sz w:val="24"/>
                <w:szCs w:val="24"/>
              </w:rPr>
              <w:t>a definīcija</w:t>
            </w:r>
            <w:r>
              <w:rPr>
                <w:rFonts w:ascii="Times New Roman" w:hAnsi="Times New Roman" w:cs="Times New Roman"/>
                <w:bCs/>
                <w:sz w:val="24"/>
                <w:szCs w:val="24"/>
              </w:rPr>
              <w:t>, jo to nosaka</w:t>
            </w:r>
            <w:r w:rsidR="009C5F66">
              <w:rPr>
                <w:rFonts w:ascii="Times New Roman" w:hAnsi="Times New Roman" w:cs="Times New Roman"/>
                <w:bCs/>
                <w:sz w:val="24"/>
                <w:szCs w:val="24"/>
              </w:rPr>
              <w:t xml:space="preserve"> </w:t>
            </w:r>
            <w:r w:rsidR="009C5F66" w:rsidRPr="009C5F66">
              <w:rPr>
                <w:rFonts w:ascii="Times New Roman" w:hAnsi="Times New Roman" w:cs="Times New Roman"/>
                <w:sz w:val="24"/>
                <w:szCs w:val="24"/>
              </w:rPr>
              <w:t>Eiropas Parlamenta un Padomes 2024.</w:t>
            </w:r>
            <w:r w:rsidR="009C5F66">
              <w:rPr>
                <w:rFonts w:ascii="Times New Roman" w:hAnsi="Times New Roman" w:cs="Times New Roman"/>
                <w:sz w:val="24"/>
                <w:szCs w:val="24"/>
              </w:rPr>
              <w:t> </w:t>
            </w:r>
            <w:r w:rsidR="009C5F66" w:rsidRPr="009C5F66">
              <w:rPr>
                <w:rFonts w:ascii="Times New Roman" w:hAnsi="Times New Roman" w:cs="Times New Roman"/>
                <w:sz w:val="24"/>
                <w:szCs w:val="24"/>
              </w:rPr>
              <w:t>gada 31.</w:t>
            </w:r>
            <w:r w:rsidR="009C5F66">
              <w:rPr>
                <w:rFonts w:ascii="Times New Roman" w:hAnsi="Times New Roman" w:cs="Times New Roman"/>
                <w:sz w:val="24"/>
                <w:szCs w:val="24"/>
              </w:rPr>
              <w:t> </w:t>
            </w:r>
            <w:r w:rsidR="009C5F66" w:rsidRPr="009C5F66">
              <w:rPr>
                <w:rFonts w:ascii="Times New Roman" w:hAnsi="Times New Roman" w:cs="Times New Roman"/>
                <w:sz w:val="24"/>
                <w:szCs w:val="24"/>
              </w:rPr>
              <w:t>maija regula (ES) Nr. 2024/1623 ar ko groza regulu (ES) Nr.</w:t>
            </w:r>
            <w:r w:rsidR="009C5F66">
              <w:rPr>
                <w:rFonts w:ascii="Times New Roman" w:hAnsi="Times New Roman" w:cs="Times New Roman"/>
                <w:sz w:val="24"/>
                <w:szCs w:val="24"/>
              </w:rPr>
              <w:t> </w:t>
            </w:r>
            <w:r w:rsidR="009C5F66" w:rsidRPr="009C5F66">
              <w:rPr>
                <w:rFonts w:ascii="Times New Roman" w:hAnsi="Times New Roman" w:cs="Times New Roman"/>
                <w:sz w:val="24"/>
                <w:szCs w:val="24"/>
              </w:rPr>
              <w:t>575/2013 attiecībā uz prasībām kredītriskam, kredīta vērtības korekcijas riskam, operacionālajam riskam, tirgus riskam un riska darījumu vērtības minimālajai robežvērtībai</w:t>
            </w:r>
            <w:r w:rsidR="00920269">
              <w:rPr>
                <w:rFonts w:ascii="Times New Roman" w:hAnsi="Times New Roman" w:cs="Times New Roman"/>
                <w:sz w:val="24"/>
                <w:szCs w:val="24"/>
              </w:rPr>
              <w:t xml:space="preserve">, kura stāsies spēkā 2025. gada 1. janvārī. </w:t>
            </w:r>
            <w:r w:rsidR="003B3A1F">
              <w:rPr>
                <w:rFonts w:ascii="Times New Roman" w:hAnsi="Times New Roman" w:cs="Times New Roman"/>
                <w:bCs/>
                <w:sz w:val="24"/>
                <w:szCs w:val="24"/>
              </w:rPr>
              <w:t xml:space="preserve">Papildus tam jāņem vērā, ka Kredītiestāžu likuma </w:t>
            </w:r>
            <w:r w:rsidR="008A32C5" w:rsidRPr="003B3A1F">
              <w:rPr>
                <w:rFonts w:ascii="Times New Roman" w:hAnsi="Times New Roman" w:cs="Times New Roman"/>
                <w:bCs/>
                <w:sz w:val="24"/>
                <w:szCs w:val="24"/>
              </w:rPr>
              <w:t>34.</w:t>
            </w:r>
            <w:r w:rsidR="008A32C5" w:rsidRPr="003B3A1F">
              <w:rPr>
                <w:rFonts w:ascii="Times New Roman" w:hAnsi="Times New Roman" w:cs="Times New Roman"/>
                <w:bCs/>
                <w:sz w:val="24"/>
                <w:szCs w:val="24"/>
                <w:vertAlign w:val="superscript"/>
              </w:rPr>
              <w:t>2</w:t>
            </w:r>
            <w:r w:rsidR="003B3A1F">
              <w:rPr>
                <w:rFonts w:ascii="Times New Roman" w:hAnsi="Times New Roman" w:cs="Times New Roman"/>
                <w:bCs/>
                <w:sz w:val="24"/>
                <w:szCs w:val="24"/>
              </w:rPr>
              <w:t> </w:t>
            </w:r>
            <w:r w:rsidR="007A4C45">
              <w:rPr>
                <w:rFonts w:ascii="Times New Roman" w:hAnsi="Times New Roman" w:cs="Times New Roman"/>
                <w:bCs/>
                <w:sz w:val="24"/>
                <w:szCs w:val="24"/>
              </w:rPr>
              <w:t xml:space="preserve">panta pirmajā daļā norādīts, ka </w:t>
            </w:r>
            <w:r w:rsidR="008A32C5" w:rsidRPr="003B3A1F">
              <w:rPr>
                <w:rFonts w:ascii="Times New Roman" w:hAnsi="Times New Roman" w:cs="Times New Roman"/>
                <w:bCs/>
                <w:sz w:val="24"/>
                <w:szCs w:val="24"/>
              </w:rPr>
              <w:t>operacionāl</w:t>
            </w:r>
            <w:r w:rsidR="007A4C45">
              <w:rPr>
                <w:rFonts w:ascii="Times New Roman" w:hAnsi="Times New Roman" w:cs="Times New Roman"/>
                <w:bCs/>
                <w:sz w:val="24"/>
                <w:szCs w:val="24"/>
              </w:rPr>
              <w:t>ā riska novērtējums</w:t>
            </w:r>
            <w:r w:rsidR="008A32C5" w:rsidRPr="003B3A1F">
              <w:rPr>
                <w:rFonts w:ascii="Times New Roman" w:hAnsi="Times New Roman" w:cs="Times New Roman"/>
                <w:bCs/>
                <w:sz w:val="24"/>
                <w:szCs w:val="24"/>
              </w:rPr>
              <w:t xml:space="preserve"> tai skaitā </w:t>
            </w:r>
            <w:r w:rsidR="007A4C45">
              <w:rPr>
                <w:rFonts w:ascii="Times New Roman" w:hAnsi="Times New Roman" w:cs="Times New Roman"/>
                <w:bCs/>
                <w:sz w:val="24"/>
                <w:szCs w:val="24"/>
              </w:rPr>
              <w:t xml:space="preserve">ietver arī </w:t>
            </w:r>
            <w:r w:rsidR="008A32C5" w:rsidRPr="003B3A1F">
              <w:rPr>
                <w:rFonts w:ascii="Times New Roman" w:hAnsi="Times New Roman" w:cs="Times New Roman"/>
                <w:bCs/>
                <w:sz w:val="24"/>
                <w:szCs w:val="24"/>
              </w:rPr>
              <w:t>modeļa risku</w:t>
            </w:r>
            <w:r w:rsidR="007A4C45">
              <w:rPr>
                <w:rFonts w:ascii="Times New Roman" w:hAnsi="Times New Roman" w:cs="Times New Roman"/>
                <w:bCs/>
                <w:sz w:val="24"/>
                <w:szCs w:val="24"/>
              </w:rPr>
              <w:t>.</w:t>
            </w:r>
          </w:p>
        </w:tc>
      </w:tr>
      <w:tr w:rsidR="005A6324" w:rsidRPr="004D0835" w14:paraId="3C678D1A" w14:textId="77777777" w:rsidTr="001A59B6">
        <w:tc>
          <w:tcPr>
            <w:tcW w:w="0" w:type="auto"/>
            <w:tcBorders>
              <w:top w:val="single" w:sz="4" w:space="0" w:color="auto"/>
              <w:left w:val="single" w:sz="4" w:space="0" w:color="auto"/>
              <w:bottom w:val="single" w:sz="4" w:space="0" w:color="auto"/>
              <w:right w:val="single" w:sz="4" w:space="0" w:color="auto"/>
            </w:tcBorders>
          </w:tcPr>
          <w:p w14:paraId="22895968" w14:textId="274BFEDE" w:rsidR="005A6324" w:rsidRPr="004D0835" w:rsidRDefault="00B95B99" w:rsidP="004D0835">
            <w:pPr>
              <w:spacing w:after="0" w:line="240" w:lineRule="auto"/>
              <w:rPr>
                <w:rFonts w:ascii="Times New Roman" w:hAnsi="Times New Roman" w:cs="Times New Roman"/>
                <w:sz w:val="24"/>
                <w:szCs w:val="24"/>
              </w:rPr>
            </w:pPr>
            <w:r>
              <w:rPr>
                <w:rFonts w:ascii="Times New Roman" w:hAnsi="Times New Roman" w:cs="Times New Roman"/>
                <w:sz w:val="24"/>
                <w:szCs w:val="24"/>
              </w:rPr>
              <w:t>7.</w:t>
            </w:r>
          </w:p>
        </w:tc>
        <w:tc>
          <w:tcPr>
            <w:tcW w:w="4577" w:type="dxa"/>
            <w:tcBorders>
              <w:top w:val="single" w:sz="4" w:space="0" w:color="auto"/>
              <w:left w:val="single" w:sz="4" w:space="0" w:color="auto"/>
              <w:bottom w:val="single" w:sz="4" w:space="0" w:color="auto"/>
              <w:right w:val="single" w:sz="4" w:space="0" w:color="auto"/>
            </w:tcBorders>
          </w:tcPr>
          <w:p w14:paraId="0A37B9AF" w14:textId="0F5066FD" w:rsidR="005A6324" w:rsidRPr="004D0835" w:rsidRDefault="00EF1BFD" w:rsidP="004D0835">
            <w:pPr>
              <w:spacing w:after="0" w:line="240" w:lineRule="auto"/>
              <w:rPr>
                <w:rFonts w:ascii="Times New Roman" w:hAnsi="Times New Roman" w:cs="Times New Roman"/>
                <w:sz w:val="24"/>
                <w:szCs w:val="24"/>
              </w:rPr>
            </w:pPr>
            <w:r w:rsidRPr="00EF1BFD">
              <w:rPr>
                <w:rFonts w:ascii="Times New Roman" w:hAnsi="Times New Roman" w:cs="Times New Roman"/>
                <w:sz w:val="24"/>
                <w:szCs w:val="24"/>
              </w:rPr>
              <w:t>64.6. informācijas tehnoloģiju risks;</w:t>
            </w:r>
          </w:p>
        </w:tc>
        <w:tc>
          <w:tcPr>
            <w:tcW w:w="4694" w:type="dxa"/>
            <w:tcBorders>
              <w:top w:val="single" w:sz="4" w:space="0" w:color="auto"/>
              <w:left w:val="single" w:sz="4" w:space="0" w:color="auto"/>
              <w:bottom w:val="single" w:sz="4" w:space="0" w:color="auto"/>
              <w:right w:val="single" w:sz="4" w:space="0" w:color="auto"/>
            </w:tcBorders>
          </w:tcPr>
          <w:p w14:paraId="16DB2C51" w14:textId="588DAB4B" w:rsidR="005A6324" w:rsidRPr="005A6324" w:rsidRDefault="005A6324" w:rsidP="00D13AD7">
            <w:pPr>
              <w:spacing w:after="0" w:line="240" w:lineRule="auto"/>
              <w:rPr>
                <w:rFonts w:ascii="Times New Roman" w:hAnsi="Times New Roman" w:cs="Times New Roman"/>
                <w:sz w:val="24"/>
                <w:szCs w:val="24"/>
              </w:rPr>
            </w:pPr>
            <w:r w:rsidRPr="00D13AD7">
              <w:rPr>
                <w:rFonts w:ascii="Times New Roman" w:hAnsi="Times New Roman" w:cs="Times New Roman"/>
                <w:b/>
                <w:bCs/>
                <w:sz w:val="24"/>
                <w:szCs w:val="24"/>
              </w:rPr>
              <w:t>64.6. punkts</w:t>
            </w:r>
            <w:r w:rsidRPr="00D13AD7">
              <w:rPr>
                <w:rFonts w:ascii="Times New Roman" w:hAnsi="Times New Roman" w:cs="Times New Roman"/>
                <w:sz w:val="24"/>
                <w:szCs w:val="24"/>
              </w:rPr>
              <w:t xml:space="preserve"> - Aicinām arī apsvērt “informācijas tehnoloģiju risks” aizstāt ar “informācijas un komunikācijas tehnoloģiju (IKT) risks” kā ir lietots </w:t>
            </w:r>
            <w:r w:rsidRPr="00D13AD7">
              <w:rPr>
                <w:rFonts w:ascii="Times New Roman" w:hAnsi="Times New Roman" w:cs="Times New Roman"/>
                <w:i/>
                <w:iCs/>
                <w:sz w:val="24"/>
                <w:szCs w:val="24"/>
              </w:rPr>
              <w:t>DORA</w:t>
            </w:r>
            <w:r w:rsidRPr="00D13AD7">
              <w:rPr>
                <w:rFonts w:ascii="Times New Roman" w:hAnsi="Times New Roman" w:cs="Times New Roman"/>
                <w:sz w:val="24"/>
                <w:szCs w:val="24"/>
              </w:rPr>
              <w:t>.</w:t>
            </w:r>
          </w:p>
        </w:tc>
        <w:tc>
          <w:tcPr>
            <w:tcW w:w="4662" w:type="dxa"/>
            <w:tcBorders>
              <w:top w:val="single" w:sz="4" w:space="0" w:color="auto"/>
              <w:left w:val="single" w:sz="4" w:space="0" w:color="auto"/>
              <w:bottom w:val="single" w:sz="4" w:space="0" w:color="auto"/>
              <w:right w:val="single" w:sz="4" w:space="0" w:color="auto"/>
            </w:tcBorders>
            <w:shd w:val="clear" w:color="auto" w:fill="auto"/>
          </w:tcPr>
          <w:p w14:paraId="7BFA4F9B" w14:textId="77777777" w:rsidR="001A59B6" w:rsidRDefault="005A6324" w:rsidP="004D0835">
            <w:pPr>
              <w:spacing w:after="0" w:line="240" w:lineRule="auto"/>
              <w:rPr>
                <w:rFonts w:ascii="Times New Roman" w:hAnsi="Times New Roman" w:cs="Times New Roman"/>
                <w:b/>
                <w:sz w:val="24"/>
                <w:szCs w:val="24"/>
              </w:rPr>
            </w:pPr>
            <w:r>
              <w:rPr>
                <w:rFonts w:ascii="Times New Roman" w:hAnsi="Times New Roman" w:cs="Times New Roman"/>
                <w:b/>
                <w:sz w:val="24"/>
                <w:szCs w:val="24"/>
              </w:rPr>
              <w:t>Ņemts vērā.</w:t>
            </w:r>
          </w:p>
          <w:p w14:paraId="72BA293E" w14:textId="69DF7EF1" w:rsidR="00CF7434" w:rsidRDefault="00CF7434" w:rsidP="004D0835">
            <w:pPr>
              <w:spacing w:after="0" w:line="240" w:lineRule="auto"/>
              <w:rPr>
                <w:rFonts w:ascii="Times New Roman" w:hAnsi="Times New Roman" w:cs="Times New Roman"/>
                <w:b/>
                <w:sz w:val="24"/>
                <w:szCs w:val="24"/>
              </w:rPr>
            </w:pPr>
            <w:r>
              <w:rPr>
                <w:rFonts w:ascii="Times New Roman" w:hAnsi="Times New Roman" w:cs="Times New Roman"/>
                <w:b/>
                <w:sz w:val="24"/>
                <w:szCs w:val="24"/>
              </w:rPr>
              <w:t>Precizēta redakcija:</w:t>
            </w:r>
          </w:p>
          <w:p w14:paraId="713FECAD" w14:textId="764C86AF" w:rsidR="005A6324" w:rsidRPr="001A59B6" w:rsidRDefault="001A59B6" w:rsidP="001A59B6">
            <w:pPr>
              <w:pStyle w:val="NApunkts2"/>
              <w:numPr>
                <w:ilvl w:val="0"/>
                <w:numId w:val="0"/>
              </w:numPr>
              <w:jc w:val="left"/>
            </w:pPr>
            <w:r>
              <w:t>64.</w:t>
            </w:r>
            <w:r w:rsidR="00BB4C05">
              <w:t>6</w:t>
            </w:r>
            <w:r>
              <w:t>. </w:t>
            </w:r>
            <w:r w:rsidRPr="003A6918">
              <w:t>informācijas</w:t>
            </w:r>
            <w:r>
              <w:t xml:space="preserve"> un komunikācijas</w:t>
            </w:r>
            <w:r w:rsidRPr="003A6918">
              <w:t xml:space="preserve"> tehnoloģiju risks;</w:t>
            </w:r>
          </w:p>
        </w:tc>
      </w:tr>
      <w:tr w:rsidR="005A6324" w:rsidRPr="004D0835" w14:paraId="4245F7B7" w14:textId="77777777" w:rsidTr="00176E33">
        <w:tc>
          <w:tcPr>
            <w:tcW w:w="0" w:type="auto"/>
            <w:tcBorders>
              <w:top w:val="single" w:sz="4" w:space="0" w:color="auto"/>
              <w:left w:val="single" w:sz="4" w:space="0" w:color="auto"/>
              <w:bottom w:val="single" w:sz="4" w:space="0" w:color="auto"/>
              <w:right w:val="single" w:sz="4" w:space="0" w:color="auto"/>
            </w:tcBorders>
          </w:tcPr>
          <w:p w14:paraId="706E582A" w14:textId="493D2FD3" w:rsidR="005A6324" w:rsidRPr="004D0835" w:rsidRDefault="00B95B99" w:rsidP="004D0835">
            <w:pPr>
              <w:spacing w:after="0" w:line="240" w:lineRule="auto"/>
              <w:rPr>
                <w:rFonts w:ascii="Times New Roman" w:hAnsi="Times New Roman" w:cs="Times New Roman"/>
                <w:sz w:val="24"/>
                <w:szCs w:val="24"/>
              </w:rPr>
            </w:pPr>
            <w:r>
              <w:rPr>
                <w:rFonts w:ascii="Times New Roman" w:hAnsi="Times New Roman" w:cs="Times New Roman"/>
                <w:sz w:val="24"/>
                <w:szCs w:val="24"/>
              </w:rPr>
              <w:t>8.</w:t>
            </w:r>
          </w:p>
        </w:tc>
        <w:tc>
          <w:tcPr>
            <w:tcW w:w="4577" w:type="dxa"/>
            <w:tcBorders>
              <w:top w:val="single" w:sz="4" w:space="0" w:color="auto"/>
              <w:left w:val="single" w:sz="4" w:space="0" w:color="auto"/>
              <w:bottom w:val="single" w:sz="4" w:space="0" w:color="auto"/>
              <w:right w:val="single" w:sz="4" w:space="0" w:color="auto"/>
            </w:tcBorders>
          </w:tcPr>
          <w:p w14:paraId="2DEE1E6A" w14:textId="77777777" w:rsidR="005A6324" w:rsidRDefault="005A6324" w:rsidP="004D0835">
            <w:pPr>
              <w:spacing w:after="0" w:line="240" w:lineRule="auto"/>
              <w:rPr>
                <w:rFonts w:ascii="Times New Roman" w:hAnsi="Times New Roman" w:cs="Times New Roman"/>
                <w:sz w:val="24"/>
                <w:szCs w:val="24"/>
              </w:rPr>
            </w:pPr>
          </w:p>
          <w:p w14:paraId="5439263D" w14:textId="1B4560B0" w:rsidR="00EF1BFD" w:rsidRPr="00EF1BFD" w:rsidRDefault="00EF1BFD" w:rsidP="00EF1BFD">
            <w:pPr>
              <w:rPr>
                <w:rFonts w:ascii="Times New Roman" w:hAnsi="Times New Roman" w:cs="Times New Roman"/>
                <w:sz w:val="24"/>
                <w:szCs w:val="24"/>
              </w:rPr>
            </w:pPr>
            <w:r w:rsidRPr="00EF1BFD">
              <w:rPr>
                <w:rFonts w:ascii="Times New Roman" w:hAnsi="Times New Roman" w:cs="Times New Roman"/>
                <w:sz w:val="24"/>
                <w:szCs w:val="24"/>
              </w:rPr>
              <w:t xml:space="preserve">64.13. valsts risks – risks ciest zaudējumus ārvalsts ekonomisko, sociālo vai politisko notikumu dēļ. Valsts risks ietver arī pārveduma risku – risku, ka </w:t>
            </w:r>
            <w:r w:rsidRPr="001A59B6">
              <w:rPr>
                <w:rFonts w:ascii="Times New Roman" w:hAnsi="Times New Roman" w:cs="Times New Roman"/>
                <w:b/>
                <w:bCs/>
                <w:sz w:val="24"/>
                <w:szCs w:val="24"/>
              </w:rPr>
              <w:t xml:space="preserve">parādnieks </w:t>
            </w:r>
            <w:r w:rsidRPr="00EF1BFD">
              <w:rPr>
                <w:rFonts w:ascii="Times New Roman" w:hAnsi="Times New Roman" w:cs="Times New Roman"/>
                <w:sz w:val="24"/>
                <w:szCs w:val="24"/>
              </w:rPr>
              <w:t>nespēs nodrošināt to, ka tā rīcībā ir ārvalstu valūta saistību pildīšanai;</w:t>
            </w:r>
          </w:p>
        </w:tc>
        <w:tc>
          <w:tcPr>
            <w:tcW w:w="4694" w:type="dxa"/>
            <w:tcBorders>
              <w:top w:val="single" w:sz="4" w:space="0" w:color="auto"/>
              <w:left w:val="single" w:sz="4" w:space="0" w:color="auto"/>
              <w:bottom w:val="single" w:sz="4" w:space="0" w:color="auto"/>
              <w:right w:val="single" w:sz="4" w:space="0" w:color="auto"/>
            </w:tcBorders>
          </w:tcPr>
          <w:p w14:paraId="2F7CCA0D" w14:textId="2793415B" w:rsidR="005A6324" w:rsidRPr="00B95B99" w:rsidRDefault="005A6324" w:rsidP="00D13AD7">
            <w:pPr>
              <w:spacing w:after="0" w:line="240" w:lineRule="auto"/>
              <w:rPr>
                <w:rFonts w:ascii="Times New Roman" w:hAnsi="Times New Roman" w:cs="Times New Roman"/>
                <w:sz w:val="24"/>
                <w:szCs w:val="24"/>
              </w:rPr>
            </w:pPr>
            <w:r w:rsidRPr="00D13AD7">
              <w:rPr>
                <w:rFonts w:ascii="Times New Roman" w:hAnsi="Times New Roman" w:cs="Times New Roman"/>
                <w:b/>
                <w:bCs/>
                <w:sz w:val="24"/>
                <w:szCs w:val="24"/>
              </w:rPr>
              <w:t>64.13 punkts</w:t>
            </w:r>
            <w:r w:rsidRPr="00D13AD7">
              <w:rPr>
                <w:rFonts w:ascii="Times New Roman" w:hAnsi="Times New Roman" w:cs="Times New Roman"/>
                <w:sz w:val="24"/>
                <w:szCs w:val="24"/>
              </w:rPr>
              <w:t xml:space="preserve"> </w:t>
            </w:r>
            <w:bookmarkStart w:id="11" w:name="_Hlk180104097"/>
            <w:r w:rsidRPr="00D13AD7">
              <w:rPr>
                <w:rFonts w:ascii="Times New Roman" w:hAnsi="Times New Roman" w:cs="Times New Roman"/>
                <w:sz w:val="24"/>
                <w:szCs w:val="24"/>
              </w:rPr>
              <w:t xml:space="preserve">– “Valsts riska” definīcija. Piedāvājam apsvērt “parādnieks” nomainīt uz “darījumu partneris”. Kā arī pārveduma risks valsts riska kontekstā varētu ietekmēt eiro darījumus (ne tikai ārvalstu valūta). Bet, iespējams, šeit Latvijas Bankai ir atsauce uz kādām definīcijām, kas tiek izmantota atskaitēs </w:t>
            </w:r>
            <w:r w:rsidRPr="00D13AD7">
              <w:rPr>
                <w:rFonts w:ascii="Times New Roman" w:hAnsi="Times New Roman" w:cs="Times New Roman"/>
                <w:i/>
                <w:iCs/>
                <w:sz w:val="24"/>
                <w:szCs w:val="24"/>
              </w:rPr>
              <w:t xml:space="preserve">(piemēram </w:t>
            </w:r>
            <w:proofErr w:type="spellStart"/>
            <w:r w:rsidRPr="00D13AD7">
              <w:rPr>
                <w:rFonts w:ascii="Times New Roman" w:hAnsi="Times New Roman" w:cs="Times New Roman"/>
                <w:i/>
                <w:iCs/>
                <w:sz w:val="24"/>
                <w:szCs w:val="24"/>
              </w:rPr>
              <w:t>corep</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finrep</w:t>
            </w:r>
            <w:proofErr w:type="spellEnd"/>
            <w:r w:rsidRPr="00D13AD7">
              <w:rPr>
                <w:rFonts w:ascii="Times New Roman" w:hAnsi="Times New Roman" w:cs="Times New Roman"/>
                <w:i/>
                <w:iCs/>
                <w:sz w:val="24"/>
                <w:szCs w:val="24"/>
              </w:rPr>
              <w:t>?)</w:t>
            </w:r>
            <w:bookmarkEnd w:id="11"/>
          </w:p>
        </w:tc>
        <w:tc>
          <w:tcPr>
            <w:tcW w:w="4662" w:type="dxa"/>
            <w:tcBorders>
              <w:top w:val="single" w:sz="4" w:space="0" w:color="auto"/>
              <w:left w:val="single" w:sz="4" w:space="0" w:color="auto"/>
              <w:bottom w:val="single" w:sz="4" w:space="0" w:color="auto"/>
              <w:right w:val="single" w:sz="4" w:space="0" w:color="auto"/>
            </w:tcBorders>
          </w:tcPr>
          <w:p w14:paraId="65A175EF" w14:textId="3E15E600" w:rsidR="001A59B6" w:rsidRDefault="00683090" w:rsidP="001A59B6">
            <w:pPr>
              <w:spacing w:after="0" w:line="240" w:lineRule="auto"/>
              <w:rPr>
                <w:rFonts w:ascii="Times New Roman" w:hAnsi="Times New Roman" w:cs="Times New Roman"/>
                <w:b/>
                <w:sz w:val="24"/>
                <w:szCs w:val="24"/>
              </w:rPr>
            </w:pPr>
            <w:r>
              <w:rPr>
                <w:rFonts w:ascii="Times New Roman" w:hAnsi="Times New Roman" w:cs="Times New Roman"/>
                <w:b/>
                <w:sz w:val="24"/>
                <w:szCs w:val="24"/>
              </w:rPr>
              <w:t>Ņemts vērā.</w:t>
            </w:r>
          </w:p>
          <w:p w14:paraId="5C694521" w14:textId="7B0A8171" w:rsidR="00CF7434" w:rsidRDefault="00CF7434" w:rsidP="001A59B6">
            <w:pPr>
              <w:spacing w:after="0" w:line="240" w:lineRule="auto"/>
              <w:rPr>
                <w:rFonts w:ascii="Times New Roman" w:eastAsia="Times New Roman" w:hAnsi="Times New Roman" w:cs="Times New Roman"/>
                <w:sz w:val="24"/>
                <w:szCs w:val="24"/>
                <w:lang w:eastAsia="lv-LV"/>
              </w:rPr>
            </w:pPr>
            <w:r>
              <w:rPr>
                <w:rFonts w:ascii="Times New Roman" w:hAnsi="Times New Roman" w:cs="Times New Roman"/>
                <w:b/>
                <w:sz w:val="24"/>
                <w:szCs w:val="24"/>
              </w:rPr>
              <w:t>Precizēta redakcija:</w:t>
            </w:r>
          </w:p>
          <w:p w14:paraId="1B2EFE8E" w14:textId="75F394C8" w:rsidR="001A59B6" w:rsidRPr="001A59B6" w:rsidRDefault="001A59B6" w:rsidP="001A59B6">
            <w:pPr>
              <w:spacing w:after="0" w:line="240" w:lineRule="auto"/>
              <w:rPr>
                <w:rFonts w:ascii="Times New Roman" w:hAnsi="Times New Roman" w:cs="Times New Roman"/>
                <w:bCs/>
                <w:sz w:val="24"/>
                <w:szCs w:val="24"/>
              </w:rPr>
            </w:pPr>
            <w:r w:rsidRPr="001A59B6">
              <w:rPr>
                <w:rFonts w:ascii="Times New Roman" w:eastAsia="Times New Roman" w:hAnsi="Times New Roman" w:cs="Times New Roman"/>
                <w:bCs/>
                <w:sz w:val="24"/>
                <w:szCs w:val="24"/>
                <w:lang w:eastAsia="lv-LV"/>
              </w:rPr>
              <w:t xml:space="preserve">64.13. </w:t>
            </w:r>
            <w:r w:rsidRPr="001A59B6">
              <w:rPr>
                <w:rFonts w:ascii="Times New Roman" w:hAnsi="Times New Roman" w:cs="Times New Roman"/>
                <w:bCs/>
                <w:sz w:val="24"/>
                <w:szCs w:val="24"/>
              </w:rPr>
              <w:t xml:space="preserve">valsts risks – risks ciest zaudējumus ārvalsts ekonomisko, sociālo vai politisko notikumu dēļ. Valsts risks ietver arī pārveduma risku – risku, ka </w:t>
            </w:r>
            <w:r w:rsidRPr="001A59B6">
              <w:rPr>
                <w:rFonts w:ascii="Times New Roman" w:hAnsi="Times New Roman" w:cs="Times New Roman"/>
                <w:b/>
                <w:sz w:val="24"/>
                <w:szCs w:val="24"/>
              </w:rPr>
              <w:t>darījuma partneris</w:t>
            </w:r>
            <w:r w:rsidRPr="001A59B6">
              <w:rPr>
                <w:rFonts w:ascii="Times New Roman" w:hAnsi="Times New Roman" w:cs="Times New Roman"/>
                <w:bCs/>
                <w:sz w:val="24"/>
                <w:szCs w:val="24"/>
              </w:rPr>
              <w:t xml:space="preserve">  nespēs nodrošināt to, ka tā rīcībā ir ārvalstu valūta saistību pildīšanai;</w:t>
            </w:r>
          </w:p>
          <w:p w14:paraId="61603108" w14:textId="74E83E36" w:rsidR="005A6324" w:rsidRPr="004D0835" w:rsidRDefault="005A6324" w:rsidP="004D0835">
            <w:pPr>
              <w:spacing w:after="0" w:line="240" w:lineRule="auto"/>
              <w:rPr>
                <w:rFonts w:ascii="Times New Roman" w:hAnsi="Times New Roman" w:cs="Times New Roman"/>
                <w:b/>
                <w:sz w:val="24"/>
                <w:szCs w:val="24"/>
              </w:rPr>
            </w:pPr>
          </w:p>
        </w:tc>
      </w:tr>
      <w:tr w:rsidR="005A6324" w:rsidRPr="004D0835" w14:paraId="57466228" w14:textId="77777777" w:rsidTr="001A59B6">
        <w:tc>
          <w:tcPr>
            <w:tcW w:w="0" w:type="auto"/>
            <w:tcBorders>
              <w:top w:val="single" w:sz="4" w:space="0" w:color="auto"/>
              <w:left w:val="single" w:sz="4" w:space="0" w:color="auto"/>
              <w:bottom w:val="single" w:sz="4" w:space="0" w:color="auto"/>
              <w:right w:val="single" w:sz="4" w:space="0" w:color="auto"/>
            </w:tcBorders>
          </w:tcPr>
          <w:p w14:paraId="21076D56" w14:textId="532D22ED" w:rsidR="005A6324" w:rsidRPr="004D0835" w:rsidRDefault="00B95B99" w:rsidP="004D0835">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9.</w:t>
            </w:r>
          </w:p>
        </w:tc>
        <w:tc>
          <w:tcPr>
            <w:tcW w:w="4577" w:type="dxa"/>
            <w:tcBorders>
              <w:top w:val="single" w:sz="4" w:space="0" w:color="auto"/>
              <w:left w:val="single" w:sz="4" w:space="0" w:color="auto"/>
              <w:bottom w:val="single" w:sz="4" w:space="0" w:color="auto"/>
              <w:right w:val="single" w:sz="4" w:space="0" w:color="auto"/>
            </w:tcBorders>
          </w:tcPr>
          <w:p w14:paraId="34FA4466" w14:textId="53C2FEEC" w:rsidR="005A6324" w:rsidRPr="004D0835" w:rsidRDefault="00EF1BFD" w:rsidP="004D0835">
            <w:pPr>
              <w:spacing w:after="0" w:line="240" w:lineRule="auto"/>
              <w:rPr>
                <w:rFonts w:ascii="Times New Roman" w:hAnsi="Times New Roman" w:cs="Times New Roman"/>
                <w:sz w:val="24"/>
                <w:szCs w:val="24"/>
              </w:rPr>
            </w:pPr>
            <w:r w:rsidRPr="00EF1BFD">
              <w:rPr>
                <w:rFonts w:ascii="Times New Roman" w:hAnsi="Times New Roman" w:cs="Times New Roman"/>
                <w:sz w:val="24"/>
                <w:szCs w:val="24"/>
              </w:rPr>
              <w:t xml:space="preserve">70. Iestāde regulāri, bet ne retāk kā reizi gadā pārskata un pilnveido risku identificēšanas un pārvaldīšanas politikas un procedūras atbilstoši pārmaiņām iestādes darbībā un iestādes darbību ietekmējošajos ārējos apstākļos. Iestāde izvērtē tās darbības atbilstību risku identificēšanas un pārvaldīšanas politikās un procedūrās noteiktajam, šo politiku un procedūru piemērotību un efektivitāti, kā arī to pasākumu piemērotību un efektivitāti, kurus iestāde veikusi, </w:t>
            </w:r>
            <w:r w:rsidRPr="00DC0685">
              <w:rPr>
                <w:rFonts w:ascii="Times New Roman" w:hAnsi="Times New Roman" w:cs="Times New Roman"/>
                <w:b/>
                <w:bCs/>
                <w:sz w:val="24"/>
                <w:szCs w:val="24"/>
              </w:rPr>
              <w:t>lai novērstu šajās politikās un procedūrās atklātos trūkumus.</w:t>
            </w:r>
          </w:p>
        </w:tc>
        <w:tc>
          <w:tcPr>
            <w:tcW w:w="4694" w:type="dxa"/>
            <w:tcBorders>
              <w:top w:val="single" w:sz="4" w:space="0" w:color="auto"/>
              <w:left w:val="single" w:sz="4" w:space="0" w:color="auto"/>
              <w:bottom w:val="single" w:sz="4" w:space="0" w:color="auto"/>
              <w:right w:val="single" w:sz="4" w:space="0" w:color="auto"/>
            </w:tcBorders>
          </w:tcPr>
          <w:p w14:paraId="5F47DB5A" w14:textId="77777777" w:rsidR="005A6324" w:rsidRPr="00D13AD7" w:rsidRDefault="005A6324" w:rsidP="005A6324">
            <w:pPr>
              <w:spacing w:after="0" w:line="240" w:lineRule="auto"/>
              <w:rPr>
                <w:rFonts w:ascii="Times New Roman" w:hAnsi="Times New Roman" w:cs="Times New Roman"/>
                <w:sz w:val="24"/>
                <w:szCs w:val="24"/>
              </w:rPr>
            </w:pPr>
            <w:r w:rsidRPr="00D13AD7">
              <w:rPr>
                <w:rFonts w:ascii="Times New Roman" w:hAnsi="Times New Roman" w:cs="Times New Roman"/>
                <w:b/>
                <w:bCs/>
                <w:sz w:val="24"/>
                <w:szCs w:val="24"/>
              </w:rPr>
              <w:t>70.punkts</w:t>
            </w:r>
            <w:r w:rsidRPr="00D13AD7">
              <w:rPr>
                <w:rFonts w:ascii="Times New Roman" w:hAnsi="Times New Roman" w:cs="Times New Roman"/>
                <w:sz w:val="24"/>
                <w:szCs w:val="24"/>
              </w:rPr>
              <w:t xml:space="preserve"> - Pēc teksta būtības mērķis ir pārliecināties par procedūru piemērotību un efektivitāti, kas saistās ar to ieviešanu: </w:t>
            </w:r>
          </w:p>
          <w:p w14:paraId="62B6FDE2" w14:textId="77777777" w:rsidR="005A6324" w:rsidRPr="00D13AD7" w:rsidRDefault="005A6324" w:rsidP="005A6324">
            <w:pPr>
              <w:spacing w:after="0" w:line="240" w:lineRule="auto"/>
              <w:rPr>
                <w:rFonts w:ascii="Times New Roman" w:hAnsi="Times New Roman" w:cs="Times New Roman"/>
                <w:sz w:val="24"/>
                <w:szCs w:val="24"/>
              </w:rPr>
            </w:pPr>
            <w:r w:rsidRPr="00D13AD7">
              <w:rPr>
                <w:rFonts w:ascii="Times New Roman" w:hAnsi="Times New Roman" w:cs="Times New Roman"/>
                <w:sz w:val="24"/>
                <w:szCs w:val="24"/>
              </w:rPr>
              <w:t xml:space="preserve">“Iestāde regulāri, bet ne retāk kā reizi gadā pārskata un pilnveido risku identificēšanas un pārvaldīšanas politikas un procedūras atbilstoši pārmaiņām iestādes darbībā un iestādes darbību ietekmējošajos ārējos apstākļos. Iestāde izvērtē tās darbības atbilstību risku identificēšanas un pārvaldīšanas politikās un procedūrās noteiktajam, šo politiku un procedūru piemērotību un efektivitāti, kā arī to pasākumu piemērotību un efektivitāti, kurus iestāde veikusi, </w:t>
            </w:r>
            <w:r w:rsidRPr="00D13AD7">
              <w:rPr>
                <w:rFonts w:ascii="Times New Roman" w:hAnsi="Times New Roman" w:cs="Times New Roman"/>
                <w:b/>
                <w:bCs/>
                <w:sz w:val="24"/>
                <w:szCs w:val="24"/>
              </w:rPr>
              <w:t>lai novērstu šajās politikās un procedūrās atklātos trūkumus.</w:t>
            </w:r>
            <w:r w:rsidRPr="00D13AD7">
              <w:rPr>
                <w:rFonts w:ascii="Times New Roman" w:hAnsi="Times New Roman" w:cs="Times New Roman"/>
                <w:sz w:val="24"/>
                <w:szCs w:val="24"/>
              </w:rPr>
              <w:t>”</w:t>
            </w:r>
          </w:p>
          <w:p w14:paraId="001ED3D3" w14:textId="43DD9B15" w:rsidR="005A6324" w:rsidRPr="00B95B99" w:rsidRDefault="005A6324" w:rsidP="00D13AD7">
            <w:pPr>
              <w:spacing w:after="0" w:line="240" w:lineRule="auto"/>
              <w:rPr>
                <w:rFonts w:ascii="Times New Roman" w:hAnsi="Times New Roman" w:cs="Times New Roman"/>
                <w:i/>
                <w:iCs/>
                <w:sz w:val="24"/>
                <w:szCs w:val="24"/>
              </w:rPr>
            </w:pPr>
            <w:r w:rsidRPr="00D13AD7">
              <w:rPr>
                <w:rFonts w:ascii="Times New Roman" w:hAnsi="Times New Roman" w:cs="Times New Roman"/>
                <w:sz w:val="24"/>
                <w:szCs w:val="24"/>
              </w:rPr>
              <w:t>Aicinām apsvērt precizējumu:</w:t>
            </w:r>
            <w:r w:rsidRPr="00D13AD7">
              <w:rPr>
                <w:rFonts w:ascii="Times New Roman" w:hAnsi="Times New Roman" w:cs="Times New Roman"/>
                <w:i/>
                <w:iCs/>
                <w:sz w:val="24"/>
                <w:szCs w:val="24"/>
              </w:rPr>
              <w:t xml:space="preserve"> “ (…) lai novērstu šo politiku un procedūru piemērošanā atklātos trūkumus (…)”.</w:t>
            </w:r>
          </w:p>
        </w:tc>
        <w:tc>
          <w:tcPr>
            <w:tcW w:w="4662" w:type="dxa"/>
            <w:tcBorders>
              <w:top w:val="single" w:sz="4" w:space="0" w:color="auto"/>
              <w:left w:val="single" w:sz="4" w:space="0" w:color="auto"/>
              <w:bottom w:val="single" w:sz="4" w:space="0" w:color="auto"/>
              <w:right w:val="single" w:sz="4" w:space="0" w:color="auto"/>
            </w:tcBorders>
            <w:shd w:val="clear" w:color="auto" w:fill="auto"/>
          </w:tcPr>
          <w:p w14:paraId="2A1BEBC0" w14:textId="77777777" w:rsidR="005A6324" w:rsidRDefault="005A6324" w:rsidP="004D0835">
            <w:pPr>
              <w:spacing w:after="0" w:line="240" w:lineRule="auto"/>
              <w:rPr>
                <w:rFonts w:ascii="Times New Roman" w:hAnsi="Times New Roman" w:cs="Times New Roman"/>
                <w:b/>
                <w:sz w:val="24"/>
                <w:szCs w:val="24"/>
              </w:rPr>
            </w:pPr>
            <w:r>
              <w:rPr>
                <w:rFonts w:ascii="Times New Roman" w:hAnsi="Times New Roman" w:cs="Times New Roman"/>
                <w:b/>
                <w:sz w:val="24"/>
                <w:szCs w:val="24"/>
              </w:rPr>
              <w:t>Ņemts vērā.</w:t>
            </w:r>
          </w:p>
          <w:p w14:paraId="0079DC1F" w14:textId="3624D790" w:rsidR="00CF7434" w:rsidRDefault="00CF7434" w:rsidP="004D0835">
            <w:pPr>
              <w:spacing w:after="0" w:line="240" w:lineRule="auto"/>
              <w:rPr>
                <w:rFonts w:ascii="Times New Roman" w:hAnsi="Times New Roman" w:cs="Times New Roman"/>
                <w:b/>
                <w:sz w:val="24"/>
                <w:szCs w:val="24"/>
              </w:rPr>
            </w:pPr>
            <w:r>
              <w:rPr>
                <w:rFonts w:ascii="Times New Roman" w:hAnsi="Times New Roman" w:cs="Times New Roman"/>
                <w:b/>
                <w:sz w:val="24"/>
                <w:szCs w:val="24"/>
              </w:rPr>
              <w:t>Precizēta redakcija:</w:t>
            </w:r>
          </w:p>
          <w:p w14:paraId="7133DFA4" w14:textId="66660FA4" w:rsidR="00DC0685" w:rsidRPr="00DC0685" w:rsidRDefault="00DC0685" w:rsidP="00DC0685">
            <w:pPr>
              <w:spacing w:after="0" w:line="240" w:lineRule="auto"/>
              <w:rPr>
                <w:rFonts w:ascii="Times New Roman" w:hAnsi="Times New Roman" w:cs="Times New Roman"/>
                <w:bCs/>
                <w:sz w:val="24"/>
                <w:szCs w:val="24"/>
              </w:rPr>
            </w:pPr>
            <w:r w:rsidRPr="00DC0685">
              <w:rPr>
                <w:rFonts w:ascii="Times New Roman" w:hAnsi="Times New Roman" w:cs="Times New Roman"/>
                <w:bCs/>
                <w:sz w:val="24"/>
                <w:szCs w:val="24"/>
              </w:rPr>
              <w:t xml:space="preserve">70. Iestāde regulāri, bet ne retāk kā reizi gadā pārskata un pilnveido risku identificēšanas un pārvaldīšanas politikas un procedūras atbilstoši pārmaiņām iestādes darbībā un iestādes darbību ietekmējošajos ārējos apstākļos. Iestāde izvērtē tās darbības atbilstību risku identificēšanas un pārvaldīšanas politikās un procedūrās noteiktajam, šo politiku un procedūru piemērotību un efektivitāti, kā arī to pasākumu piemērotību un efektivitāti, kurus iestāde veikusi, </w:t>
            </w:r>
            <w:r w:rsidRPr="00DC0685">
              <w:rPr>
                <w:rFonts w:ascii="Times New Roman" w:hAnsi="Times New Roman" w:cs="Times New Roman"/>
                <w:b/>
                <w:sz w:val="24"/>
                <w:szCs w:val="24"/>
              </w:rPr>
              <w:t>lai novērstu šo politiku un procedūru piemērošanā atklātos trūkumus</w:t>
            </w:r>
            <w:r w:rsidRPr="00DC0685">
              <w:rPr>
                <w:rFonts w:ascii="Times New Roman" w:hAnsi="Times New Roman" w:cs="Times New Roman"/>
                <w:bCs/>
                <w:sz w:val="24"/>
                <w:szCs w:val="24"/>
              </w:rPr>
              <w:t>.</w:t>
            </w:r>
          </w:p>
          <w:p w14:paraId="39B1062B" w14:textId="39575283" w:rsidR="00DC0685" w:rsidRPr="004D0835" w:rsidRDefault="00DC0685" w:rsidP="004D0835">
            <w:pPr>
              <w:spacing w:after="0" w:line="240" w:lineRule="auto"/>
              <w:rPr>
                <w:rFonts w:ascii="Times New Roman" w:hAnsi="Times New Roman" w:cs="Times New Roman"/>
                <w:b/>
                <w:sz w:val="24"/>
                <w:szCs w:val="24"/>
              </w:rPr>
            </w:pPr>
          </w:p>
        </w:tc>
      </w:tr>
      <w:tr w:rsidR="005A6324" w:rsidRPr="004D0835" w14:paraId="7E80DA74" w14:textId="77777777" w:rsidTr="005C4C4F">
        <w:tc>
          <w:tcPr>
            <w:tcW w:w="0" w:type="auto"/>
            <w:tcBorders>
              <w:top w:val="single" w:sz="4" w:space="0" w:color="auto"/>
              <w:left w:val="single" w:sz="4" w:space="0" w:color="auto"/>
              <w:bottom w:val="single" w:sz="4" w:space="0" w:color="auto"/>
              <w:right w:val="single" w:sz="4" w:space="0" w:color="auto"/>
            </w:tcBorders>
          </w:tcPr>
          <w:p w14:paraId="602BD306" w14:textId="77CE8667" w:rsidR="005A6324" w:rsidRPr="004D0835" w:rsidRDefault="00B95B99" w:rsidP="004D0835">
            <w:pPr>
              <w:spacing w:after="0" w:line="240" w:lineRule="auto"/>
              <w:rPr>
                <w:rFonts w:ascii="Times New Roman" w:hAnsi="Times New Roman" w:cs="Times New Roman"/>
                <w:sz w:val="24"/>
                <w:szCs w:val="24"/>
              </w:rPr>
            </w:pPr>
            <w:r>
              <w:rPr>
                <w:rFonts w:ascii="Times New Roman" w:hAnsi="Times New Roman" w:cs="Times New Roman"/>
                <w:sz w:val="24"/>
                <w:szCs w:val="24"/>
              </w:rPr>
              <w:t>10.</w:t>
            </w:r>
          </w:p>
        </w:tc>
        <w:tc>
          <w:tcPr>
            <w:tcW w:w="4577" w:type="dxa"/>
            <w:tcBorders>
              <w:top w:val="single" w:sz="4" w:space="0" w:color="auto"/>
              <w:left w:val="single" w:sz="4" w:space="0" w:color="auto"/>
              <w:bottom w:val="single" w:sz="4" w:space="0" w:color="auto"/>
              <w:right w:val="single" w:sz="4" w:space="0" w:color="auto"/>
            </w:tcBorders>
          </w:tcPr>
          <w:p w14:paraId="5F0CB980" w14:textId="77777777" w:rsidR="005A6324" w:rsidRDefault="005A6324" w:rsidP="004D0835">
            <w:pPr>
              <w:spacing w:after="0" w:line="240" w:lineRule="auto"/>
              <w:rPr>
                <w:rFonts w:ascii="Times New Roman" w:hAnsi="Times New Roman" w:cs="Times New Roman"/>
                <w:sz w:val="24"/>
                <w:szCs w:val="24"/>
              </w:rPr>
            </w:pPr>
          </w:p>
          <w:p w14:paraId="51516F91" w14:textId="77777777" w:rsidR="00EF1BFD" w:rsidRPr="00EF1BFD" w:rsidRDefault="00EF1BFD" w:rsidP="00EF1BFD">
            <w:pPr>
              <w:rPr>
                <w:rFonts w:ascii="Times New Roman" w:hAnsi="Times New Roman" w:cs="Times New Roman"/>
                <w:sz w:val="24"/>
                <w:szCs w:val="24"/>
              </w:rPr>
            </w:pPr>
            <w:r w:rsidRPr="00EF1BFD">
              <w:rPr>
                <w:rFonts w:ascii="Times New Roman" w:hAnsi="Times New Roman" w:cs="Times New Roman"/>
                <w:sz w:val="24"/>
                <w:szCs w:val="24"/>
              </w:rPr>
              <w:t xml:space="preserve">89.2. </w:t>
            </w:r>
            <w:r w:rsidRPr="005C4C4F">
              <w:rPr>
                <w:rFonts w:ascii="Times New Roman" w:hAnsi="Times New Roman" w:cs="Times New Roman"/>
                <w:b/>
                <w:bCs/>
                <w:sz w:val="24"/>
                <w:szCs w:val="24"/>
              </w:rPr>
              <w:t>pārbaudes veikšanu par to</w:t>
            </w:r>
            <w:r w:rsidRPr="00EF1BFD">
              <w:rPr>
                <w:rFonts w:ascii="Times New Roman" w:hAnsi="Times New Roman" w:cs="Times New Roman"/>
                <w:sz w:val="24"/>
                <w:szCs w:val="24"/>
              </w:rPr>
              <w:t>, vai atalgojuma sistēmā noteiktajās motivējošajās shēmās tiek ņemti vērā apsvērumi par risku, kapitālu, likviditāti un peļņas gūšanas iespējamību, neskarot atalgojuma komitejas pienākumus;</w:t>
            </w:r>
          </w:p>
          <w:p w14:paraId="0C4B7D6C" w14:textId="3C31E199" w:rsidR="00EF1BFD" w:rsidRPr="00EF1BFD" w:rsidRDefault="00EF1BFD" w:rsidP="00EF1BFD">
            <w:pPr>
              <w:rPr>
                <w:rFonts w:ascii="Times New Roman" w:hAnsi="Times New Roman" w:cs="Times New Roman"/>
                <w:sz w:val="24"/>
                <w:szCs w:val="24"/>
              </w:rPr>
            </w:pPr>
            <w:r w:rsidRPr="00EF1BFD">
              <w:rPr>
                <w:rFonts w:ascii="Times New Roman" w:hAnsi="Times New Roman" w:cs="Times New Roman"/>
                <w:sz w:val="24"/>
                <w:szCs w:val="24"/>
              </w:rPr>
              <w:t xml:space="preserve">89.3. </w:t>
            </w:r>
            <w:r w:rsidRPr="005C4C4F">
              <w:rPr>
                <w:rFonts w:ascii="Times New Roman" w:hAnsi="Times New Roman" w:cs="Times New Roman"/>
                <w:b/>
                <w:bCs/>
                <w:sz w:val="24"/>
                <w:szCs w:val="24"/>
              </w:rPr>
              <w:t>pārbaudes veikšanu par to,</w:t>
            </w:r>
            <w:r w:rsidRPr="00EF1BFD">
              <w:rPr>
                <w:rFonts w:ascii="Times New Roman" w:hAnsi="Times New Roman" w:cs="Times New Roman"/>
                <w:sz w:val="24"/>
                <w:szCs w:val="24"/>
              </w:rPr>
              <w:t xml:space="preserve"> vai, nosakot iestādes klientiem piedāvāto finanšu pakalpojumu un produktu cenas un tarifus, ir ņemti vērā visi saistītie riski, iestādes </w:t>
            </w:r>
            <w:r w:rsidRPr="00EF1BFD">
              <w:rPr>
                <w:rFonts w:ascii="Times New Roman" w:hAnsi="Times New Roman" w:cs="Times New Roman"/>
                <w:sz w:val="24"/>
                <w:szCs w:val="24"/>
              </w:rPr>
              <w:lastRenderedPageBreak/>
              <w:t>darbības specifika un risku stratēģijā noteiktie mērķi;</w:t>
            </w:r>
          </w:p>
        </w:tc>
        <w:tc>
          <w:tcPr>
            <w:tcW w:w="4694" w:type="dxa"/>
            <w:tcBorders>
              <w:top w:val="single" w:sz="4" w:space="0" w:color="auto"/>
              <w:left w:val="single" w:sz="4" w:space="0" w:color="auto"/>
              <w:bottom w:val="single" w:sz="4" w:space="0" w:color="auto"/>
              <w:right w:val="single" w:sz="4" w:space="0" w:color="auto"/>
            </w:tcBorders>
          </w:tcPr>
          <w:p w14:paraId="14371FC1" w14:textId="77777777" w:rsidR="005A6324" w:rsidRPr="00D13AD7" w:rsidRDefault="005A6324" w:rsidP="005A6324">
            <w:pPr>
              <w:spacing w:after="0" w:line="240" w:lineRule="auto"/>
              <w:rPr>
                <w:rFonts w:ascii="Times New Roman" w:hAnsi="Times New Roman" w:cs="Times New Roman"/>
                <w:sz w:val="24"/>
                <w:szCs w:val="24"/>
              </w:rPr>
            </w:pPr>
            <w:r w:rsidRPr="00D13AD7">
              <w:rPr>
                <w:rFonts w:ascii="Times New Roman" w:hAnsi="Times New Roman" w:cs="Times New Roman"/>
                <w:b/>
                <w:bCs/>
                <w:sz w:val="24"/>
                <w:szCs w:val="24"/>
              </w:rPr>
              <w:lastRenderedPageBreak/>
              <w:t>89.2 un 89.3 punkti -</w:t>
            </w:r>
            <w:r w:rsidRPr="00D13AD7">
              <w:rPr>
                <w:rFonts w:ascii="Times New Roman" w:hAnsi="Times New Roman" w:cs="Times New Roman"/>
                <w:sz w:val="24"/>
                <w:szCs w:val="24"/>
              </w:rPr>
              <w:t xml:space="preserve"> Risku komitejas pienākumi - vai papildus atalgojuma komitejas kompetencei un padomes pienākumam ņemt šos apstākļus vērā pie Atalgojuma politikas apstiprināšanas, nepieciešams izvirzīt prasību par šādu atsevišķu “pārbaudi”?</w:t>
            </w:r>
          </w:p>
          <w:p w14:paraId="21C9E045" w14:textId="77777777" w:rsidR="005A6324" w:rsidRPr="00D13AD7" w:rsidRDefault="005A6324" w:rsidP="005A6324">
            <w:pPr>
              <w:spacing w:after="0" w:line="240" w:lineRule="auto"/>
              <w:rPr>
                <w:rFonts w:ascii="Times New Roman" w:hAnsi="Times New Roman" w:cs="Times New Roman"/>
                <w:i/>
                <w:iCs/>
                <w:sz w:val="24"/>
                <w:szCs w:val="24"/>
              </w:rPr>
            </w:pPr>
            <w:r w:rsidRPr="00D13AD7">
              <w:rPr>
                <w:rFonts w:ascii="Times New Roman" w:hAnsi="Times New Roman" w:cs="Times New Roman"/>
                <w:i/>
                <w:iCs/>
                <w:sz w:val="24"/>
                <w:szCs w:val="24"/>
              </w:rPr>
              <w:t>Piedāvājums:</w:t>
            </w:r>
            <w:r w:rsidRPr="00D13AD7">
              <w:rPr>
                <w:rFonts w:ascii="Times New Roman" w:hAnsi="Times New Roman" w:cs="Times New Roman"/>
                <w:sz w:val="24"/>
                <w:szCs w:val="24"/>
              </w:rPr>
              <w:t xml:space="preserve"> terminu “pārbaudes veikšanu” aizstāt ar </w:t>
            </w:r>
            <w:r w:rsidRPr="005C4C4F">
              <w:rPr>
                <w:rFonts w:ascii="Times New Roman" w:hAnsi="Times New Roman" w:cs="Times New Roman"/>
                <w:sz w:val="24"/>
                <w:szCs w:val="24"/>
              </w:rPr>
              <w:t>“veic uzraudzību”</w:t>
            </w:r>
            <w:r w:rsidRPr="00D13AD7">
              <w:rPr>
                <w:rFonts w:ascii="Times New Roman" w:hAnsi="Times New Roman" w:cs="Times New Roman"/>
                <w:sz w:val="24"/>
                <w:szCs w:val="24"/>
              </w:rPr>
              <w:t xml:space="preserve"> vai “</w:t>
            </w:r>
            <w:proofErr w:type="spellStart"/>
            <w:r w:rsidRPr="00D13AD7">
              <w:rPr>
                <w:rFonts w:ascii="Times New Roman" w:hAnsi="Times New Roman" w:cs="Times New Roman"/>
                <w:sz w:val="24"/>
                <w:szCs w:val="24"/>
              </w:rPr>
              <w:t>izvērtējumu</w:t>
            </w:r>
            <w:proofErr w:type="spellEnd"/>
            <w:r w:rsidRPr="00D13AD7">
              <w:rPr>
                <w:rFonts w:ascii="Times New Roman" w:hAnsi="Times New Roman" w:cs="Times New Roman"/>
                <w:sz w:val="24"/>
                <w:szCs w:val="24"/>
              </w:rPr>
              <w:t xml:space="preserve">”, atbilstoši </w:t>
            </w:r>
            <w:r w:rsidRPr="00D13AD7">
              <w:rPr>
                <w:rFonts w:ascii="Times New Roman" w:hAnsi="Times New Roman" w:cs="Times New Roman"/>
                <w:i/>
                <w:iCs/>
                <w:sz w:val="24"/>
                <w:szCs w:val="24"/>
              </w:rPr>
              <w:t xml:space="preserve">EBA GL </w:t>
            </w:r>
            <w:proofErr w:type="spellStart"/>
            <w:r w:rsidRPr="00D13AD7">
              <w:rPr>
                <w:rFonts w:ascii="Times New Roman" w:hAnsi="Times New Roman" w:cs="Times New Roman"/>
                <w:i/>
                <w:iCs/>
                <w:sz w:val="24"/>
                <w:szCs w:val="24"/>
              </w:rPr>
              <w:t>on</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Internal</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Governance</w:t>
            </w:r>
            <w:proofErr w:type="spellEnd"/>
            <w:r w:rsidRPr="00D13AD7">
              <w:rPr>
                <w:rFonts w:ascii="Times New Roman" w:hAnsi="Times New Roman" w:cs="Times New Roman"/>
                <w:sz w:val="24"/>
                <w:szCs w:val="24"/>
              </w:rPr>
              <w:t>, kur  61. (g) punkts paredz “</w:t>
            </w:r>
            <w:proofErr w:type="spellStart"/>
            <w:r w:rsidRPr="00D13AD7">
              <w:rPr>
                <w:rFonts w:ascii="Times New Roman" w:hAnsi="Times New Roman" w:cs="Times New Roman"/>
                <w:i/>
                <w:iCs/>
                <w:sz w:val="24"/>
                <w:szCs w:val="24"/>
              </w:rPr>
              <w:t>oversee</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the</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alignment</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between</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all</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material</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lastRenderedPageBreak/>
              <w:t>financial</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products</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and</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services</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offered</w:t>
            </w:r>
            <w:proofErr w:type="spellEnd"/>
            <w:r w:rsidRPr="00D13AD7">
              <w:rPr>
                <w:rFonts w:ascii="Times New Roman" w:hAnsi="Times New Roman" w:cs="Times New Roman"/>
                <w:i/>
                <w:iCs/>
                <w:sz w:val="24"/>
                <w:szCs w:val="24"/>
              </w:rPr>
              <w:t xml:space="preserve"> to </w:t>
            </w:r>
            <w:proofErr w:type="spellStart"/>
            <w:r w:rsidRPr="00D13AD7">
              <w:rPr>
                <w:rFonts w:ascii="Times New Roman" w:hAnsi="Times New Roman" w:cs="Times New Roman"/>
                <w:i/>
                <w:iCs/>
                <w:sz w:val="24"/>
                <w:szCs w:val="24"/>
              </w:rPr>
              <w:t>clients</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and</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the</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business</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model</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and</w:t>
            </w:r>
            <w:proofErr w:type="spellEnd"/>
            <w:r w:rsidRPr="00D13AD7">
              <w:rPr>
                <w:rFonts w:ascii="Times New Roman" w:hAnsi="Times New Roman" w:cs="Times New Roman"/>
                <w:i/>
                <w:iCs/>
                <w:sz w:val="24"/>
                <w:szCs w:val="24"/>
              </w:rPr>
              <w:t xml:space="preserve"> risk </w:t>
            </w:r>
            <w:proofErr w:type="spellStart"/>
            <w:r w:rsidRPr="00D13AD7">
              <w:rPr>
                <w:rFonts w:ascii="Times New Roman" w:hAnsi="Times New Roman" w:cs="Times New Roman"/>
                <w:i/>
                <w:iCs/>
                <w:sz w:val="24"/>
                <w:szCs w:val="24"/>
              </w:rPr>
              <w:t>strategy</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of</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the</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institution</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b/>
                <w:bCs/>
                <w:i/>
                <w:iCs/>
                <w:sz w:val="24"/>
                <w:szCs w:val="24"/>
              </w:rPr>
              <w:t>The</w:t>
            </w:r>
            <w:proofErr w:type="spellEnd"/>
            <w:r w:rsidRPr="00D13AD7">
              <w:rPr>
                <w:rFonts w:ascii="Times New Roman" w:hAnsi="Times New Roman" w:cs="Times New Roman"/>
                <w:b/>
                <w:bCs/>
                <w:i/>
                <w:iCs/>
                <w:sz w:val="24"/>
                <w:szCs w:val="24"/>
              </w:rPr>
              <w:t xml:space="preserve"> risk </w:t>
            </w:r>
            <w:proofErr w:type="spellStart"/>
            <w:r w:rsidRPr="00D13AD7">
              <w:rPr>
                <w:rFonts w:ascii="Times New Roman" w:hAnsi="Times New Roman" w:cs="Times New Roman"/>
                <w:b/>
                <w:bCs/>
                <w:i/>
                <w:iCs/>
                <w:sz w:val="24"/>
                <w:szCs w:val="24"/>
              </w:rPr>
              <w:t>committee</w:t>
            </w:r>
            <w:proofErr w:type="spellEnd"/>
            <w:r w:rsidRPr="00D13AD7">
              <w:rPr>
                <w:rFonts w:ascii="Times New Roman" w:hAnsi="Times New Roman" w:cs="Times New Roman"/>
                <w:b/>
                <w:bCs/>
                <w:i/>
                <w:iCs/>
                <w:sz w:val="24"/>
                <w:szCs w:val="24"/>
              </w:rPr>
              <w:t xml:space="preserve"> </w:t>
            </w:r>
            <w:proofErr w:type="spellStart"/>
            <w:r w:rsidRPr="00D13AD7">
              <w:rPr>
                <w:rFonts w:ascii="Times New Roman" w:hAnsi="Times New Roman" w:cs="Times New Roman"/>
                <w:b/>
                <w:bCs/>
                <w:i/>
                <w:iCs/>
                <w:sz w:val="24"/>
                <w:szCs w:val="24"/>
              </w:rPr>
              <w:t>should</w:t>
            </w:r>
            <w:proofErr w:type="spellEnd"/>
            <w:r w:rsidRPr="00D13AD7">
              <w:rPr>
                <w:rFonts w:ascii="Times New Roman" w:hAnsi="Times New Roman" w:cs="Times New Roman"/>
                <w:b/>
                <w:bCs/>
                <w:i/>
                <w:iCs/>
                <w:sz w:val="24"/>
                <w:szCs w:val="24"/>
              </w:rPr>
              <w:t xml:space="preserve"> </w:t>
            </w:r>
            <w:proofErr w:type="spellStart"/>
            <w:r w:rsidRPr="00D13AD7">
              <w:rPr>
                <w:rFonts w:ascii="Times New Roman" w:hAnsi="Times New Roman" w:cs="Times New Roman"/>
                <w:b/>
                <w:bCs/>
                <w:i/>
                <w:iCs/>
                <w:sz w:val="24"/>
                <w:szCs w:val="24"/>
              </w:rPr>
              <w:t>assess</w:t>
            </w:r>
            <w:proofErr w:type="spellEnd"/>
            <w:r w:rsidRPr="00D13AD7">
              <w:rPr>
                <w:rFonts w:ascii="Times New Roman" w:hAnsi="Times New Roman" w:cs="Times New Roman"/>
                <w:b/>
                <w:bCs/>
                <w:i/>
                <w:iCs/>
                <w:sz w:val="24"/>
                <w:szCs w:val="24"/>
              </w:rPr>
              <w:t xml:space="preserve"> </w:t>
            </w:r>
            <w:proofErr w:type="spellStart"/>
            <w:r w:rsidRPr="00D13AD7">
              <w:rPr>
                <w:rFonts w:ascii="Times New Roman" w:hAnsi="Times New Roman" w:cs="Times New Roman"/>
                <w:b/>
                <w:bCs/>
                <w:i/>
                <w:iCs/>
                <w:sz w:val="24"/>
                <w:szCs w:val="24"/>
              </w:rPr>
              <w:t>the</w:t>
            </w:r>
            <w:proofErr w:type="spellEnd"/>
            <w:r w:rsidRPr="00D13AD7">
              <w:rPr>
                <w:rFonts w:ascii="Times New Roman" w:hAnsi="Times New Roman" w:cs="Times New Roman"/>
                <w:b/>
                <w:bCs/>
                <w:i/>
                <w:iCs/>
                <w:sz w:val="24"/>
                <w:szCs w:val="24"/>
              </w:rPr>
              <w:t xml:space="preserve"> risks</w:t>
            </w:r>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associated</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with</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the</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offered</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financial</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products</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and</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services</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and</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take</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into</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account</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the</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alignment</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between</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the</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prices</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assigned</w:t>
            </w:r>
            <w:proofErr w:type="spellEnd"/>
            <w:r w:rsidRPr="00D13AD7">
              <w:rPr>
                <w:rFonts w:ascii="Times New Roman" w:hAnsi="Times New Roman" w:cs="Times New Roman"/>
                <w:i/>
                <w:iCs/>
                <w:sz w:val="24"/>
                <w:szCs w:val="24"/>
              </w:rPr>
              <w:t xml:space="preserve"> to </w:t>
            </w:r>
            <w:proofErr w:type="spellStart"/>
            <w:r w:rsidRPr="00D13AD7">
              <w:rPr>
                <w:rFonts w:ascii="Times New Roman" w:hAnsi="Times New Roman" w:cs="Times New Roman"/>
                <w:i/>
                <w:iCs/>
                <w:sz w:val="24"/>
                <w:szCs w:val="24"/>
              </w:rPr>
              <w:t>and</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the</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profits</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gained</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from</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those</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products</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and</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services</w:t>
            </w:r>
            <w:proofErr w:type="spellEnd"/>
            <w:r w:rsidRPr="00D13AD7">
              <w:rPr>
                <w:rFonts w:ascii="Times New Roman" w:hAnsi="Times New Roman" w:cs="Times New Roman"/>
                <w:i/>
                <w:iCs/>
                <w:sz w:val="24"/>
                <w:szCs w:val="24"/>
              </w:rPr>
              <w:t>;”</w:t>
            </w:r>
          </w:p>
          <w:p w14:paraId="471747D0" w14:textId="274958BA" w:rsidR="005A6324" w:rsidRPr="00B95B99" w:rsidRDefault="005A6324" w:rsidP="00D13AD7">
            <w:pPr>
              <w:spacing w:after="0" w:line="240" w:lineRule="auto"/>
              <w:rPr>
                <w:rFonts w:ascii="Times New Roman" w:hAnsi="Times New Roman" w:cs="Times New Roman"/>
                <w:sz w:val="24"/>
                <w:szCs w:val="24"/>
              </w:rPr>
            </w:pPr>
            <w:r w:rsidRPr="00D13AD7">
              <w:rPr>
                <w:rFonts w:ascii="Times New Roman" w:hAnsi="Times New Roman" w:cs="Times New Roman"/>
                <w:sz w:val="24"/>
                <w:szCs w:val="24"/>
              </w:rPr>
              <w:t xml:space="preserve">Ieteikums, kas tomēr norāda uz Risku komitejas uzraudzības funkciju ne tik daudz paredzot operacionālu darbību, kas ir “pārbaude”. </w:t>
            </w:r>
          </w:p>
        </w:tc>
        <w:tc>
          <w:tcPr>
            <w:tcW w:w="4662" w:type="dxa"/>
            <w:tcBorders>
              <w:top w:val="single" w:sz="4" w:space="0" w:color="auto"/>
              <w:left w:val="single" w:sz="4" w:space="0" w:color="auto"/>
              <w:bottom w:val="single" w:sz="4" w:space="0" w:color="auto"/>
              <w:right w:val="single" w:sz="4" w:space="0" w:color="auto"/>
            </w:tcBorders>
            <w:shd w:val="clear" w:color="auto" w:fill="FFFFFF" w:themeFill="background1"/>
          </w:tcPr>
          <w:p w14:paraId="3B03E51D" w14:textId="3E6E8662" w:rsidR="005A6324" w:rsidRDefault="001D00BB" w:rsidP="004D0835">
            <w:pPr>
              <w:spacing w:after="0" w:line="240" w:lineRule="auto"/>
              <w:rPr>
                <w:rFonts w:ascii="Times New Roman" w:hAnsi="Times New Roman" w:cs="Times New Roman"/>
                <w:b/>
                <w:sz w:val="24"/>
                <w:szCs w:val="24"/>
              </w:rPr>
            </w:pPr>
            <w:r>
              <w:rPr>
                <w:rFonts w:ascii="Times New Roman" w:hAnsi="Times New Roman" w:cs="Times New Roman"/>
                <w:b/>
                <w:sz w:val="24"/>
                <w:szCs w:val="24"/>
              </w:rPr>
              <w:lastRenderedPageBreak/>
              <w:t>Ņemts vērā</w:t>
            </w:r>
            <w:r w:rsidR="00CF7434">
              <w:rPr>
                <w:rFonts w:ascii="Times New Roman" w:hAnsi="Times New Roman" w:cs="Times New Roman"/>
                <w:b/>
                <w:sz w:val="24"/>
                <w:szCs w:val="24"/>
              </w:rPr>
              <w:t>.</w:t>
            </w:r>
          </w:p>
          <w:p w14:paraId="203E31D7" w14:textId="6A5C89DC" w:rsidR="00CF7434" w:rsidRDefault="00CF7434" w:rsidP="004D0835">
            <w:pPr>
              <w:spacing w:after="0" w:line="240" w:lineRule="auto"/>
              <w:rPr>
                <w:rFonts w:ascii="Times New Roman" w:hAnsi="Times New Roman" w:cs="Times New Roman"/>
                <w:b/>
                <w:sz w:val="24"/>
                <w:szCs w:val="24"/>
              </w:rPr>
            </w:pPr>
            <w:r>
              <w:rPr>
                <w:rFonts w:ascii="Times New Roman" w:hAnsi="Times New Roman" w:cs="Times New Roman"/>
                <w:b/>
                <w:sz w:val="24"/>
                <w:szCs w:val="24"/>
              </w:rPr>
              <w:t>Precizēta redakcija:</w:t>
            </w:r>
          </w:p>
          <w:p w14:paraId="3CB3E704" w14:textId="1CC51D03" w:rsidR="009E4059" w:rsidRPr="009E4059" w:rsidRDefault="009E4059" w:rsidP="009E4059">
            <w:pPr>
              <w:shd w:val="clear" w:color="auto" w:fill="FFFFFF" w:themeFill="background1"/>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89. </w:t>
            </w:r>
            <w:r w:rsidRPr="009E4059">
              <w:rPr>
                <w:rFonts w:ascii="Times New Roman" w:hAnsi="Times New Roman" w:cs="Times New Roman"/>
                <w:bCs/>
                <w:sz w:val="24"/>
                <w:szCs w:val="24"/>
              </w:rPr>
              <w:t>Nozīmīga iestāde izveido risku komiteju, kura:</w:t>
            </w:r>
          </w:p>
          <w:p w14:paraId="5CB2682E" w14:textId="5BC026D5" w:rsidR="009E4059" w:rsidRPr="009E4059" w:rsidRDefault="009E4059" w:rsidP="009E4059">
            <w:pPr>
              <w:shd w:val="clear" w:color="auto" w:fill="FFFFFF" w:themeFill="background1"/>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89.1. </w:t>
            </w:r>
            <w:r w:rsidRPr="009E4059">
              <w:rPr>
                <w:rFonts w:ascii="Times New Roman" w:hAnsi="Times New Roman" w:cs="Times New Roman"/>
                <w:bCs/>
                <w:sz w:val="24"/>
                <w:szCs w:val="24"/>
              </w:rPr>
              <w:t xml:space="preserve">konsultē un sniedz atbalstu </w:t>
            </w:r>
            <w:r w:rsidR="00F6708C">
              <w:rPr>
                <w:rFonts w:ascii="Times New Roman" w:hAnsi="Times New Roman" w:cs="Times New Roman"/>
                <w:bCs/>
                <w:sz w:val="24"/>
                <w:szCs w:val="24"/>
              </w:rPr>
              <w:t xml:space="preserve">iestādes </w:t>
            </w:r>
            <w:r w:rsidRPr="009E4059">
              <w:rPr>
                <w:rFonts w:ascii="Times New Roman" w:hAnsi="Times New Roman" w:cs="Times New Roman"/>
                <w:bCs/>
                <w:sz w:val="24"/>
                <w:szCs w:val="24"/>
              </w:rPr>
              <w:t xml:space="preserve">padomei saistībā ar iestādes esošo un nākotnes risku stratēģiju, tai skaitā izmaiņām tajā, ņemot vērā iestādes darbības veida izmaiņas un ārējo faktoru izmaiņas, un palīdz </w:t>
            </w:r>
            <w:r w:rsidR="00F6708C">
              <w:rPr>
                <w:rFonts w:ascii="Times New Roman" w:hAnsi="Times New Roman" w:cs="Times New Roman"/>
                <w:bCs/>
                <w:sz w:val="24"/>
                <w:szCs w:val="24"/>
              </w:rPr>
              <w:t xml:space="preserve">iestādes </w:t>
            </w:r>
            <w:r w:rsidRPr="009E4059">
              <w:rPr>
                <w:rFonts w:ascii="Times New Roman" w:hAnsi="Times New Roman" w:cs="Times New Roman"/>
                <w:bCs/>
                <w:sz w:val="24"/>
                <w:szCs w:val="24"/>
              </w:rPr>
              <w:t>padomei uzraudzīt tās īstenošanu;</w:t>
            </w:r>
          </w:p>
          <w:p w14:paraId="4353A3D9" w14:textId="29714EB5" w:rsidR="009E4059" w:rsidRPr="009E4059" w:rsidRDefault="009E4059" w:rsidP="009E4059">
            <w:pPr>
              <w:shd w:val="clear" w:color="auto" w:fill="FFFFFF" w:themeFill="background1"/>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89.2. </w:t>
            </w:r>
            <w:r w:rsidRPr="009E4059">
              <w:rPr>
                <w:rFonts w:ascii="Times New Roman" w:hAnsi="Times New Roman" w:cs="Times New Roman"/>
                <w:bCs/>
                <w:sz w:val="24"/>
                <w:szCs w:val="24"/>
              </w:rPr>
              <w:t xml:space="preserve">pārrauga, vai atalgojuma sistēmā noteiktajās motivējošajās shēmās tiek ņemti </w:t>
            </w:r>
            <w:r w:rsidRPr="009E4059">
              <w:rPr>
                <w:rFonts w:ascii="Times New Roman" w:hAnsi="Times New Roman" w:cs="Times New Roman"/>
                <w:bCs/>
                <w:sz w:val="24"/>
                <w:szCs w:val="24"/>
              </w:rPr>
              <w:lastRenderedPageBreak/>
              <w:t>vērā apsvērumi par risku, kapitālu, likviditāti un peļņas gūšanas iespējamību, neskarot atalgojuma komitejas pienākumus;</w:t>
            </w:r>
          </w:p>
          <w:p w14:paraId="7AC18E53" w14:textId="0AB2B35F" w:rsidR="009E4059" w:rsidRPr="009E4059" w:rsidRDefault="009E4059" w:rsidP="009E4059">
            <w:pPr>
              <w:shd w:val="clear" w:color="auto" w:fill="FFFFFF" w:themeFill="background1"/>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89.3. </w:t>
            </w:r>
            <w:r w:rsidRPr="009E4059">
              <w:rPr>
                <w:rFonts w:ascii="Times New Roman" w:hAnsi="Times New Roman" w:cs="Times New Roman"/>
                <w:bCs/>
                <w:sz w:val="24"/>
                <w:szCs w:val="24"/>
              </w:rPr>
              <w:t>pārrauga, vai, nosakot iestādes klientiem piedāvāto finanšu pakalpojumu un produktu cenas un tarifus, ir ņemti vērā visi saistītie riski, iestādes darbības specifika un risku stratēģijā noteiktie mērķi;</w:t>
            </w:r>
          </w:p>
          <w:p w14:paraId="6E7E05D4" w14:textId="7C840D48" w:rsidR="009E4059" w:rsidRPr="009E4059" w:rsidRDefault="009E4059" w:rsidP="009E4059">
            <w:pPr>
              <w:shd w:val="clear" w:color="auto" w:fill="FFFFFF" w:themeFill="background1"/>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89.4. </w:t>
            </w:r>
            <w:r w:rsidRPr="009E4059">
              <w:rPr>
                <w:rFonts w:ascii="Times New Roman" w:hAnsi="Times New Roman" w:cs="Times New Roman"/>
                <w:bCs/>
                <w:sz w:val="24"/>
                <w:szCs w:val="24"/>
              </w:rPr>
              <w:t>sagatavo korekcijas plānu un nodod to izskatīšanai iestādes padomei, ja, veicot šo noteikumu 89.3. apakšpunktā noteikto pārraudzību, tiek konstatētas neatbilstības;</w:t>
            </w:r>
          </w:p>
          <w:p w14:paraId="73B283A2" w14:textId="072064BB" w:rsidR="009E4059" w:rsidRPr="009E4059" w:rsidRDefault="009E4059" w:rsidP="009E4059">
            <w:pPr>
              <w:shd w:val="clear" w:color="auto" w:fill="FFFFFF" w:themeFill="background1"/>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89.5. </w:t>
            </w:r>
            <w:r w:rsidRPr="009E4059">
              <w:rPr>
                <w:rFonts w:ascii="Times New Roman" w:hAnsi="Times New Roman" w:cs="Times New Roman"/>
                <w:bCs/>
                <w:sz w:val="24"/>
                <w:szCs w:val="24"/>
              </w:rPr>
              <w:t xml:space="preserve">konsultē </w:t>
            </w:r>
            <w:r w:rsidR="00F6708C">
              <w:rPr>
                <w:rFonts w:ascii="Times New Roman" w:hAnsi="Times New Roman" w:cs="Times New Roman"/>
                <w:bCs/>
                <w:sz w:val="24"/>
                <w:szCs w:val="24"/>
              </w:rPr>
              <w:t xml:space="preserve">iestādes </w:t>
            </w:r>
            <w:r w:rsidRPr="009E4059">
              <w:rPr>
                <w:rFonts w:ascii="Times New Roman" w:hAnsi="Times New Roman" w:cs="Times New Roman"/>
                <w:bCs/>
                <w:sz w:val="24"/>
                <w:szCs w:val="24"/>
              </w:rPr>
              <w:t>padomi  par ārējo ekspertu piesaisti ar risku pārvaldīšanu saistītajos jautājumos;</w:t>
            </w:r>
          </w:p>
          <w:p w14:paraId="2270D42A" w14:textId="0BB33B4B" w:rsidR="009E4059" w:rsidRPr="009E4059" w:rsidRDefault="009E4059" w:rsidP="009E4059">
            <w:pPr>
              <w:shd w:val="clear" w:color="auto" w:fill="FFFFFF" w:themeFill="background1"/>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89.6. </w:t>
            </w:r>
            <w:r w:rsidRPr="009E4059">
              <w:rPr>
                <w:rFonts w:ascii="Times New Roman" w:hAnsi="Times New Roman" w:cs="Times New Roman"/>
                <w:bCs/>
                <w:sz w:val="24"/>
                <w:szCs w:val="24"/>
              </w:rPr>
              <w:t>piedalās dažādu scenāriju izstrādes un analīzes procesā, lai novērtētu, kā dažādi iekšējie un ārējie notikumi ietekmē iestādes riska profilu;</w:t>
            </w:r>
          </w:p>
          <w:p w14:paraId="632ADD83" w14:textId="7A646005" w:rsidR="005C4C4F" w:rsidRPr="001A59B6" w:rsidRDefault="009E4059" w:rsidP="005C4C4F">
            <w:pPr>
              <w:shd w:val="clear" w:color="auto" w:fill="FFFFFF" w:themeFill="background1"/>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89.7. </w:t>
            </w:r>
            <w:r w:rsidRPr="009E4059">
              <w:rPr>
                <w:rFonts w:ascii="Times New Roman" w:hAnsi="Times New Roman" w:cs="Times New Roman"/>
                <w:bCs/>
                <w:sz w:val="24"/>
                <w:szCs w:val="24"/>
              </w:rPr>
              <w:t>izvērtē iekšējo auditoru un zvērinātu revidentu sniegto novērtējumu un rekomendācijas par risku pārvaldīšanu iestādē, kā arī, ja nepieciešams, korektīvo pasākumu izstrādi un īstenošanas uzraudzību.</w:t>
            </w:r>
          </w:p>
        </w:tc>
      </w:tr>
      <w:tr w:rsidR="005A6324" w:rsidRPr="004D0835" w14:paraId="727CDBF9" w14:textId="77777777" w:rsidTr="00176E33">
        <w:tc>
          <w:tcPr>
            <w:tcW w:w="0" w:type="auto"/>
            <w:tcBorders>
              <w:top w:val="single" w:sz="4" w:space="0" w:color="auto"/>
              <w:left w:val="single" w:sz="4" w:space="0" w:color="auto"/>
              <w:bottom w:val="single" w:sz="4" w:space="0" w:color="auto"/>
              <w:right w:val="single" w:sz="4" w:space="0" w:color="auto"/>
            </w:tcBorders>
          </w:tcPr>
          <w:p w14:paraId="4DDD02AA" w14:textId="2DD2DE66" w:rsidR="005A6324" w:rsidRPr="004D0835" w:rsidRDefault="00B95B99" w:rsidP="004D0835">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11.</w:t>
            </w:r>
          </w:p>
        </w:tc>
        <w:tc>
          <w:tcPr>
            <w:tcW w:w="4577" w:type="dxa"/>
            <w:tcBorders>
              <w:top w:val="single" w:sz="4" w:space="0" w:color="auto"/>
              <w:left w:val="single" w:sz="4" w:space="0" w:color="auto"/>
              <w:bottom w:val="single" w:sz="4" w:space="0" w:color="auto"/>
              <w:right w:val="single" w:sz="4" w:space="0" w:color="auto"/>
            </w:tcBorders>
          </w:tcPr>
          <w:p w14:paraId="32BC20EE" w14:textId="33F516B6" w:rsidR="005A6324" w:rsidRPr="004D0835" w:rsidRDefault="00EF1BFD" w:rsidP="004D0835">
            <w:pPr>
              <w:spacing w:after="0" w:line="240" w:lineRule="auto"/>
              <w:rPr>
                <w:rFonts w:ascii="Times New Roman" w:hAnsi="Times New Roman" w:cs="Times New Roman"/>
                <w:sz w:val="24"/>
                <w:szCs w:val="24"/>
              </w:rPr>
            </w:pPr>
            <w:r w:rsidRPr="00EF1BFD">
              <w:rPr>
                <w:rFonts w:ascii="Times New Roman" w:hAnsi="Times New Roman" w:cs="Times New Roman"/>
                <w:sz w:val="24"/>
                <w:szCs w:val="24"/>
              </w:rPr>
              <w:t xml:space="preserve">89.7. </w:t>
            </w:r>
            <w:proofErr w:type="spellStart"/>
            <w:r w:rsidRPr="00EF1BFD">
              <w:rPr>
                <w:rFonts w:ascii="Times New Roman" w:hAnsi="Times New Roman" w:cs="Times New Roman"/>
                <w:sz w:val="24"/>
                <w:szCs w:val="24"/>
              </w:rPr>
              <w:t>izvērtējuma</w:t>
            </w:r>
            <w:proofErr w:type="spellEnd"/>
            <w:r w:rsidRPr="00EF1BFD">
              <w:rPr>
                <w:rFonts w:ascii="Times New Roman" w:hAnsi="Times New Roman" w:cs="Times New Roman"/>
                <w:sz w:val="24"/>
                <w:szCs w:val="24"/>
              </w:rPr>
              <w:t xml:space="preserve"> veikšanu par iekšējo auditoru un zvērinātu revidentu sniegto novērtējumu un rekomendācijām attiecībā uz risku pārvaldīšanu iestādē, kā arī, ja nepieciešams, korektīvo pasākumu izstrādi un īstenošanas uzraudzību.</w:t>
            </w:r>
          </w:p>
        </w:tc>
        <w:tc>
          <w:tcPr>
            <w:tcW w:w="4694" w:type="dxa"/>
            <w:tcBorders>
              <w:top w:val="single" w:sz="4" w:space="0" w:color="auto"/>
              <w:left w:val="single" w:sz="4" w:space="0" w:color="auto"/>
              <w:bottom w:val="single" w:sz="4" w:space="0" w:color="auto"/>
              <w:right w:val="single" w:sz="4" w:space="0" w:color="auto"/>
            </w:tcBorders>
          </w:tcPr>
          <w:p w14:paraId="613366AE" w14:textId="77777777" w:rsidR="005A6324" w:rsidRPr="00D13AD7" w:rsidRDefault="005A6324" w:rsidP="005A6324">
            <w:pPr>
              <w:spacing w:after="0" w:line="240" w:lineRule="auto"/>
              <w:rPr>
                <w:rFonts w:ascii="Times New Roman" w:hAnsi="Times New Roman" w:cs="Times New Roman"/>
                <w:sz w:val="24"/>
                <w:szCs w:val="24"/>
              </w:rPr>
            </w:pPr>
            <w:r w:rsidRPr="00D13AD7">
              <w:rPr>
                <w:rFonts w:ascii="Times New Roman" w:hAnsi="Times New Roman" w:cs="Times New Roman"/>
                <w:b/>
                <w:bCs/>
                <w:sz w:val="24"/>
                <w:szCs w:val="24"/>
              </w:rPr>
              <w:t xml:space="preserve">89. punkts - </w:t>
            </w:r>
            <w:r w:rsidRPr="00D13AD7">
              <w:rPr>
                <w:rFonts w:ascii="Times New Roman" w:hAnsi="Times New Roman" w:cs="Times New Roman"/>
                <w:sz w:val="24"/>
                <w:szCs w:val="24"/>
              </w:rPr>
              <w:t xml:space="preserve">Noteikumi regulē riska komitejas darbību, bet neregulē audita (revīzijas) komitejas darbību. Prasības atbilstoši Noteikumiem, abām komitejām dublējas, jo audita komitejas darbību regulē Revīzijas pakalpojumu likums (un arī ES līmeņa regulējums). Kopumā tas var ietekmēt padomes komiteju darbības efektivitāti. Pie </w:t>
            </w:r>
            <w:r w:rsidRPr="00D13AD7">
              <w:rPr>
                <w:rFonts w:ascii="Times New Roman" w:hAnsi="Times New Roman" w:cs="Times New Roman"/>
                <w:sz w:val="24"/>
                <w:szCs w:val="24"/>
              </w:rPr>
              <w:lastRenderedPageBreak/>
              <w:t>tam, iekšējo auditoru ziņojumus vērtē arī padome visā sastāvā, kas ietver arī Riska komitejas locekļus un attiecīgi tiek nodrošināta visu Risku komitejas kompetencē esošo jautājumu izvērtēšana un uzraudzība. Konkrēti veidojas situācija, tiek dublēts riska komitejas pienākums:</w:t>
            </w:r>
          </w:p>
          <w:p w14:paraId="0BF7102F" w14:textId="77777777" w:rsidR="005A6324" w:rsidRPr="00D13AD7" w:rsidRDefault="005A6324" w:rsidP="005A6324">
            <w:pPr>
              <w:spacing w:after="0" w:line="240" w:lineRule="auto"/>
              <w:rPr>
                <w:rFonts w:ascii="Times New Roman" w:hAnsi="Times New Roman" w:cs="Times New Roman"/>
                <w:i/>
                <w:iCs/>
                <w:sz w:val="24"/>
                <w:szCs w:val="24"/>
              </w:rPr>
            </w:pPr>
            <w:r w:rsidRPr="00D13AD7">
              <w:rPr>
                <w:rFonts w:ascii="Times New Roman" w:hAnsi="Times New Roman" w:cs="Times New Roman"/>
                <w:i/>
                <w:iCs/>
                <w:sz w:val="24"/>
                <w:szCs w:val="24"/>
              </w:rPr>
              <w:t>89. Nozīmīga iestāde izveido risku komiteju, kura ir atbildīga par: (…)</w:t>
            </w:r>
          </w:p>
          <w:p w14:paraId="764816E3" w14:textId="7CF6A255" w:rsidR="005A6324" w:rsidRPr="005A6324" w:rsidRDefault="005A6324" w:rsidP="00D13AD7">
            <w:pPr>
              <w:spacing w:after="0" w:line="240" w:lineRule="auto"/>
              <w:rPr>
                <w:rFonts w:ascii="Times New Roman" w:hAnsi="Times New Roman" w:cs="Times New Roman"/>
                <w:i/>
                <w:iCs/>
                <w:sz w:val="24"/>
                <w:szCs w:val="24"/>
              </w:rPr>
            </w:pPr>
            <w:r w:rsidRPr="00D13AD7">
              <w:rPr>
                <w:rFonts w:ascii="Times New Roman" w:hAnsi="Times New Roman" w:cs="Times New Roman"/>
                <w:i/>
                <w:iCs/>
                <w:sz w:val="24"/>
                <w:szCs w:val="24"/>
              </w:rPr>
              <w:t xml:space="preserve">89.7. </w:t>
            </w:r>
            <w:proofErr w:type="spellStart"/>
            <w:r w:rsidRPr="00D13AD7">
              <w:rPr>
                <w:rFonts w:ascii="Times New Roman" w:hAnsi="Times New Roman" w:cs="Times New Roman"/>
                <w:i/>
                <w:iCs/>
                <w:sz w:val="24"/>
                <w:szCs w:val="24"/>
              </w:rPr>
              <w:t>izvērtējuma</w:t>
            </w:r>
            <w:proofErr w:type="spellEnd"/>
            <w:r w:rsidRPr="00D13AD7">
              <w:rPr>
                <w:rFonts w:ascii="Times New Roman" w:hAnsi="Times New Roman" w:cs="Times New Roman"/>
                <w:i/>
                <w:iCs/>
                <w:sz w:val="24"/>
                <w:szCs w:val="24"/>
              </w:rPr>
              <w:t xml:space="preserve"> veikšanu par iekšējo auditoru un zvērinātu revidentu sniegto novērtējumu un rekomendācijām attiecībā uz risku pārvaldīšanu iestādē, kā arī, ja nepieciešams, korektīvo pasākumu izstrādi un īstenošanas uzraudzību.</w:t>
            </w:r>
          </w:p>
        </w:tc>
        <w:tc>
          <w:tcPr>
            <w:tcW w:w="4662" w:type="dxa"/>
            <w:tcBorders>
              <w:top w:val="single" w:sz="4" w:space="0" w:color="auto"/>
              <w:left w:val="single" w:sz="4" w:space="0" w:color="auto"/>
              <w:bottom w:val="single" w:sz="4" w:space="0" w:color="auto"/>
              <w:right w:val="single" w:sz="4" w:space="0" w:color="auto"/>
            </w:tcBorders>
          </w:tcPr>
          <w:p w14:paraId="16C32ADD" w14:textId="77777777" w:rsidR="00660DA1" w:rsidRDefault="00FA706B" w:rsidP="00B020EA">
            <w:pPr>
              <w:spacing w:after="0" w:line="240" w:lineRule="auto"/>
              <w:rPr>
                <w:rFonts w:ascii="Times New Roman" w:hAnsi="Times New Roman" w:cs="Times New Roman"/>
                <w:b/>
                <w:sz w:val="24"/>
                <w:szCs w:val="24"/>
              </w:rPr>
            </w:pPr>
            <w:r>
              <w:rPr>
                <w:rFonts w:ascii="Times New Roman" w:hAnsi="Times New Roman" w:cs="Times New Roman"/>
                <w:b/>
                <w:sz w:val="24"/>
                <w:szCs w:val="24"/>
              </w:rPr>
              <w:lastRenderedPageBreak/>
              <w:t xml:space="preserve">Skaidrojums. </w:t>
            </w:r>
          </w:p>
          <w:p w14:paraId="73623D0D" w14:textId="66F316EB" w:rsidR="00B020EA" w:rsidRPr="00B020EA" w:rsidRDefault="00F65FF0" w:rsidP="00B020EA">
            <w:pPr>
              <w:spacing w:after="0" w:line="240" w:lineRule="auto"/>
              <w:rPr>
                <w:rFonts w:ascii="Times New Roman" w:hAnsi="Times New Roman" w:cs="Times New Roman"/>
                <w:bCs/>
                <w:i/>
                <w:iCs/>
                <w:sz w:val="24"/>
                <w:szCs w:val="24"/>
              </w:rPr>
            </w:pPr>
            <w:r w:rsidRPr="00F65FF0">
              <w:rPr>
                <w:rFonts w:ascii="Times New Roman" w:hAnsi="Times New Roman" w:cs="Times New Roman"/>
                <w:bCs/>
                <w:sz w:val="24"/>
                <w:szCs w:val="24"/>
              </w:rPr>
              <w:t>Noteikumu projektā prasības iestādes riska komitejas veidošanai un tai noteiktie pienākumi izriet no</w:t>
            </w:r>
            <w:r>
              <w:rPr>
                <w:rFonts w:ascii="Times New Roman" w:hAnsi="Times New Roman" w:cs="Times New Roman"/>
                <w:bCs/>
                <w:sz w:val="24"/>
                <w:szCs w:val="24"/>
              </w:rPr>
              <w:t xml:space="preserve"> </w:t>
            </w:r>
            <w:r w:rsidRPr="00F65FF0">
              <w:rPr>
                <w:rFonts w:ascii="Times New Roman" w:hAnsi="Times New Roman" w:cs="Times New Roman"/>
                <w:bCs/>
                <w:sz w:val="24"/>
                <w:szCs w:val="24"/>
              </w:rPr>
              <w:t>Eiropas Parlamenta un Padomes 2013. gada 26. jūnija direktīv</w:t>
            </w:r>
            <w:r>
              <w:rPr>
                <w:rFonts w:ascii="Times New Roman" w:hAnsi="Times New Roman" w:cs="Times New Roman"/>
                <w:bCs/>
                <w:sz w:val="24"/>
                <w:szCs w:val="24"/>
              </w:rPr>
              <w:t>ā</w:t>
            </w:r>
            <w:r w:rsidRPr="00F65FF0">
              <w:rPr>
                <w:rFonts w:ascii="Times New Roman" w:hAnsi="Times New Roman" w:cs="Times New Roman"/>
                <w:bCs/>
                <w:sz w:val="24"/>
                <w:szCs w:val="24"/>
              </w:rPr>
              <w:t xml:space="preserve"> 2013/36/ES par piekļuvi kredītiestāžu darbībai un kredītiestāžu </w:t>
            </w:r>
            <w:proofErr w:type="spellStart"/>
            <w:r w:rsidRPr="00F65FF0">
              <w:rPr>
                <w:rFonts w:ascii="Times New Roman" w:hAnsi="Times New Roman" w:cs="Times New Roman"/>
                <w:bCs/>
                <w:sz w:val="24"/>
                <w:szCs w:val="24"/>
              </w:rPr>
              <w:t>prudenciālo</w:t>
            </w:r>
            <w:proofErr w:type="spellEnd"/>
            <w:r w:rsidRPr="00F65FF0">
              <w:rPr>
                <w:rFonts w:ascii="Times New Roman" w:hAnsi="Times New Roman" w:cs="Times New Roman"/>
                <w:bCs/>
                <w:sz w:val="24"/>
                <w:szCs w:val="24"/>
              </w:rPr>
              <w:t xml:space="preserve"> uzraudzību, ar ko groza direktīvu 2002/87/EK </w:t>
            </w:r>
            <w:r w:rsidRPr="00F65FF0">
              <w:rPr>
                <w:rFonts w:ascii="Times New Roman" w:hAnsi="Times New Roman" w:cs="Times New Roman"/>
                <w:bCs/>
                <w:sz w:val="24"/>
                <w:szCs w:val="24"/>
              </w:rPr>
              <w:lastRenderedPageBreak/>
              <w:t>un atceļ direktīvas 2006/48/EK un 2006/49/EK</w:t>
            </w:r>
            <w:r w:rsidR="00705F8F">
              <w:rPr>
                <w:rFonts w:ascii="Times New Roman" w:hAnsi="Times New Roman" w:cs="Times New Roman"/>
                <w:bCs/>
                <w:sz w:val="24"/>
                <w:szCs w:val="24"/>
              </w:rPr>
              <w:t>. Šād</w:t>
            </w:r>
            <w:r w:rsidR="00B020EA">
              <w:rPr>
                <w:rFonts w:ascii="Times New Roman" w:hAnsi="Times New Roman" w:cs="Times New Roman"/>
                <w:bCs/>
                <w:sz w:val="24"/>
                <w:szCs w:val="24"/>
              </w:rPr>
              <w:t xml:space="preserve">s pienākums riska komitejai noteikts </w:t>
            </w:r>
            <w:r w:rsidR="00705F8F">
              <w:rPr>
                <w:rFonts w:ascii="Times New Roman" w:hAnsi="Times New Roman" w:cs="Times New Roman"/>
                <w:bCs/>
                <w:sz w:val="24"/>
                <w:szCs w:val="24"/>
              </w:rPr>
              <w:t xml:space="preserve">arī </w:t>
            </w:r>
            <w:r w:rsidR="00B020EA" w:rsidRPr="00B020EA">
              <w:rPr>
                <w:rFonts w:ascii="Times New Roman" w:hAnsi="Times New Roman" w:cs="Times New Roman"/>
                <w:bCs/>
                <w:sz w:val="24"/>
                <w:szCs w:val="24"/>
              </w:rPr>
              <w:t>Eiropas Banku iestādes 2021. gada 2. jūlija pamatnostādnē</w:t>
            </w:r>
            <w:r w:rsidR="00B020EA">
              <w:rPr>
                <w:rFonts w:ascii="Times New Roman" w:hAnsi="Times New Roman" w:cs="Times New Roman"/>
                <w:bCs/>
                <w:sz w:val="24"/>
                <w:szCs w:val="24"/>
              </w:rPr>
              <w:t xml:space="preserve">s </w:t>
            </w:r>
            <w:r w:rsidR="00B020EA" w:rsidRPr="00B020EA">
              <w:rPr>
                <w:rFonts w:ascii="Times New Roman" w:hAnsi="Times New Roman" w:cs="Times New Roman"/>
                <w:bCs/>
                <w:sz w:val="24"/>
                <w:szCs w:val="24"/>
              </w:rPr>
              <w:t>Nr. EBA/GL/2021/05 "Pamatnostādnes par iekšējo pārvaldību"</w:t>
            </w:r>
            <w:r w:rsidR="00B020EA">
              <w:rPr>
                <w:rFonts w:ascii="Times New Roman" w:hAnsi="Times New Roman" w:cs="Times New Roman"/>
                <w:bCs/>
                <w:sz w:val="24"/>
                <w:szCs w:val="24"/>
              </w:rPr>
              <w:t xml:space="preserve"> 61. punkta h. apakšpunktā – "</w:t>
            </w:r>
            <w:proofErr w:type="spellStart"/>
            <w:r w:rsidR="00B020EA" w:rsidRPr="00B020EA">
              <w:rPr>
                <w:rFonts w:ascii="Times New Roman" w:hAnsi="Times New Roman" w:cs="Times New Roman"/>
                <w:bCs/>
                <w:i/>
                <w:iCs/>
                <w:sz w:val="24"/>
                <w:szCs w:val="24"/>
              </w:rPr>
              <w:t>assess</w:t>
            </w:r>
            <w:proofErr w:type="spellEnd"/>
            <w:r w:rsidR="00B020EA" w:rsidRPr="00B020EA">
              <w:rPr>
                <w:rFonts w:ascii="Times New Roman" w:hAnsi="Times New Roman" w:cs="Times New Roman"/>
                <w:bCs/>
                <w:i/>
                <w:iCs/>
                <w:sz w:val="24"/>
                <w:szCs w:val="24"/>
              </w:rPr>
              <w:t xml:space="preserve"> </w:t>
            </w:r>
            <w:proofErr w:type="spellStart"/>
            <w:r w:rsidR="00B020EA" w:rsidRPr="00B020EA">
              <w:rPr>
                <w:rFonts w:ascii="Times New Roman" w:hAnsi="Times New Roman" w:cs="Times New Roman"/>
                <w:bCs/>
                <w:i/>
                <w:iCs/>
                <w:sz w:val="24"/>
                <w:szCs w:val="24"/>
              </w:rPr>
              <w:t>the</w:t>
            </w:r>
            <w:proofErr w:type="spellEnd"/>
            <w:r w:rsidR="00B020EA" w:rsidRPr="00B020EA">
              <w:rPr>
                <w:rFonts w:ascii="Times New Roman" w:hAnsi="Times New Roman" w:cs="Times New Roman"/>
                <w:bCs/>
                <w:i/>
                <w:iCs/>
                <w:sz w:val="24"/>
                <w:szCs w:val="24"/>
              </w:rPr>
              <w:t xml:space="preserve"> </w:t>
            </w:r>
            <w:proofErr w:type="spellStart"/>
            <w:r w:rsidR="00B020EA" w:rsidRPr="00B020EA">
              <w:rPr>
                <w:rFonts w:ascii="Times New Roman" w:hAnsi="Times New Roman" w:cs="Times New Roman"/>
                <w:bCs/>
                <w:i/>
                <w:iCs/>
                <w:sz w:val="24"/>
                <w:szCs w:val="24"/>
              </w:rPr>
              <w:t>recommendations</w:t>
            </w:r>
            <w:proofErr w:type="spellEnd"/>
            <w:r w:rsidR="00B020EA" w:rsidRPr="00B020EA">
              <w:rPr>
                <w:rFonts w:ascii="Times New Roman" w:hAnsi="Times New Roman" w:cs="Times New Roman"/>
                <w:bCs/>
                <w:i/>
                <w:iCs/>
                <w:sz w:val="24"/>
                <w:szCs w:val="24"/>
              </w:rPr>
              <w:t xml:space="preserve"> </w:t>
            </w:r>
            <w:proofErr w:type="spellStart"/>
            <w:r w:rsidR="00B020EA" w:rsidRPr="00B020EA">
              <w:rPr>
                <w:rFonts w:ascii="Times New Roman" w:hAnsi="Times New Roman" w:cs="Times New Roman"/>
                <w:bCs/>
                <w:i/>
                <w:iCs/>
                <w:sz w:val="24"/>
                <w:szCs w:val="24"/>
              </w:rPr>
              <w:t>of</w:t>
            </w:r>
            <w:proofErr w:type="spellEnd"/>
            <w:r w:rsidR="00B020EA" w:rsidRPr="00B020EA">
              <w:rPr>
                <w:rFonts w:ascii="Times New Roman" w:hAnsi="Times New Roman" w:cs="Times New Roman"/>
                <w:bCs/>
                <w:i/>
                <w:iCs/>
                <w:sz w:val="24"/>
                <w:szCs w:val="24"/>
              </w:rPr>
              <w:t xml:space="preserve"> </w:t>
            </w:r>
            <w:proofErr w:type="spellStart"/>
            <w:r w:rsidR="00B020EA" w:rsidRPr="00B020EA">
              <w:rPr>
                <w:rFonts w:ascii="Times New Roman" w:hAnsi="Times New Roman" w:cs="Times New Roman"/>
                <w:bCs/>
                <w:i/>
                <w:iCs/>
                <w:sz w:val="24"/>
                <w:szCs w:val="24"/>
              </w:rPr>
              <w:t>internal</w:t>
            </w:r>
            <w:proofErr w:type="spellEnd"/>
            <w:r w:rsidR="00B020EA" w:rsidRPr="00B020EA">
              <w:rPr>
                <w:rFonts w:ascii="Times New Roman" w:hAnsi="Times New Roman" w:cs="Times New Roman"/>
                <w:bCs/>
                <w:i/>
                <w:iCs/>
                <w:sz w:val="24"/>
                <w:szCs w:val="24"/>
              </w:rPr>
              <w:t xml:space="preserve"> </w:t>
            </w:r>
            <w:proofErr w:type="spellStart"/>
            <w:r w:rsidR="00B020EA" w:rsidRPr="00B020EA">
              <w:rPr>
                <w:rFonts w:ascii="Times New Roman" w:hAnsi="Times New Roman" w:cs="Times New Roman"/>
                <w:bCs/>
                <w:i/>
                <w:iCs/>
                <w:sz w:val="24"/>
                <w:szCs w:val="24"/>
              </w:rPr>
              <w:t>or</w:t>
            </w:r>
            <w:proofErr w:type="spellEnd"/>
            <w:r w:rsidR="00B020EA" w:rsidRPr="00B020EA">
              <w:rPr>
                <w:rFonts w:ascii="Times New Roman" w:hAnsi="Times New Roman" w:cs="Times New Roman"/>
                <w:bCs/>
                <w:i/>
                <w:iCs/>
                <w:sz w:val="24"/>
                <w:szCs w:val="24"/>
              </w:rPr>
              <w:t xml:space="preserve"> </w:t>
            </w:r>
            <w:proofErr w:type="spellStart"/>
            <w:r w:rsidR="00B020EA" w:rsidRPr="00B020EA">
              <w:rPr>
                <w:rFonts w:ascii="Times New Roman" w:hAnsi="Times New Roman" w:cs="Times New Roman"/>
                <w:bCs/>
                <w:i/>
                <w:iCs/>
                <w:sz w:val="24"/>
                <w:szCs w:val="24"/>
              </w:rPr>
              <w:t>external</w:t>
            </w:r>
            <w:proofErr w:type="spellEnd"/>
            <w:r w:rsidR="00B020EA" w:rsidRPr="00B020EA">
              <w:rPr>
                <w:rFonts w:ascii="Times New Roman" w:hAnsi="Times New Roman" w:cs="Times New Roman"/>
                <w:bCs/>
                <w:i/>
                <w:iCs/>
                <w:sz w:val="24"/>
                <w:szCs w:val="24"/>
              </w:rPr>
              <w:t xml:space="preserve"> auditors </w:t>
            </w:r>
            <w:proofErr w:type="spellStart"/>
            <w:r w:rsidR="00B020EA" w:rsidRPr="00B020EA">
              <w:rPr>
                <w:rFonts w:ascii="Times New Roman" w:hAnsi="Times New Roman" w:cs="Times New Roman"/>
                <w:bCs/>
                <w:i/>
                <w:iCs/>
                <w:sz w:val="24"/>
                <w:szCs w:val="24"/>
              </w:rPr>
              <w:t>and</w:t>
            </w:r>
            <w:proofErr w:type="spellEnd"/>
            <w:r w:rsidR="00B020EA" w:rsidRPr="00B020EA">
              <w:rPr>
                <w:rFonts w:ascii="Times New Roman" w:hAnsi="Times New Roman" w:cs="Times New Roman"/>
                <w:bCs/>
                <w:i/>
                <w:iCs/>
                <w:sz w:val="24"/>
                <w:szCs w:val="24"/>
              </w:rPr>
              <w:t xml:space="preserve"> </w:t>
            </w:r>
            <w:proofErr w:type="spellStart"/>
            <w:r w:rsidR="00B020EA" w:rsidRPr="00B020EA">
              <w:rPr>
                <w:rFonts w:ascii="Times New Roman" w:hAnsi="Times New Roman" w:cs="Times New Roman"/>
                <w:bCs/>
                <w:i/>
                <w:iCs/>
                <w:sz w:val="24"/>
                <w:szCs w:val="24"/>
              </w:rPr>
              <w:t>follow</w:t>
            </w:r>
            <w:proofErr w:type="spellEnd"/>
            <w:r w:rsidR="00B020EA" w:rsidRPr="00B020EA">
              <w:rPr>
                <w:rFonts w:ascii="Times New Roman" w:hAnsi="Times New Roman" w:cs="Times New Roman"/>
                <w:bCs/>
                <w:i/>
                <w:iCs/>
                <w:sz w:val="24"/>
                <w:szCs w:val="24"/>
              </w:rPr>
              <w:t xml:space="preserve"> </w:t>
            </w:r>
            <w:proofErr w:type="spellStart"/>
            <w:r w:rsidR="00B020EA" w:rsidRPr="00B020EA">
              <w:rPr>
                <w:rFonts w:ascii="Times New Roman" w:hAnsi="Times New Roman" w:cs="Times New Roman"/>
                <w:bCs/>
                <w:i/>
                <w:iCs/>
                <w:sz w:val="24"/>
                <w:szCs w:val="24"/>
              </w:rPr>
              <w:t>up</w:t>
            </w:r>
            <w:proofErr w:type="spellEnd"/>
            <w:r w:rsidR="00B020EA" w:rsidRPr="00B020EA">
              <w:rPr>
                <w:rFonts w:ascii="Times New Roman" w:hAnsi="Times New Roman" w:cs="Times New Roman"/>
                <w:bCs/>
                <w:i/>
                <w:iCs/>
                <w:sz w:val="24"/>
                <w:szCs w:val="24"/>
              </w:rPr>
              <w:t xml:space="preserve"> </w:t>
            </w:r>
            <w:proofErr w:type="spellStart"/>
            <w:r w:rsidR="00B020EA" w:rsidRPr="00B020EA">
              <w:rPr>
                <w:rFonts w:ascii="Times New Roman" w:hAnsi="Times New Roman" w:cs="Times New Roman"/>
                <w:bCs/>
                <w:i/>
                <w:iCs/>
                <w:sz w:val="24"/>
                <w:szCs w:val="24"/>
              </w:rPr>
              <w:t>on</w:t>
            </w:r>
            <w:proofErr w:type="spellEnd"/>
            <w:r w:rsidR="00B020EA" w:rsidRPr="00B020EA">
              <w:rPr>
                <w:rFonts w:ascii="Times New Roman" w:hAnsi="Times New Roman" w:cs="Times New Roman"/>
                <w:bCs/>
                <w:i/>
                <w:iCs/>
                <w:sz w:val="24"/>
                <w:szCs w:val="24"/>
              </w:rPr>
              <w:t xml:space="preserve"> </w:t>
            </w:r>
            <w:proofErr w:type="spellStart"/>
            <w:r w:rsidR="00B020EA" w:rsidRPr="00B020EA">
              <w:rPr>
                <w:rFonts w:ascii="Times New Roman" w:hAnsi="Times New Roman" w:cs="Times New Roman"/>
                <w:bCs/>
                <w:i/>
                <w:iCs/>
                <w:sz w:val="24"/>
                <w:szCs w:val="24"/>
              </w:rPr>
              <w:t>the</w:t>
            </w:r>
            <w:proofErr w:type="spellEnd"/>
          </w:p>
          <w:p w14:paraId="26E94817" w14:textId="57088260" w:rsidR="00B020EA" w:rsidRPr="00B020EA" w:rsidRDefault="00B020EA" w:rsidP="00B020EA">
            <w:pPr>
              <w:spacing w:after="0" w:line="240" w:lineRule="auto"/>
              <w:rPr>
                <w:rFonts w:ascii="Times New Roman" w:hAnsi="Times New Roman" w:cs="Times New Roman"/>
                <w:bCs/>
                <w:sz w:val="24"/>
                <w:szCs w:val="24"/>
              </w:rPr>
            </w:pPr>
            <w:proofErr w:type="spellStart"/>
            <w:r w:rsidRPr="00B020EA">
              <w:rPr>
                <w:rFonts w:ascii="Times New Roman" w:hAnsi="Times New Roman" w:cs="Times New Roman"/>
                <w:bCs/>
                <w:i/>
                <w:iCs/>
                <w:sz w:val="24"/>
                <w:szCs w:val="24"/>
              </w:rPr>
              <w:t>appropriate</w:t>
            </w:r>
            <w:proofErr w:type="spellEnd"/>
            <w:r w:rsidRPr="00B020EA">
              <w:rPr>
                <w:rFonts w:ascii="Times New Roman" w:hAnsi="Times New Roman" w:cs="Times New Roman"/>
                <w:bCs/>
                <w:i/>
                <w:iCs/>
                <w:sz w:val="24"/>
                <w:szCs w:val="24"/>
              </w:rPr>
              <w:t xml:space="preserve"> </w:t>
            </w:r>
            <w:proofErr w:type="spellStart"/>
            <w:r w:rsidRPr="00B020EA">
              <w:rPr>
                <w:rFonts w:ascii="Times New Roman" w:hAnsi="Times New Roman" w:cs="Times New Roman"/>
                <w:bCs/>
                <w:i/>
                <w:iCs/>
                <w:sz w:val="24"/>
                <w:szCs w:val="24"/>
              </w:rPr>
              <w:t>implementation</w:t>
            </w:r>
            <w:proofErr w:type="spellEnd"/>
            <w:r w:rsidRPr="00B020EA">
              <w:rPr>
                <w:rFonts w:ascii="Times New Roman" w:hAnsi="Times New Roman" w:cs="Times New Roman"/>
                <w:bCs/>
                <w:i/>
                <w:iCs/>
                <w:sz w:val="24"/>
                <w:szCs w:val="24"/>
              </w:rPr>
              <w:t xml:space="preserve"> </w:t>
            </w:r>
            <w:proofErr w:type="spellStart"/>
            <w:r w:rsidRPr="00B020EA">
              <w:rPr>
                <w:rFonts w:ascii="Times New Roman" w:hAnsi="Times New Roman" w:cs="Times New Roman"/>
                <w:bCs/>
                <w:i/>
                <w:iCs/>
                <w:sz w:val="24"/>
                <w:szCs w:val="24"/>
              </w:rPr>
              <w:t>of</w:t>
            </w:r>
            <w:proofErr w:type="spellEnd"/>
            <w:r w:rsidRPr="00B020EA">
              <w:rPr>
                <w:rFonts w:ascii="Times New Roman" w:hAnsi="Times New Roman" w:cs="Times New Roman"/>
                <w:bCs/>
                <w:i/>
                <w:iCs/>
                <w:sz w:val="24"/>
                <w:szCs w:val="24"/>
              </w:rPr>
              <w:t xml:space="preserve"> </w:t>
            </w:r>
            <w:proofErr w:type="spellStart"/>
            <w:r w:rsidRPr="00B020EA">
              <w:rPr>
                <w:rFonts w:ascii="Times New Roman" w:hAnsi="Times New Roman" w:cs="Times New Roman"/>
                <w:bCs/>
                <w:i/>
                <w:iCs/>
                <w:sz w:val="24"/>
                <w:szCs w:val="24"/>
              </w:rPr>
              <w:t>measures</w:t>
            </w:r>
            <w:proofErr w:type="spellEnd"/>
            <w:r w:rsidRPr="00B020EA">
              <w:rPr>
                <w:rFonts w:ascii="Times New Roman" w:hAnsi="Times New Roman" w:cs="Times New Roman"/>
                <w:bCs/>
                <w:i/>
                <w:iCs/>
                <w:sz w:val="24"/>
                <w:szCs w:val="24"/>
              </w:rPr>
              <w:t xml:space="preserve"> </w:t>
            </w:r>
            <w:proofErr w:type="spellStart"/>
            <w:r w:rsidRPr="00B020EA">
              <w:rPr>
                <w:rFonts w:ascii="Times New Roman" w:hAnsi="Times New Roman" w:cs="Times New Roman"/>
                <w:bCs/>
                <w:i/>
                <w:iCs/>
                <w:sz w:val="24"/>
                <w:szCs w:val="24"/>
              </w:rPr>
              <w:t>taken</w:t>
            </w:r>
            <w:proofErr w:type="spellEnd"/>
            <w:r w:rsidRPr="00B020EA">
              <w:rPr>
                <w:rFonts w:ascii="Times New Roman" w:hAnsi="Times New Roman" w:cs="Times New Roman"/>
                <w:bCs/>
                <w:i/>
                <w:iCs/>
                <w:sz w:val="24"/>
                <w:szCs w:val="24"/>
              </w:rPr>
              <w:t>.</w:t>
            </w:r>
            <w:r>
              <w:rPr>
                <w:rFonts w:ascii="Times New Roman" w:hAnsi="Times New Roman" w:cs="Times New Roman"/>
                <w:bCs/>
                <w:i/>
                <w:iCs/>
                <w:sz w:val="24"/>
                <w:szCs w:val="24"/>
              </w:rPr>
              <w:t xml:space="preserve">" </w:t>
            </w:r>
            <w:r w:rsidRPr="00B020EA">
              <w:rPr>
                <w:rFonts w:ascii="Times New Roman" w:hAnsi="Times New Roman" w:cs="Times New Roman"/>
                <w:bCs/>
                <w:sz w:val="24"/>
                <w:szCs w:val="24"/>
              </w:rPr>
              <w:t>Noteikumu projektā</w:t>
            </w:r>
            <w:r>
              <w:rPr>
                <w:rFonts w:ascii="Times New Roman" w:hAnsi="Times New Roman" w:cs="Times New Roman"/>
                <w:bCs/>
                <w:sz w:val="24"/>
                <w:szCs w:val="24"/>
              </w:rPr>
              <w:t xml:space="preserve"> nav iekļautas prasības revīzijas komitejas darbībai, jo to nosaka Revīzijas pakalpojumu likums.</w:t>
            </w:r>
          </w:p>
          <w:p w14:paraId="46A2E6CB" w14:textId="79D7BAE2" w:rsidR="005A6324" w:rsidRPr="004D0835" w:rsidRDefault="005A6324" w:rsidP="004D0835">
            <w:pPr>
              <w:spacing w:after="0" w:line="240" w:lineRule="auto"/>
              <w:rPr>
                <w:rFonts w:ascii="Times New Roman" w:hAnsi="Times New Roman" w:cs="Times New Roman"/>
                <w:b/>
                <w:sz w:val="24"/>
                <w:szCs w:val="24"/>
              </w:rPr>
            </w:pPr>
          </w:p>
        </w:tc>
      </w:tr>
      <w:tr w:rsidR="005A6324" w:rsidRPr="004D0835" w14:paraId="664B37D3" w14:textId="77777777" w:rsidTr="00A5501F">
        <w:tc>
          <w:tcPr>
            <w:tcW w:w="0" w:type="auto"/>
            <w:tcBorders>
              <w:top w:val="single" w:sz="4" w:space="0" w:color="auto"/>
              <w:left w:val="single" w:sz="4" w:space="0" w:color="auto"/>
              <w:bottom w:val="single" w:sz="4" w:space="0" w:color="auto"/>
              <w:right w:val="single" w:sz="4" w:space="0" w:color="auto"/>
            </w:tcBorders>
          </w:tcPr>
          <w:p w14:paraId="3A52C757" w14:textId="48D27CB0" w:rsidR="005A6324" w:rsidRPr="004D0835" w:rsidRDefault="00B95B99" w:rsidP="004D0835">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12.</w:t>
            </w:r>
          </w:p>
        </w:tc>
        <w:tc>
          <w:tcPr>
            <w:tcW w:w="4577" w:type="dxa"/>
            <w:tcBorders>
              <w:top w:val="single" w:sz="4" w:space="0" w:color="auto"/>
              <w:left w:val="single" w:sz="4" w:space="0" w:color="auto"/>
              <w:bottom w:val="single" w:sz="4" w:space="0" w:color="auto"/>
              <w:right w:val="single" w:sz="4" w:space="0" w:color="auto"/>
            </w:tcBorders>
          </w:tcPr>
          <w:p w14:paraId="14B61E30" w14:textId="54130C8C" w:rsidR="005A6324" w:rsidRPr="004D0835" w:rsidRDefault="00EF1BFD" w:rsidP="004D0835">
            <w:pPr>
              <w:spacing w:after="0" w:line="240" w:lineRule="auto"/>
              <w:rPr>
                <w:rFonts w:ascii="Times New Roman" w:hAnsi="Times New Roman" w:cs="Times New Roman"/>
                <w:sz w:val="24"/>
                <w:szCs w:val="24"/>
              </w:rPr>
            </w:pPr>
            <w:r w:rsidRPr="00EF1BFD">
              <w:rPr>
                <w:rFonts w:ascii="Times New Roman" w:hAnsi="Times New Roman" w:cs="Times New Roman"/>
                <w:sz w:val="24"/>
                <w:szCs w:val="24"/>
              </w:rPr>
              <w:t>105. Lai nodrošinātu iestādes spēju darboties nepārtraukti un mazinātu zaudējumus ārkārtēju apstākļu gadījumā, iestāde izstrādā tās darbības nepārtrauktības nodrošināšanas plānu.</w:t>
            </w:r>
          </w:p>
        </w:tc>
        <w:tc>
          <w:tcPr>
            <w:tcW w:w="4694" w:type="dxa"/>
            <w:tcBorders>
              <w:top w:val="single" w:sz="4" w:space="0" w:color="auto"/>
              <w:left w:val="single" w:sz="4" w:space="0" w:color="auto"/>
              <w:bottom w:val="single" w:sz="4" w:space="0" w:color="auto"/>
              <w:right w:val="single" w:sz="4" w:space="0" w:color="auto"/>
            </w:tcBorders>
          </w:tcPr>
          <w:p w14:paraId="1D2D9269" w14:textId="77777777" w:rsidR="005A6324" w:rsidRPr="00D13AD7" w:rsidRDefault="005A6324" w:rsidP="005A6324">
            <w:pPr>
              <w:spacing w:after="0" w:line="240" w:lineRule="auto"/>
              <w:rPr>
                <w:rFonts w:ascii="Times New Roman" w:hAnsi="Times New Roman" w:cs="Times New Roman"/>
                <w:sz w:val="24"/>
                <w:szCs w:val="24"/>
              </w:rPr>
            </w:pPr>
            <w:r w:rsidRPr="00D13AD7">
              <w:rPr>
                <w:rFonts w:ascii="Times New Roman" w:hAnsi="Times New Roman" w:cs="Times New Roman"/>
                <w:b/>
                <w:bCs/>
                <w:sz w:val="24"/>
                <w:szCs w:val="24"/>
              </w:rPr>
              <w:t xml:space="preserve">105.punkts - </w:t>
            </w:r>
            <w:r w:rsidRPr="00D13AD7">
              <w:rPr>
                <w:rFonts w:ascii="Times New Roman" w:hAnsi="Times New Roman" w:cs="Times New Roman"/>
                <w:sz w:val="24"/>
                <w:szCs w:val="24"/>
              </w:rPr>
              <w:t>Praksē darbības nepārtrauktības dokumentācija var būt veikta vairākos dokumentos, nevis vienā "plānā" – piemēram, biznesa ietekmes novērtējumi, darbības nepārtrauktības plānos, IT atjaunošanas plānos. Ieteikums izmantot plašāku formulējumu, piemēram," [..] iestāde veic tās darbības nepārtrauktības nodrošināšanas pasākumus". Attiecīgi, tad tālāk norādītais uzskaitījums ir pasākumiem, ko banka veic darbības nepārtrauktības pasākumu kopuma ietvaros.</w:t>
            </w:r>
          </w:p>
          <w:p w14:paraId="29B0D927" w14:textId="17FB85D1" w:rsidR="005A6324" w:rsidRPr="00B95B99" w:rsidRDefault="005A6324" w:rsidP="00D13AD7">
            <w:pPr>
              <w:spacing w:after="0" w:line="240" w:lineRule="auto"/>
              <w:rPr>
                <w:rFonts w:ascii="Times New Roman" w:hAnsi="Times New Roman" w:cs="Times New Roman"/>
                <w:sz w:val="24"/>
                <w:szCs w:val="24"/>
              </w:rPr>
            </w:pPr>
            <w:r w:rsidRPr="00D13AD7">
              <w:rPr>
                <w:rFonts w:ascii="Times New Roman" w:hAnsi="Times New Roman" w:cs="Times New Roman"/>
                <w:sz w:val="24"/>
                <w:szCs w:val="24"/>
              </w:rPr>
              <w:t>Vai arī noteikumos paskaidrot, ka ar plānu saprotam dokumentu kopumu, nevis vienu dokumentu.</w:t>
            </w:r>
          </w:p>
        </w:tc>
        <w:tc>
          <w:tcPr>
            <w:tcW w:w="4662" w:type="dxa"/>
            <w:tcBorders>
              <w:top w:val="single" w:sz="4" w:space="0" w:color="auto"/>
              <w:left w:val="single" w:sz="4" w:space="0" w:color="auto"/>
              <w:bottom w:val="single" w:sz="4" w:space="0" w:color="auto"/>
              <w:right w:val="single" w:sz="4" w:space="0" w:color="auto"/>
            </w:tcBorders>
            <w:shd w:val="clear" w:color="auto" w:fill="FFFFFF" w:themeFill="background1"/>
          </w:tcPr>
          <w:p w14:paraId="09DF7C0A" w14:textId="34939760" w:rsidR="005A6324" w:rsidRDefault="005A6324" w:rsidP="004D0835">
            <w:pPr>
              <w:spacing w:after="0" w:line="240" w:lineRule="auto"/>
              <w:rPr>
                <w:rFonts w:ascii="Times New Roman" w:hAnsi="Times New Roman" w:cs="Times New Roman"/>
                <w:b/>
                <w:sz w:val="24"/>
                <w:szCs w:val="24"/>
              </w:rPr>
            </w:pPr>
            <w:r w:rsidRPr="005A10BD">
              <w:rPr>
                <w:rFonts w:ascii="Times New Roman" w:hAnsi="Times New Roman" w:cs="Times New Roman"/>
                <w:b/>
                <w:sz w:val="24"/>
                <w:szCs w:val="24"/>
              </w:rPr>
              <w:t>Ņemts vērā.</w:t>
            </w:r>
          </w:p>
          <w:p w14:paraId="565BDD93" w14:textId="54C4B672" w:rsidR="00CF7434" w:rsidRPr="005A10BD" w:rsidRDefault="00CF7434" w:rsidP="004D0835">
            <w:pPr>
              <w:spacing w:after="0" w:line="240" w:lineRule="auto"/>
              <w:rPr>
                <w:rFonts w:ascii="Times New Roman" w:hAnsi="Times New Roman" w:cs="Times New Roman"/>
                <w:b/>
                <w:sz w:val="24"/>
                <w:szCs w:val="24"/>
              </w:rPr>
            </w:pPr>
            <w:r>
              <w:rPr>
                <w:rFonts w:ascii="Times New Roman" w:hAnsi="Times New Roman" w:cs="Times New Roman"/>
                <w:b/>
                <w:sz w:val="24"/>
                <w:szCs w:val="24"/>
              </w:rPr>
              <w:t>Precizēta redakcija:</w:t>
            </w:r>
          </w:p>
          <w:p w14:paraId="19203FFA" w14:textId="39DB315B" w:rsidR="005A10BD" w:rsidRPr="005A10BD" w:rsidRDefault="005A10BD" w:rsidP="005A10BD">
            <w:pPr>
              <w:spacing w:after="0" w:line="240" w:lineRule="auto"/>
              <w:rPr>
                <w:rFonts w:ascii="Times New Roman" w:hAnsi="Times New Roman" w:cs="Times New Roman"/>
                <w:bCs/>
                <w:sz w:val="24"/>
                <w:szCs w:val="24"/>
              </w:rPr>
            </w:pPr>
            <w:r w:rsidRPr="005A10BD">
              <w:rPr>
                <w:rFonts w:ascii="Times New Roman" w:hAnsi="Times New Roman" w:cs="Times New Roman"/>
                <w:bCs/>
                <w:sz w:val="24"/>
                <w:szCs w:val="24"/>
              </w:rPr>
              <w:t>105. Lai nodrošinātu iestādes spēju darboties nepārtraukti un mazinātu zaudējumus ārkārtēju apstākļu gadījumā, iestāde veic pasākumus  tās darbības nepārtrauktības nodrošināšanai.</w:t>
            </w:r>
          </w:p>
          <w:p w14:paraId="054316AA" w14:textId="25226BF0" w:rsidR="005A10BD" w:rsidRPr="005A10BD" w:rsidRDefault="005A10BD" w:rsidP="005A10BD">
            <w:pPr>
              <w:spacing w:after="0" w:line="240" w:lineRule="auto"/>
              <w:rPr>
                <w:rFonts w:ascii="Times New Roman" w:hAnsi="Times New Roman" w:cs="Times New Roman"/>
                <w:bCs/>
                <w:sz w:val="24"/>
                <w:szCs w:val="24"/>
              </w:rPr>
            </w:pPr>
            <w:r w:rsidRPr="005A10BD">
              <w:rPr>
                <w:rFonts w:ascii="Times New Roman" w:hAnsi="Times New Roman" w:cs="Times New Roman"/>
                <w:bCs/>
                <w:sz w:val="24"/>
                <w:szCs w:val="24"/>
              </w:rPr>
              <w:t>106. Lai nodrošinātu darbības nepārtrauktību,</w:t>
            </w:r>
            <w:r>
              <w:rPr>
                <w:rFonts w:ascii="Times New Roman" w:hAnsi="Times New Roman" w:cs="Times New Roman"/>
                <w:bCs/>
                <w:sz w:val="24"/>
                <w:szCs w:val="24"/>
              </w:rPr>
              <w:t xml:space="preserve"> </w:t>
            </w:r>
            <w:r w:rsidRPr="005A10BD">
              <w:rPr>
                <w:rFonts w:ascii="Times New Roman" w:hAnsi="Times New Roman" w:cs="Times New Roman"/>
                <w:bCs/>
                <w:sz w:val="24"/>
                <w:szCs w:val="24"/>
              </w:rPr>
              <w:t>iestāde:</w:t>
            </w:r>
          </w:p>
          <w:p w14:paraId="79C93E1D" w14:textId="77777777" w:rsidR="005A10BD" w:rsidRPr="005A10BD" w:rsidRDefault="005A10BD" w:rsidP="005A10BD">
            <w:pPr>
              <w:spacing w:after="0" w:line="240" w:lineRule="auto"/>
              <w:rPr>
                <w:rFonts w:ascii="Times New Roman" w:hAnsi="Times New Roman" w:cs="Times New Roman"/>
                <w:bCs/>
                <w:sz w:val="24"/>
                <w:szCs w:val="24"/>
              </w:rPr>
            </w:pPr>
            <w:r w:rsidRPr="005A10BD">
              <w:rPr>
                <w:rFonts w:ascii="Times New Roman" w:hAnsi="Times New Roman" w:cs="Times New Roman"/>
                <w:bCs/>
                <w:sz w:val="24"/>
                <w:szCs w:val="24"/>
              </w:rPr>
              <w:t>106.1. identificē tās darbībai būtiskus procesus un resursus, kuri darbības traucējumu gadījumā ir nekavējoties jāatjauno, tai skaitā tos, kurus nodrošina ārpakalpojumu sniedzēji vai citas trešās puses;</w:t>
            </w:r>
          </w:p>
          <w:p w14:paraId="3860CDE1" w14:textId="77777777" w:rsidR="005A10BD" w:rsidRPr="005A10BD" w:rsidRDefault="005A10BD" w:rsidP="005A10BD">
            <w:pPr>
              <w:spacing w:after="0" w:line="240" w:lineRule="auto"/>
              <w:rPr>
                <w:rFonts w:ascii="Times New Roman" w:hAnsi="Times New Roman" w:cs="Times New Roman"/>
                <w:bCs/>
                <w:sz w:val="24"/>
                <w:szCs w:val="24"/>
              </w:rPr>
            </w:pPr>
            <w:r w:rsidRPr="005A10BD">
              <w:rPr>
                <w:rFonts w:ascii="Times New Roman" w:hAnsi="Times New Roman" w:cs="Times New Roman"/>
                <w:bCs/>
                <w:sz w:val="24"/>
                <w:szCs w:val="24"/>
              </w:rPr>
              <w:t xml:space="preserve">106.2. novērtē iestādes darbībai būtisku procesu pārtraukšanas un resursu </w:t>
            </w:r>
            <w:r w:rsidRPr="005A10BD">
              <w:rPr>
                <w:rFonts w:ascii="Times New Roman" w:hAnsi="Times New Roman" w:cs="Times New Roman"/>
                <w:bCs/>
                <w:sz w:val="24"/>
                <w:szCs w:val="24"/>
              </w:rPr>
              <w:lastRenderedPageBreak/>
              <w:t>nepietiekamības ietekmi uz iestādes darbību un maksimāli pieļaujamo laiku to atjaunošanai, tādējādi nosakot prioritātes un rīcību normālas darbības atjaunošanai ārkārtējos apstākļos;</w:t>
            </w:r>
          </w:p>
          <w:p w14:paraId="74C70794" w14:textId="77777777" w:rsidR="005A10BD" w:rsidRPr="005A10BD" w:rsidRDefault="005A10BD" w:rsidP="005A10BD">
            <w:pPr>
              <w:spacing w:after="0" w:line="240" w:lineRule="auto"/>
              <w:rPr>
                <w:rFonts w:ascii="Times New Roman" w:hAnsi="Times New Roman" w:cs="Times New Roman"/>
                <w:bCs/>
                <w:sz w:val="24"/>
                <w:szCs w:val="24"/>
              </w:rPr>
            </w:pPr>
            <w:r w:rsidRPr="005A10BD">
              <w:rPr>
                <w:rFonts w:ascii="Times New Roman" w:hAnsi="Times New Roman" w:cs="Times New Roman"/>
                <w:bCs/>
                <w:sz w:val="24"/>
                <w:szCs w:val="24"/>
              </w:rPr>
              <w:t>106.3. izstrādā procedūras un nosaka atbildīgos un iesaistītos darbiniekus un administratīvās un tehniskās funkcijas iestādes darbībai būtisku procesu nepārtrauktības un resursu pietiekamības nodrošināšanai;</w:t>
            </w:r>
          </w:p>
          <w:p w14:paraId="127AA69D" w14:textId="77777777" w:rsidR="005A10BD" w:rsidRPr="005A10BD" w:rsidRDefault="005A10BD" w:rsidP="005A10BD">
            <w:pPr>
              <w:spacing w:after="0" w:line="240" w:lineRule="auto"/>
              <w:rPr>
                <w:rFonts w:ascii="Times New Roman" w:hAnsi="Times New Roman" w:cs="Times New Roman"/>
                <w:bCs/>
                <w:sz w:val="24"/>
                <w:szCs w:val="24"/>
              </w:rPr>
            </w:pPr>
            <w:r w:rsidRPr="005A10BD">
              <w:rPr>
                <w:rFonts w:ascii="Times New Roman" w:hAnsi="Times New Roman" w:cs="Times New Roman"/>
                <w:bCs/>
                <w:sz w:val="24"/>
                <w:szCs w:val="24"/>
              </w:rPr>
              <w:t>106.4. nosaka tehniskos un darba organizācijas pasākumus un veidus, kādos iestādes darbībai būtiski procesi un resursi tiks atjaunoti;</w:t>
            </w:r>
          </w:p>
          <w:p w14:paraId="0656939B" w14:textId="77777777" w:rsidR="005A10BD" w:rsidRPr="005A10BD" w:rsidRDefault="005A10BD" w:rsidP="005A10BD">
            <w:pPr>
              <w:spacing w:after="0" w:line="240" w:lineRule="auto"/>
              <w:rPr>
                <w:rFonts w:ascii="Times New Roman" w:hAnsi="Times New Roman" w:cs="Times New Roman"/>
                <w:bCs/>
                <w:sz w:val="24"/>
                <w:szCs w:val="24"/>
              </w:rPr>
            </w:pPr>
            <w:r w:rsidRPr="005A10BD">
              <w:rPr>
                <w:rFonts w:ascii="Times New Roman" w:hAnsi="Times New Roman" w:cs="Times New Roman"/>
                <w:bCs/>
                <w:sz w:val="24"/>
                <w:szCs w:val="24"/>
              </w:rPr>
              <w:t>106.5. nosaka alternatīvus veidus iestādes darbībai būtisku procesu un resursu aizstāšanai līdz to atjaunošanai, piemēram, paredzot citu atrašanās vietu vai citus resursus, un paredz iestādes darbības nepārtrauktības nodrošināšanā iesaistītajiem darbiniekiem atbilstošu materiāltehnisko apgādi un lietojamo informācijas tehnoloģiju un telekomunikāciju infrastruktūru ārkārtējos apstākļos;</w:t>
            </w:r>
          </w:p>
          <w:p w14:paraId="00876C1D" w14:textId="4269481F" w:rsidR="005A10BD" w:rsidRPr="005A10BD" w:rsidRDefault="005A10BD" w:rsidP="005A10BD">
            <w:pPr>
              <w:spacing w:after="0" w:line="240" w:lineRule="auto"/>
              <w:rPr>
                <w:rFonts w:ascii="Times New Roman" w:hAnsi="Times New Roman" w:cs="Times New Roman"/>
                <w:bCs/>
                <w:sz w:val="24"/>
                <w:szCs w:val="24"/>
              </w:rPr>
            </w:pPr>
            <w:r w:rsidRPr="005A10BD">
              <w:rPr>
                <w:rFonts w:ascii="Times New Roman" w:hAnsi="Times New Roman" w:cs="Times New Roman"/>
                <w:bCs/>
                <w:sz w:val="24"/>
                <w:szCs w:val="24"/>
              </w:rPr>
              <w:t>106.6. nosaka darbības nepārtrauktības nodrošināšanas pasākumus informācijas sistēmu darbībai.</w:t>
            </w:r>
          </w:p>
        </w:tc>
      </w:tr>
      <w:tr w:rsidR="00B95B99" w:rsidRPr="004D0835" w14:paraId="1A2DD2C0" w14:textId="77777777" w:rsidTr="00176E33">
        <w:tc>
          <w:tcPr>
            <w:tcW w:w="0" w:type="auto"/>
            <w:tcBorders>
              <w:top w:val="single" w:sz="4" w:space="0" w:color="auto"/>
              <w:left w:val="single" w:sz="4" w:space="0" w:color="auto"/>
              <w:bottom w:val="single" w:sz="4" w:space="0" w:color="auto"/>
              <w:right w:val="single" w:sz="4" w:space="0" w:color="auto"/>
            </w:tcBorders>
          </w:tcPr>
          <w:p w14:paraId="33F564A6" w14:textId="04E1BB3E" w:rsidR="00B95B99" w:rsidRPr="004D0835" w:rsidRDefault="00B95B99" w:rsidP="004D0835">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13.</w:t>
            </w:r>
          </w:p>
        </w:tc>
        <w:tc>
          <w:tcPr>
            <w:tcW w:w="4577" w:type="dxa"/>
            <w:tcBorders>
              <w:top w:val="single" w:sz="4" w:space="0" w:color="auto"/>
              <w:left w:val="single" w:sz="4" w:space="0" w:color="auto"/>
              <w:bottom w:val="single" w:sz="4" w:space="0" w:color="auto"/>
              <w:right w:val="single" w:sz="4" w:space="0" w:color="auto"/>
            </w:tcBorders>
          </w:tcPr>
          <w:p w14:paraId="6822F3B1" w14:textId="1EB998C6" w:rsidR="00B95B99" w:rsidRPr="004D0835" w:rsidRDefault="00EF1BFD" w:rsidP="004D0835">
            <w:pPr>
              <w:spacing w:after="0" w:line="240" w:lineRule="auto"/>
              <w:rPr>
                <w:rFonts w:ascii="Times New Roman" w:hAnsi="Times New Roman" w:cs="Times New Roman"/>
                <w:sz w:val="24"/>
                <w:szCs w:val="24"/>
              </w:rPr>
            </w:pPr>
            <w:r w:rsidRPr="00EF1BFD">
              <w:rPr>
                <w:rFonts w:ascii="Times New Roman" w:hAnsi="Times New Roman" w:cs="Times New Roman"/>
                <w:sz w:val="24"/>
                <w:szCs w:val="24"/>
              </w:rPr>
              <w:t xml:space="preserve">115.21. ne retāk kā reizi gadā nosaka un apstiprina iekšējā audita funkcijas darbības plānu saskaņā ar šo noteikumu 138. punktā noteikto, nodrošinot, ka risku komiteja un </w:t>
            </w:r>
            <w:r w:rsidRPr="00EF1BFD">
              <w:rPr>
                <w:rFonts w:ascii="Times New Roman" w:hAnsi="Times New Roman" w:cs="Times New Roman"/>
                <w:sz w:val="24"/>
                <w:szCs w:val="24"/>
              </w:rPr>
              <w:lastRenderedPageBreak/>
              <w:t>revīzijas komiteja (ja tādas ir izveidotas) ir iesaistīta šā plāna izstrādē.</w:t>
            </w:r>
          </w:p>
        </w:tc>
        <w:tc>
          <w:tcPr>
            <w:tcW w:w="4694" w:type="dxa"/>
            <w:tcBorders>
              <w:top w:val="single" w:sz="4" w:space="0" w:color="auto"/>
              <w:left w:val="single" w:sz="4" w:space="0" w:color="auto"/>
              <w:bottom w:val="single" w:sz="4" w:space="0" w:color="auto"/>
              <w:right w:val="single" w:sz="4" w:space="0" w:color="auto"/>
            </w:tcBorders>
          </w:tcPr>
          <w:p w14:paraId="28E14FEC" w14:textId="77777777" w:rsidR="00B95B99" w:rsidRPr="00D13AD7" w:rsidRDefault="00B95B99" w:rsidP="00B95B99">
            <w:pPr>
              <w:spacing w:after="0" w:line="240" w:lineRule="auto"/>
              <w:rPr>
                <w:rFonts w:ascii="Times New Roman" w:hAnsi="Times New Roman" w:cs="Times New Roman"/>
                <w:sz w:val="24"/>
                <w:szCs w:val="24"/>
              </w:rPr>
            </w:pPr>
            <w:r w:rsidRPr="00D13AD7">
              <w:rPr>
                <w:rFonts w:ascii="Times New Roman" w:hAnsi="Times New Roman" w:cs="Times New Roman"/>
                <w:b/>
                <w:bCs/>
                <w:sz w:val="24"/>
                <w:szCs w:val="24"/>
              </w:rPr>
              <w:lastRenderedPageBreak/>
              <w:t xml:space="preserve">115.2 punkts - </w:t>
            </w:r>
            <w:r w:rsidRPr="00D13AD7">
              <w:rPr>
                <w:rFonts w:ascii="Times New Roman" w:hAnsi="Times New Roman" w:cs="Times New Roman"/>
                <w:sz w:val="24"/>
                <w:szCs w:val="24"/>
              </w:rPr>
              <w:t xml:space="preserve">Komentārs attiecībā uz padomes kompetencēm, kas prasa risku komitejas iesaisti audita darbības plāna izstrādē, jo padome, kas ietver risku komitejas </w:t>
            </w:r>
            <w:r w:rsidRPr="00D13AD7">
              <w:rPr>
                <w:rFonts w:ascii="Times New Roman" w:hAnsi="Times New Roman" w:cs="Times New Roman"/>
                <w:sz w:val="24"/>
                <w:szCs w:val="24"/>
              </w:rPr>
              <w:lastRenderedPageBreak/>
              <w:t>locekļus, arī vērtē un apstiprina audita plānu. Pie tam visa gada laikā redzot nepieciešamību kādu jomu pastiprināti uzraudzīt, padomei vai risku komitejai ir iespēja iesniegt iekšējā audita vadītājai uzdevumu iekļaut jomu audita plānā.</w:t>
            </w:r>
          </w:p>
          <w:p w14:paraId="66C3EADF" w14:textId="77777777" w:rsidR="00B95B99" w:rsidRPr="0031640C" w:rsidRDefault="00B95B99" w:rsidP="00B95B99">
            <w:pPr>
              <w:spacing w:after="0" w:line="240" w:lineRule="auto"/>
              <w:rPr>
                <w:rFonts w:ascii="Times New Roman" w:hAnsi="Times New Roman" w:cs="Times New Roman"/>
                <w:i/>
                <w:iCs/>
                <w:sz w:val="24"/>
                <w:szCs w:val="24"/>
              </w:rPr>
            </w:pPr>
            <w:r w:rsidRPr="00D13AD7">
              <w:rPr>
                <w:rFonts w:ascii="Times New Roman" w:hAnsi="Times New Roman" w:cs="Times New Roman"/>
                <w:b/>
                <w:bCs/>
                <w:i/>
                <w:iCs/>
                <w:sz w:val="24"/>
                <w:szCs w:val="24"/>
              </w:rPr>
              <w:t xml:space="preserve">115.21. </w:t>
            </w:r>
            <w:r w:rsidRPr="00D13AD7">
              <w:rPr>
                <w:rFonts w:ascii="Times New Roman" w:hAnsi="Times New Roman" w:cs="Times New Roman"/>
                <w:i/>
                <w:iCs/>
                <w:sz w:val="24"/>
                <w:szCs w:val="24"/>
              </w:rPr>
              <w:t>ne retāk kā reizi gadā nosaka un apstiprina iekšējā audita funkcijas darbības plānu saskaņā ar šo noteikumu 138. punktā noteikto</w:t>
            </w:r>
            <w:r w:rsidRPr="0031640C">
              <w:rPr>
                <w:rFonts w:ascii="Times New Roman" w:hAnsi="Times New Roman" w:cs="Times New Roman"/>
                <w:b/>
                <w:bCs/>
                <w:i/>
                <w:iCs/>
                <w:sz w:val="24"/>
                <w:szCs w:val="24"/>
              </w:rPr>
              <w:t>, nodrošinot, ka risku komiteja un revīzijas komiteja (ja tādas ir izveidotas) ir iesaistīta šā plāna izstrādē</w:t>
            </w:r>
            <w:r w:rsidRPr="0031640C">
              <w:rPr>
                <w:rFonts w:ascii="Times New Roman" w:hAnsi="Times New Roman" w:cs="Times New Roman"/>
                <w:i/>
                <w:iCs/>
                <w:sz w:val="24"/>
                <w:szCs w:val="24"/>
              </w:rPr>
              <w:t>.</w:t>
            </w:r>
          </w:p>
          <w:p w14:paraId="1FEBC0C4" w14:textId="62D8F431" w:rsidR="00B95B99" w:rsidRPr="00B95B99" w:rsidRDefault="00B95B99" w:rsidP="00D13AD7">
            <w:pPr>
              <w:spacing w:after="0" w:line="240" w:lineRule="auto"/>
              <w:rPr>
                <w:rFonts w:ascii="Times New Roman" w:hAnsi="Times New Roman" w:cs="Times New Roman"/>
                <w:sz w:val="24"/>
                <w:szCs w:val="24"/>
              </w:rPr>
            </w:pPr>
            <w:r w:rsidRPr="0031640C">
              <w:rPr>
                <w:rFonts w:ascii="Times New Roman" w:hAnsi="Times New Roman" w:cs="Times New Roman"/>
                <w:sz w:val="24"/>
                <w:szCs w:val="24"/>
              </w:rPr>
              <w:t>Latvijā, salīdzinot ar kaimiņvalstīm ir</w:t>
            </w:r>
            <w:r w:rsidRPr="00D13AD7">
              <w:rPr>
                <w:rFonts w:ascii="Times New Roman" w:hAnsi="Times New Roman" w:cs="Times New Roman"/>
                <w:sz w:val="24"/>
                <w:szCs w:val="24"/>
              </w:rPr>
              <w:t xml:space="preserve"> pārmērīgs dažādu prasīto padomes vai komiteju “</w:t>
            </w:r>
            <w:proofErr w:type="spellStart"/>
            <w:r w:rsidRPr="00D13AD7">
              <w:rPr>
                <w:rFonts w:ascii="Times New Roman" w:hAnsi="Times New Roman" w:cs="Times New Roman"/>
                <w:sz w:val="24"/>
                <w:szCs w:val="24"/>
              </w:rPr>
              <w:t>izvērtējumu</w:t>
            </w:r>
            <w:proofErr w:type="spellEnd"/>
            <w:r w:rsidRPr="00D13AD7">
              <w:rPr>
                <w:rFonts w:ascii="Times New Roman" w:hAnsi="Times New Roman" w:cs="Times New Roman"/>
                <w:sz w:val="24"/>
                <w:szCs w:val="24"/>
              </w:rPr>
              <w:t>” apjoms. Tie saturiski pārklājas un neveicina efektīvu pārvaldību. Aicinām apsvērt precizēt.</w:t>
            </w:r>
          </w:p>
        </w:tc>
        <w:tc>
          <w:tcPr>
            <w:tcW w:w="4662" w:type="dxa"/>
            <w:tcBorders>
              <w:top w:val="single" w:sz="4" w:space="0" w:color="auto"/>
              <w:left w:val="single" w:sz="4" w:space="0" w:color="auto"/>
              <w:bottom w:val="single" w:sz="4" w:space="0" w:color="auto"/>
              <w:right w:val="single" w:sz="4" w:space="0" w:color="auto"/>
            </w:tcBorders>
          </w:tcPr>
          <w:p w14:paraId="11FEFDEE" w14:textId="77777777" w:rsidR="00660DA1" w:rsidRDefault="0031640C" w:rsidP="0031640C">
            <w:pPr>
              <w:spacing w:after="0" w:line="240" w:lineRule="auto"/>
              <w:rPr>
                <w:rFonts w:ascii="Times New Roman" w:hAnsi="Times New Roman" w:cs="Times New Roman"/>
                <w:bCs/>
                <w:sz w:val="24"/>
                <w:szCs w:val="24"/>
              </w:rPr>
            </w:pPr>
            <w:r w:rsidRPr="0031640C">
              <w:rPr>
                <w:rFonts w:ascii="Times New Roman" w:hAnsi="Times New Roman" w:cs="Times New Roman"/>
                <w:b/>
                <w:sz w:val="24"/>
                <w:szCs w:val="24"/>
              </w:rPr>
              <w:lastRenderedPageBreak/>
              <w:t>Skaidrojums.</w:t>
            </w:r>
            <w:r w:rsidRPr="0031640C">
              <w:rPr>
                <w:rFonts w:ascii="Times New Roman" w:hAnsi="Times New Roman" w:cs="Times New Roman"/>
                <w:bCs/>
                <w:sz w:val="24"/>
                <w:szCs w:val="24"/>
              </w:rPr>
              <w:t xml:space="preserve"> </w:t>
            </w:r>
          </w:p>
          <w:p w14:paraId="324EF586" w14:textId="71B5CAC8" w:rsidR="00B95B99" w:rsidRPr="0031640C" w:rsidRDefault="0031640C" w:rsidP="00F6708C">
            <w:pPr>
              <w:spacing w:after="0" w:line="240" w:lineRule="auto"/>
              <w:rPr>
                <w:rFonts w:ascii="Times New Roman" w:hAnsi="Times New Roman" w:cs="Times New Roman"/>
                <w:bCs/>
                <w:sz w:val="24"/>
                <w:szCs w:val="24"/>
              </w:rPr>
            </w:pPr>
            <w:r w:rsidRPr="0031640C">
              <w:rPr>
                <w:rFonts w:ascii="Times New Roman" w:hAnsi="Times New Roman" w:cs="Times New Roman"/>
                <w:bCs/>
                <w:sz w:val="24"/>
                <w:szCs w:val="24"/>
              </w:rPr>
              <w:t xml:space="preserve">Iekšējā audita plānu apstiprina iestādes padome. </w:t>
            </w:r>
            <w:r>
              <w:rPr>
                <w:rFonts w:ascii="Times New Roman" w:hAnsi="Times New Roman" w:cs="Times New Roman"/>
                <w:bCs/>
                <w:sz w:val="24"/>
                <w:szCs w:val="24"/>
              </w:rPr>
              <w:t xml:space="preserve">Tas noteikts ievērojot </w:t>
            </w:r>
            <w:r w:rsidRPr="0031640C">
              <w:rPr>
                <w:rFonts w:ascii="Times New Roman" w:hAnsi="Times New Roman" w:cs="Times New Roman"/>
                <w:bCs/>
                <w:sz w:val="24"/>
                <w:szCs w:val="24"/>
              </w:rPr>
              <w:t>Eiropas Banku iestādes 2021. gada 2. jūlija pamatnostād</w:t>
            </w:r>
            <w:r>
              <w:rPr>
                <w:rFonts w:ascii="Times New Roman" w:hAnsi="Times New Roman" w:cs="Times New Roman"/>
                <w:bCs/>
                <w:sz w:val="24"/>
                <w:szCs w:val="24"/>
              </w:rPr>
              <w:t xml:space="preserve">ņu </w:t>
            </w:r>
            <w:r w:rsidRPr="0031640C">
              <w:rPr>
                <w:rFonts w:ascii="Times New Roman" w:hAnsi="Times New Roman" w:cs="Times New Roman"/>
                <w:bCs/>
                <w:sz w:val="24"/>
                <w:szCs w:val="24"/>
              </w:rPr>
              <w:lastRenderedPageBreak/>
              <w:t xml:space="preserve">Nr. EBA/GL/2021/05 "Pamatnostādnes par iekšējo pārvaldību" </w:t>
            </w:r>
            <w:r>
              <w:rPr>
                <w:rFonts w:ascii="Times New Roman" w:hAnsi="Times New Roman" w:cs="Times New Roman"/>
                <w:bCs/>
                <w:sz w:val="24"/>
                <w:szCs w:val="24"/>
              </w:rPr>
              <w:t>223. punktā noteiktās prasības – "</w:t>
            </w:r>
            <w:r w:rsidRPr="0031640C">
              <w:rPr>
                <w:rFonts w:ascii="Times New Roman" w:hAnsi="Times New Roman" w:cs="Times New Roman"/>
                <w:bCs/>
                <w:i/>
                <w:iCs/>
                <w:sz w:val="24"/>
                <w:szCs w:val="24"/>
              </w:rPr>
              <w:t xml:space="preserve">223. An </w:t>
            </w:r>
            <w:proofErr w:type="spellStart"/>
            <w:r w:rsidRPr="0031640C">
              <w:rPr>
                <w:rFonts w:ascii="Times New Roman" w:hAnsi="Times New Roman" w:cs="Times New Roman"/>
                <w:bCs/>
                <w:i/>
                <w:iCs/>
                <w:sz w:val="24"/>
                <w:szCs w:val="24"/>
              </w:rPr>
              <w:t>internal</w:t>
            </w:r>
            <w:proofErr w:type="spellEnd"/>
            <w:r w:rsidRPr="0031640C">
              <w:rPr>
                <w:rFonts w:ascii="Times New Roman" w:hAnsi="Times New Roman" w:cs="Times New Roman"/>
                <w:bCs/>
                <w:i/>
                <w:iCs/>
                <w:sz w:val="24"/>
                <w:szCs w:val="24"/>
              </w:rPr>
              <w:t xml:space="preserve"> audit </w:t>
            </w:r>
            <w:proofErr w:type="spellStart"/>
            <w:r w:rsidRPr="0031640C">
              <w:rPr>
                <w:rFonts w:ascii="Times New Roman" w:hAnsi="Times New Roman" w:cs="Times New Roman"/>
                <w:bCs/>
                <w:i/>
                <w:iCs/>
                <w:sz w:val="24"/>
                <w:szCs w:val="24"/>
              </w:rPr>
              <w:t>plan</w:t>
            </w:r>
            <w:proofErr w:type="spellEnd"/>
            <w:r w:rsidRPr="0031640C">
              <w:rPr>
                <w:rFonts w:ascii="Times New Roman" w:hAnsi="Times New Roman" w:cs="Times New Roman"/>
                <w:bCs/>
                <w:i/>
                <w:iCs/>
                <w:sz w:val="24"/>
                <w:szCs w:val="24"/>
              </w:rPr>
              <w:t xml:space="preserve"> </w:t>
            </w:r>
            <w:proofErr w:type="spellStart"/>
            <w:r w:rsidRPr="0031640C">
              <w:rPr>
                <w:rFonts w:ascii="Times New Roman" w:hAnsi="Times New Roman" w:cs="Times New Roman"/>
                <w:bCs/>
                <w:i/>
                <w:iCs/>
                <w:sz w:val="24"/>
                <w:szCs w:val="24"/>
              </w:rPr>
              <w:t>should</w:t>
            </w:r>
            <w:proofErr w:type="spellEnd"/>
            <w:r w:rsidRPr="0031640C">
              <w:rPr>
                <w:rFonts w:ascii="Times New Roman" w:hAnsi="Times New Roman" w:cs="Times New Roman"/>
                <w:bCs/>
                <w:i/>
                <w:iCs/>
                <w:sz w:val="24"/>
                <w:szCs w:val="24"/>
              </w:rPr>
              <w:t xml:space="preserve"> </w:t>
            </w:r>
            <w:proofErr w:type="spellStart"/>
            <w:r w:rsidRPr="0031640C">
              <w:rPr>
                <w:rFonts w:ascii="Times New Roman" w:hAnsi="Times New Roman" w:cs="Times New Roman"/>
                <w:bCs/>
                <w:i/>
                <w:iCs/>
                <w:sz w:val="24"/>
                <w:szCs w:val="24"/>
              </w:rPr>
              <w:t>be</w:t>
            </w:r>
            <w:proofErr w:type="spellEnd"/>
            <w:r w:rsidRPr="0031640C">
              <w:rPr>
                <w:rFonts w:ascii="Times New Roman" w:hAnsi="Times New Roman" w:cs="Times New Roman"/>
                <w:bCs/>
                <w:i/>
                <w:iCs/>
                <w:sz w:val="24"/>
                <w:szCs w:val="24"/>
              </w:rPr>
              <w:t xml:space="preserve"> </w:t>
            </w:r>
            <w:proofErr w:type="spellStart"/>
            <w:r w:rsidRPr="0031640C">
              <w:rPr>
                <w:rFonts w:ascii="Times New Roman" w:hAnsi="Times New Roman" w:cs="Times New Roman"/>
                <w:bCs/>
                <w:i/>
                <w:iCs/>
                <w:sz w:val="24"/>
                <w:szCs w:val="24"/>
              </w:rPr>
              <w:t>drawn</w:t>
            </w:r>
            <w:proofErr w:type="spellEnd"/>
            <w:r w:rsidRPr="0031640C">
              <w:rPr>
                <w:rFonts w:ascii="Times New Roman" w:hAnsi="Times New Roman" w:cs="Times New Roman"/>
                <w:bCs/>
                <w:i/>
                <w:iCs/>
                <w:sz w:val="24"/>
                <w:szCs w:val="24"/>
              </w:rPr>
              <w:t xml:space="preserve"> </w:t>
            </w:r>
            <w:proofErr w:type="spellStart"/>
            <w:r w:rsidRPr="0031640C">
              <w:rPr>
                <w:rFonts w:ascii="Times New Roman" w:hAnsi="Times New Roman" w:cs="Times New Roman"/>
                <w:bCs/>
                <w:i/>
                <w:iCs/>
                <w:sz w:val="24"/>
                <w:szCs w:val="24"/>
              </w:rPr>
              <w:t>up</w:t>
            </w:r>
            <w:proofErr w:type="spellEnd"/>
            <w:r w:rsidRPr="0031640C">
              <w:rPr>
                <w:rFonts w:ascii="Times New Roman" w:hAnsi="Times New Roman" w:cs="Times New Roman"/>
                <w:bCs/>
                <w:i/>
                <w:iCs/>
                <w:sz w:val="24"/>
                <w:szCs w:val="24"/>
              </w:rPr>
              <w:t xml:space="preserve"> </w:t>
            </w:r>
            <w:proofErr w:type="spellStart"/>
            <w:r w:rsidRPr="0031640C">
              <w:rPr>
                <w:rFonts w:ascii="Times New Roman" w:hAnsi="Times New Roman" w:cs="Times New Roman"/>
                <w:bCs/>
                <w:i/>
                <w:iCs/>
                <w:sz w:val="24"/>
                <w:szCs w:val="24"/>
              </w:rPr>
              <w:t>at</w:t>
            </w:r>
            <w:proofErr w:type="spellEnd"/>
            <w:r w:rsidRPr="0031640C">
              <w:rPr>
                <w:rFonts w:ascii="Times New Roman" w:hAnsi="Times New Roman" w:cs="Times New Roman"/>
                <w:bCs/>
                <w:i/>
                <w:iCs/>
                <w:sz w:val="24"/>
                <w:szCs w:val="24"/>
              </w:rPr>
              <w:t xml:space="preserve"> </w:t>
            </w:r>
            <w:proofErr w:type="spellStart"/>
            <w:r w:rsidRPr="0031640C">
              <w:rPr>
                <w:rFonts w:ascii="Times New Roman" w:hAnsi="Times New Roman" w:cs="Times New Roman"/>
                <w:bCs/>
                <w:i/>
                <w:iCs/>
                <w:sz w:val="24"/>
                <w:szCs w:val="24"/>
              </w:rPr>
              <w:t>least</w:t>
            </w:r>
            <w:proofErr w:type="spellEnd"/>
            <w:r w:rsidRPr="0031640C">
              <w:rPr>
                <w:rFonts w:ascii="Times New Roman" w:hAnsi="Times New Roman" w:cs="Times New Roman"/>
                <w:bCs/>
                <w:i/>
                <w:iCs/>
                <w:sz w:val="24"/>
                <w:szCs w:val="24"/>
              </w:rPr>
              <w:t xml:space="preserve"> </w:t>
            </w:r>
            <w:proofErr w:type="spellStart"/>
            <w:r w:rsidRPr="0031640C">
              <w:rPr>
                <w:rFonts w:ascii="Times New Roman" w:hAnsi="Times New Roman" w:cs="Times New Roman"/>
                <w:bCs/>
                <w:i/>
                <w:iCs/>
                <w:sz w:val="24"/>
                <w:szCs w:val="24"/>
              </w:rPr>
              <w:t>once</w:t>
            </w:r>
            <w:proofErr w:type="spellEnd"/>
            <w:r w:rsidRPr="0031640C">
              <w:rPr>
                <w:rFonts w:ascii="Times New Roman" w:hAnsi="Times New Roman" w:cs="Times New Roman"/>
                <w:bCs/>
                <w:i/>
                <w:iCs/>
                <w:sz w:val="24"/>
                <w:szCs w:val="24"/>
              </w:rPr>
              <w:t xml:space="preserve"> a </w:t>
            </w:r>
            <w:proofErr w:type="spellStart"/>
            <w:r w:rsidRPr="0031640C">
              <w:rPr>
                <w:rFonts w:ascii="Times New Roman" w:hAnsi="Times New Roman" w:cs="Times New Roman"/>
                <w:bCs/>
                <w:i/>
                <w:iCs/>
                <w:sz w:val="24"/>
                <w:szCs w:val="24"/>
              </w:rPr>
              <w:t>year</w:t>
            </w:r>
            <w:proofErr w:type="spellEnd"/>
            <w:r w:rsidRPr="0031640C">
              <w:rPr>
                <w:rFonts w:ascii="Times New Roman" w:hAnsi="Times New Roman" w:cs="Times New Roman"/>
                <w:bCs/>
                <w:i/>
                <w:iCs/>
                <w:sz w:val="24"/>
                <w:szCs w:val="24"/>
              </w:rPr>
              <w:t xml:space="preserve"> </w:t>
            </w:r>
            <w:proofErr w:type="spellStart"/>
            <w:r w:rsidRPr="0031640C">
              <w:rPr>
                <w:rFonts w:ascii="Times New Roman" w:hAnsi="Times New Roman" w:cs="Times New Roman"/>
                <w:bCs/>
                <w:i/>
                <w:iCs/>
                <w:sz w:val="24"/>
                <w:szCs w:val="24"/>
              </w:rPr>
              <w:t>on</w:t>
            </w:r>
            <w:proofErr w:type="spellEnd"/>
            <w:r w:rsidRPr="0031640C">
              <w:rPr>
                <w:rFonts w:ascii="Times New Roman" w:hAnsi="Times New Roman" w:cs="Times New Roman"/>
                <w:bCs/>
                <w:i/>
                <w:iCs/>
                <w:sz w:val="24"/>
                <w:szCs w:val="24"/>
              </w:rPr>
              <w:t xml:space="preserve"> </w:t>
            </w:r>
            <w:proofErr w:type="spellStart"/>
            <w:r w:rsidRPr="0031640C">
              <w:rPr>
                <w:rFonts w:ascii="Times New Roman" w:hAnsi="Times New Roman" w:cs="Times New Roman"/>
                <w:bCs/>
                <w:i/>
                <w:iCs/>
                <w:sz w:val="24"/>
                <w:szCs w:val="24"/>
              </w:rPr>
              <w:t>the</w:t>
            </w:r>
            <w:proofErr w:type="spellEnd"/>
            <w:r w:rsidRPr="0031640C">
              <w:rPr>
                <w:rFonts w:ascii="Times New Roman" w:hAnsi="Times New Roman" w:cs="Times New Roman"/>
                <w:bCs/>
                <w:i/>
                <w:iCs/>
                <w:sz w:val="24"/>
                <w:szCs w:val="24"/>
              </w:rPr>
              <w:t xml:space="preserve"> </w:t>
            </w:r>
            <w:proofErr w:type="spellStart"/>
            <w:r w:rsidRPr="0031640C">
              <w:rPr>
                <w:rFonts w:ascii="Times New Roman" w:hAnsi="Times New Roman" w:cs="Times New Roman"/>
                <w:bCs/>
                <w:i/>
                <w:iCs/>
                <w:sz w:val="24"/>
                <w:szCs w:val="24"/>
              </w:rPr>
              <w:t>basis</w:t>
            </w:r>
            <w:proofErr w:type="spellEnd"/>
            <w:r w:rsidRPr="0031640C">
              <w:rPr>
                <w:rFonts w:ascii="Times New Roman" w:hAnsi="Times New Roman" w:cs="Times New Roman"/>
                <w:bCs/>
                <w:i/>
                <w:iCs/>
                <w:sz w:val="24"/>
                <w:szCs w:val="24"/>
              </w:rPr>
              <w:t xml:space="preserve"> </w:t>
            </w:r>
            <w:proofErr w:type="spellStart"/>
            <w:r w:rsidRPr="0031640C">
              <w:rPr>
                <w:rFonts w:ascii="Times New Roman" w:hAnsi="Times New Roman" w:cs="Times New Roman"/>
                <w:bCs/>
                <w:i/>
                <w:iCs/>
                <w:sz w:val="24"/>
                <w:szCs w:val="24"/>
              </w:rPr>
              <w:t>of</w:t>
            </w:r>
            <w:proofErr w:type="spellEnd"/>
            <w:r w:rsidRPr="0031640C">
              <w:rPr>
                <w:rFonts w:ascii="Times New Roman" w:hAnsi="Times New Roman" w:cs="Times New Roman"/>
                <w:bCs/>
                <w:i/>
                <w:iCs/>
                <w:sz w:val="24"/>
                <w:szCs w:val="24"/>
              </w:rPr>
              <w:t xml:space="preserve"> </w:t>
            </w:r>
            <w:proofErr w:type="spellStart"/>
            <w:r w:rsidRPr="0031640C">
              <w:rPr>
                <w:rFonts w:ascii="Times New Roman" w:hAnsi="Times New Roman" w:cs="Times New Roman"/>
                <w:bCs/>
                <w:i/>
                <w:iCs/>
                <w:sz w:val="24"/>
                <w:szCs w:val="24"/>
              </w:rPr>
              <w:t>the</w:t>
            </w:r>
            <w:proofErr w:type="spellEnd"/>
            <w:r w:rsidRPr="0031640C">
              <w:rPr>
                <w:rFonts w:ascii="Times New Roman" w:hAnsi="Times New Roman" w:cs="Times New Roman"/>
                <w:bCs/>
                <w:i/>
                <w:iCs/>
                <w:sz w:val="24"/>
                <w:szCs w:val="24"/>
              </w:rPr>
              <w:t xml:space="preserve"> </w:t>
            </w:r>
            <w:proofErr w:type="spellStart"/>
            <w:r w:rsidRPr="0031640C">
              <w:rPr>
                <w:rFonts w:ascii="Times New Roman" w:hAnsi="Times New Roman" w:cs="Times New Roman"/>
                <w:bCs/>
                <w:i/>
                <w:iCs/>
                <w:sz w:val="24"/>
                <w:szCs w:val="24"/>
              </w:rPr>
              <w:t>annual</w:t>
            </w:r>
            <w:proofErr w:type="spellEnd"/>
            <w:r w:rsidR="00F6708C">
              <w:rPr>
                <w:rFonts w:ascii="Times New Roman" w:hAnsi="Times New Roman" w:cs="Times New Roman"/>
                <w:bCs/>
                <w:i/>
                <w:iCs/>
                <w:sz w:val="24"/>
                <w:szCs w:val="24"/>
              </w:rPr>
              <w:t xml:space="preserve"> </w:t>
            </w:r>
            <w:proofErr w:type="spellStart"/>
            <w:r w:rsidRPr="0031640C">
              <w:rPr>
                <w:rFonts w:ascii="Times New Roman" w:hAnsi="Times New Roman" w:cs="Times New Roman"/>
                <w:bCs/>
                <w:i/>
                <w:iCs/>
                <w:sz w:val="24"/>
                <w:szCs w:val="24"/>
              </w:rPr>
              <w:t>internal</w:t>
            </w:r>
            <w:proofErr w:type="spellEnd"/>
            <w:r w:rsidRPr="0031640C">
              <w:rPr>
                <w:rFonts w:ascii="Times New Roman" w:hAnsi="Times New Roman" w:cs="Times New Roman"/>
                <w:bCs/>
                <w:i/>
                <w:iCs/>
                <w:sz w:val="24"/>
                <w:szCs w:val="24"/>
              </w:rPr>
              <w:t xml:space="preserve"> audit </w:t>
            </w:r>
            <w:proofErr w:type="spellStart"/>
            <w:r w:rsidRPr="0031640C">
              <w:rPr>
                <w:rFonts w:ascii="Times New Roman" w:hAnsi="Times New Roman" w:cs="Times New Roman"/>
                <w:bCs/>
                <w:i/>
                <w:iCs/>
                <w:sz w:val="24"/>
                <w:szCs w:val="24"/>
              </w:rPr>
              <w:t>control</w:t>
            </w:r>
            <w:proofErr w:type="spellEnd"/>
            <w:r w:rsidRPr="0031640C">
              <w:rPr>
                <w:rFonts w:ascii="Times New Roman" w:hAnsi="Times New Roman" w:cs="Times New Roman"/>
                <w:bCs/>
                <w:i/>
                <w:iCs/>
                <w:sz w:val="24"/>
                <w:szCs w:val="24"/>
              </w:rPr>
              <w:t xml:space="preserve"> </w:t>
            </w:r>
            <w:proofErr w:type="spellStart"/>
            <w:r w:rsidRPr="0031640C">
              <w:rPr>
                <w:rFonts w:ascii="Times New Roman" w:hAnsi="Times New Roman" w:cs="Times New Roman"/>
                <w:bCs/>
                <w:i/>
                <w:iCs/>
                <w:sz w:val="24"/>
                <w:szCs w:val="24"/>
              </w:rPr>
              <w:t>objectives</w:t>
            </w:r>
            <w:proofErr w:type="spellEnd"/>
            <w:r w:rsidRPr="0031640C">
              <w:rPr>
                <w:rFonts w:ascii="Times New Roman" w:hAnsi="Times New Roman" w:cs="Times New Roman"/>
                <w:bCs/>
                <w:i/>
                <w:iCs/>
                <w:sz w:val="24"/>
                <w:szCs w:val="24"/>
              </w:rPr>
              <w:t xml:space="preserve">. </w:t>
            </w:r>
            <w:proofErr w:type="spellStart"/>
            <w:r w:rsidRPr="0031640C">
              <w:rPr>
                <w:rFonts w:ascii="Times New Roman" w:hAnsi="Times New Roman" w:cs="Times New Roman"/>
                <w:bCs/>
                <w:i/>
                <w:iCs/>
                <w:sz w:val="24"/>
                <w:szCs w:val="24"/>
              </w:rPr>
              <w:t>The</w:t>
            </w:r>
            <w:proofErr w:type="spellEnd"/>
            <w:r w:rsidRPr="0031640C">
              <w:rPr>
                <w:rFonts w:ascii="Times New Roman" w:hAnsi="Times New Roman" w:cs="Times New Roman"/>
                <w:bCs/>
                <w:i/>
                <w:iCs/>
                <w:sz w:val="24"/>
                <w:szCs w:val="24"/>
              </w:rPr>
              <w:t xml:space="preserve"> </w:t>
            </w:r>
            <w:proofErr w:type="spellStart"/>
            <w:r w:rsidRPr="0031640C">
              <w:rPr>
                <w:rFonts w:ascii="Times New Roman" w:hAnsi="Times New Roman" w:cs="Times New Roman"/>
                <w:bCs/>
                <w:i/>
                <w:iCs/>
                <w:sz w:val="24"/>
                <w:szCs w:val="24"/>
              </w:rPr>
              <w:t>internal</w:t>
            </w:r>
            <w:proofErr w:type="spellEnd"/>
            <w:r w:rsidRPr="0031640C">
              <w:rPr>
                <w:rFonts w:ascii="Times New Roman" w:hAnsi="Times New Roman" w:cs="Times New Roman"/>
                <w:bCs/>
                <w:i/>
                <w:iCs/>
                <w:sz w:val="24"/>
                <w:szCs w:val="24"/>
              </w:rPr>
              <w:t xml:space="preserve"> audit </w:t>
            </w:r>
            <w:proofErr w:type="spellStart"/>
            <w:r w:rsidRPr="0031640C">
              <w:rPr>
                <w:rFonts w:ascii="Times New Roman" w:hAnsi="Times New Roman" w:cs="Times New Roman"/>
                <w:bCs/>
                <w:i/>
                <w:iCs/>
                <w:sz w:val="24"/>
                <w:szCs w:val="24"/>
              </w:rPr>
              <w:t>plan</w:t>
            </w:r>
            <w:proofErr w:type="spellEnd"/>
            <w:r w:rsidRPr="0031640C">
              <w:rPr>
                <w:rFonts w:ascii="Times New Roman" w:hAnsi="Times New Roman" w:cs="Times New Roman"/>
                <w:bCs/>
                <w:i/>
                <w:iCs/>
                <w:sz w:val="24"/>
                <w:szCs w:val="24"/>
              </w:rPr>
              <w:t xml:space="preserve"> </w:t>
            </w:r>
            <w:proofErr w:type="spellStart"/>
            <w:r w:rsidRPr="0031640C">
              <w:rPr>
                <w:rFonts w:ascii="Times New Roman" w:hAnsi="Times New Roman" w:cs="Times New Roman"/>
                <w:bCs/>
                <w:i/>
                <w:iCs/>
                <w:sz w:val="24"/>
                <w:szCs w:val="24"/>
              </w:rPr>
              <w:t>should</w:t>
            </w:r>
            <w:proofErr w:type="spellEnd"/>
            <w:r w:rsidRPr="0031640C">
              <w:rPr>
                <w:rFonts w:ascii="Times New Roman" w:hAnsi="Times New Roman" w:cs="Times New Roman"/>
                <w:bCs/>
                <w:i/>
                <w:iCs/>
                <w:sz w:val="24"/>
                <w:szCs w:val="24"/>
              </w:rPr>
              <w:t xml:space="preserve"> </w:t>
            </w:r>
            <w:proofErr w:type="spellStart"/>
            <w:r w:rsidRPr="0031640C">
              <w:rPr>
                <w:rFonts w:ascii="Times New Roman" w:hAnsi="Times New Roman" w:cs="Times New Roman"/>
                <w:bCs/>
                <w:i/>
                <w:iCs/>
                <w:sz w:val="24"/>
                <w:szCs w:val="24"/>
              </w:rPr>
              <w:t>be</w:t>
            </w:r>
            <w:proofErr w:type="spellEnd"/>
            <w:r w:rsidRPr="0031640C">
              <w:rPr>
                <w:rFonts w:ascii="Times New Roman" w:hAnsi="Times New Roman" w:cs="Times New Roman"/>
                <w:bCs/>
                <w:i/>
                <w:iCs/>
                <w:sz w:val="24"/>
                <w:szCs w:val="24"/>
              </w:rPr>
              <w:t xml:space="preserve"> </w:t>
            </w:r>
            <w:proofErr w:type="spellStart"/>
            <w:r w:rsidRPr="0031640C">
              <w:rPr>
                <w:rFonts w:ascii="Times New Roman" w:hAnsi="Times New Roman" w:cs="Times New Roman"/>
                <w:bCs/>
                <w:i/>
                <w:iCs/>
                <w:sz w:val="24"/>
                <w:szCs w:val="24"/>
              </w:rPr>
              <w:t>approved</w:t>
            </w:r>
            <w:proofErr w:type="spellEnd"/>
            <w:r w:rsidRPr="0031640C">
              <w:rPr>
                <w:rFonts w:ascii="Times New Roman" w:hAnsi="Times New Roman" w:cs="Times New Roman"/>
                <w:bCs/>
                <w:i/>
                <w:iCs/>
                <w:sz w:val="24"/>
                <w:szCs w:val="24"/>
              </w:rPr>
              <w:t xml:space="preserve"> </w:t>
            </w:r>
            <w:proofErr w:type="spellStart"/>
            <w:r w:rsidRPr="0031640C">
              <w:rPr>
                <w:rFonts w:ascii="Times New Roman" w:hAnsi="Times New Roman" w:cs="Times New Roman"/>
                <w:bCs/>
                <w:i/>
                <w:iCs/>
                <w:sz w:val="24"/>
                <w:szCs w:val="24"/>
              </w:rPr>
              <w:t>by</w:t>
            </w:r>
            <w:proofErr w:type="spellEnd"/>
            <w:r w:rsidRPr="0031640C">
              <w:rPr>
                <w:rFonts w:ascii="Times New Roman" w:hAnsi="Times New Roman" w:cs="Times New Roman"/>
                <w:bCs/>
                <w:i/>
                <w:iCs/>
                <w:sz w:val="24"/>
                <w:szCs w:val="24"/>
              </w:rPr>
              <w:t xml:space="preserve"> </w:t>
            </w:r>
            <w:proofErr w:type="spellStart"/>
            <w:r w:rsidRPr="0031640C">
              <w:rPr>
                <w:rFonts w:ascii="Times New Roman" w:hAnsi="Times New Roman" w:cs="Times New Roman"/>
                <w:bCs/>
                <w:i/>
                <w:iCs/>
                <w:sz w:val="24"/>
                <w:szCs w:val="24"/>
              </w:rPr>
              <w:t>the</w:t>
            </w:r>
            <w:proofErr w:type="spellEnd"/>
            <w:r w:rsidRPr="0031640C">
              <w:rPr>
                <w:rFonts w:ascii="Times New Roman" w:hAnsi="Times New Roman" w:cs="Times New Roman"/>
                <w:bCs/>
                <w:i/>
                <w:iCs/>
                <w:sz w:val="24"/>
                <w:szCs w:val="24"/>
              </w:rPr>
              <w:t xml:space="preserve"> </w:t>
            </w:r>
            <w:proofErr w:type="spellStart"/>
            <w:r w:rsidRPr="0031640C">
              <w:rPr>
                <w:rFonts w:ascii="Times New Roman" w:hAnsi="Times New Roman" w:cs="Times New Roman"/>
                <w:bCs/>
                <w:i/>
                <w:iCs/>
                <w:sz w:val="24"/>
                <w:szCs w:val="24"/>
              </w:rPr>
              <w:t>management</w:t>
            </w:r>
            <w:proofErr w:type="spellEnd"/>
            <w:r w:rsidRPr="0031640C">
              <w:rPr>
                <w:rFonts w:ascii="Times New Roman" w:hAnsi="Times New Roman" w:cs="Times New Roman"/>
                <w:bCs/>
                <w:i/>
                <w:iCs/>
                <w:sz w:val="24"/>
                <w:szCs w:val="24"/>
              </w:rPr>
              <w:t xml:space="preserve"> </w:t>
            </w:r>
            <w:proofErr w:type="spellStart"/>
            <w:r w:rsidRPr="0031640C">
              <w:rPr>
                <w:rFonts w:ascii="Times New Roman" w:hAnsi="Times New Roman" w:cs="Times New Roman"/>
                <w:bCs/>
                <w:i/>
                <w:iCs/>
                <w:sz w:val="24"/>
                <w:szCs w:val="24"/>
              </w:rPr>
              <w:t>body</w:t>
            </w:r>
            <w:proofErr w:type="spellEnd"/>
            <w:r w:rsidRPr="0031640C">
              <w:rPr>
                <w:rFonts w:ascii="Times New Roman" w:hAnsi="Times New Roman" w:cs="Times New Roman"/>
                <w:bCs/>
                <w:sz w:val="24"/>
                <w:szCs w:val="24"/>
              </w:rPr>
              <w:t>.</w:t>
            </w:r>
            <w:r>
              <w:rPr>
                <w:rFonts w:ascii="Times New Roman" w:hAnsi="Times New Roman" w:cs="Times New Roman"/>
                <w:bCs/>
                <w:sz w:val="24"/>
                <w:szCs w:val="24"/>
              </w:rPr>
              <w:t>"</w:t>
            </w:r>
            <w:r w:rsidR="00F6708C">
              <w:rPr>
                <w:rFonts w:ascii="Times New Roman" w:hAnsi="Times New Roman" w:cs="Times New Roman"/>
                <w:bCs/>
                <w:sz w:val="24"/>
                <w:szCs w:val="24"/>
              </w:rPr>
              <w:t>, k</w:t>
            </w:r>
            <w:r>
              <w:rPr>
                <w:rFonts w:ascii="Times New Roman" w:hAnsi="Times New Roman" w:cs="Times New Roman"/>
                <w:bCs/>
                <w:sz w:val="24"/>
                <w:szCs w:val="24"/>
              </w:rPr>
              <w:t>ā arī 34. punkta j. apakšpunktā noteiktās prasības par risku un revīzijas komitejas iesaisti šajā procesā – "</w:t>
            </w:r>
            <w:r w:rsidR="00B020EA" w:rsidRPr="0031640C">
              <w:rPr>
                <w:bCs/>
              </w:rPr>
              <w:t xml:space="preserve"> </w:t>
            </w:r>
            <w:r w:rsidR="00B020EA" w:rsidRPr="0031640C">
              <w:rPr>
                <w:rFonts w:ascii="Times New Roman" w:hAnsi="Times New Roman" w:cs="Times New Roman"/>
                <w:bCs/>
                <w:i/>
                <w:iCs/>
                <w:sz w:val="24"/>
                <w:szCs w:val="24"/>
              </w:rPr>
              <w:t xml:space="preserve">j. monitor </w:t>
            </w:r>
            <w:proofErr w:type="spellStart"/>
            <w:r w:rsidR="00B020EA" w:rsidRPr="0031640C">
              <w:rPr>
                <w:rFonts w:ascii="Times New Roman" w:hAnsi="Times New Roman" w:cs="Times New Roman"/>
                <w:bCs/>
                <w:i/>
                <w:iCs/>
                <w:sz w:val="24"/>
                <w:szCs w:val="24"/>
              </w:rPr>
              <w:t>the</w:t>
            </w:r>
            <w:proofErr w:type="spellEnd"/>
            <w:r w:rsidR="00B020EA" w:rsidRPr="0031640C">
              <w:rPr>
                <w:rFonts w:ascii="Times New Roman" w:hAnsi="Times New Roman" w:cs="Times New Roman"/>
                <w:bCs/>
                <w:i/>
                <w:iCs/>
                <w:sz w:val="24"/>
                <w:szCs w:val="24"/>
              </w:rPr>
              <w:t xml:space="preserve"> </w:t>
            </w:r>
            <w:proofErr w:type="spellStart"/>
            <w:r w:rsidR="00B020EA" w:rsidRPr="0031640C">
              <w:rPr>
                <w:rFonts w:ascii="Times New Roman" w:hAnsi="Times New Roman" w:cs="Times New Roman"/>
                <w:bCs/>
                <w:i/>
                <w:iCs/>
                <w:sz w:val="24"/>
                <w:szCs w:val="24"/>
              </w:rPr>
              <w:t>implementation</w:t>
            </w:r>
            <w:proofErr w:type="spellEnd"/>
            <w:r w:rsidR="00B020EA" w:rsidRPr="0031640C">
              <w:rPr>
                <w:rFonts w:ascii="Times New Roman" w:hAnsi="Times New Roman" w:cs="Times New Roman"/>
                <w:bCs/>
                <w:i/>
                <w:iCs/>
                <w:sz w:val="24"/>
                <w:szCs w:val="24"/>
              </w:rPr>
              <w:t xml:space="preserve"> </w:t>
            </w:r>
            <w:proofErr w:type="spellStart"/>
            <w:r w:rsidR="00B020EA" w:rsidRPr="0031640C">
              <w:rPr>
                <w:rFonts w:ascii="Times New Roman" w:hAnsi="Times New Roman" w:cs="Times New Roman"/>
                <w:bCs/>
                <w:i/>
                <w:iCs/>
                <w:sz w:val="24"/>
                <w:szCs w:val="24"/>
              </w:rPr>
              <w:t>of</w:t>
            </w:r>
            <w:proofErr w:type="spellEnd"/>
            <w:r w:rsidR="00B020EA" w:rsidRPr="0031640C">
              <w:rPr>
                <w:rFonts w:ascii="Times New Roman" w:hAnsi="Times New Roman" w:cs="Times New Roman"/>
                <w:bCs/>
                <w:i/>
                <w:iCs/>
                <w:sz w:val="24"/>
                <w:szCs w:val="24"/>
              </w:rPr>
              <w:t xml:space="preserve"> </w:t>
            </w:r>
            <w:proofErr w:type="spellStart"/>
            <w:r w:rsidR="00B020EA" w:rsidRPr="0031640C">
              <w:rPr>
                <w:rFonts w:ascii="Times New Roman" w:hAnsi="Times New Roman" w:cs="Times New Roman"/>
                <w:bCs/>
                <w:i/>
                <w:iCs/>
                <w:sz w:val="24"/>
                <w:szCs w:val="24"/>
              </w:rPr>
              <w:t>the</w:t>
            </w:r>
            <w:proofErr w:type="spellEnd"/>
            <w:r w:rsidR="00B020EA" w:rsidRPr="0031640C">
              <w:rPr>
                <w:rFonts w:ascii="Times New Roman" w:hAnsi="Times New Roman" w:cs="Times New Roman"/>
                <w:bCs/>
                <w:i/>
                <w:iCs/>
                <w:sz w:val="24"/>
                <w:szCs w:val="24"/>
              </w:rPr>
              <w:t xml:space="preserve"> </w:t>
            </w:r>
            <w:proofErr w:type="spellStart"/>
            <w:r w:rsidR="00B020EA" w:rsidRPr="0031640C">
              <w:rPr>
                <w:rFonts w:ascii="Times New Roman" w:hAnsi="Times New Roman" w:cs="Times New Roman"/>
                <w:bCs/>
                <w:i/>
                <w:iCs/>
                <w:sz w:val="24"/>
                <w:szCs w:val="24"/>
              </w:rPr>
              <w:t>internal</w:t>
            </w:r>
            <w:proofErr w:type="spellEnd"/>
            <w:r w:rsidR="00B020EA" w:rsidRPr="0031640C">
              <w:rPr>
                <w:rFonts w:ascii="Times New Roman" w:hAnsi="Times New Roman" w:cs="Times New Roman"/>
                <w:bCs/>
                <w:i/>
                <w:iCs/>
                <w:sz w:val="24"/>
                <w:szCs w:val="24"/>
              </w:rPr>
              <w:t xml:space="preserve"> audit </w:t>
            </w:r>
            <w:proofErr w:type="spellStart"/>
            <w:r w:rsidR="00B020EA" w:rsidRPr="0031640C">
              <w:rPr>
                <w:rFonts w:ascii="Times New Roman" w:hAnsi="Times New Roman" w:cs="Times New Roman"/>
                <w:bCs/>
                <w:i/>
                <w:iCs/>
                <w:sz w:val="24"/>
                <w:szCs w:val="24"/>
              </w:rPr>
              <w:t>plan</w:t>
            </w:r>
            <w:proofErr w:type="spellEnd"/>
            <w:r w:rsidR="00B020EA" w:rsidRPr="0031640C">
              <w:rPr>
                <w:rFonts w:ascii="Times New Roman" w:hAnsi="Times New Roman" w:cs="Times New Roman"/>
                <w:bCs/>
                <w:i/>
                <w:iCs/>
                <w:sz w:val="24"/>
                <w:szCs w:val="24"/>
              </w:rPr>
              <w:t xml:space="preserve">, </w:t>
            </w:r>
            <w:proofErr w:type="spellStart"/>
            <w:r w:rsidR="00B020EA" w:rsidRPr="0031640C">
              <w:rPr>
                <w:rFonts w:ascii="Times New Roman" w:hAnsi="Times New Roman" w:cs="Times New Roman"/>
                <w:bCs/>
                <w:i/>
                <w:iCs/>
                <w:sz w:val="24"/>
                <w:szCs w:val="24"/>
              </w:rPr>
              <w:t>after</w:t>
            </w:r>
            <w:proofErr w:type="spellEnd"/>
            <w:r w:rsidR="00B020EA" w:rsidRPr="0031640C">
              <w:rPr>
                <w:rFonts w:ascii="Times New Roman" w:hAnsi="Times New Roman" w:cs="Times New Roman"/>
                <w:bCs/>
                <w:i/>
                <w:iCs/>
                <w:sz w:val="24"/>
                <w:szCs w:val="24"/>
              </w:rPr>
              <w:t xml:space="preserve"> </w:t>
            </w:r>
            <w:proofErr w:type="spellStart"/>
            <w:r w:rsidR="00B020EA" w:rsidRPr="0031640C">
              <w:rPr>
                <w:rFonts w:ascii="Times New Roman" w:hAnsi="Times New Roman" w:cs="Times New Roman"/>
                <w:bCs/>
                <w:i/>
                <w:iCs/>
                <w:sz w:val="24"/>
                <w:szCs w:val="24"/>
              </w:rPr>
              <w:t>the</w:t>
            </w:r>
            <w:proofErr w:type="spellEnd"/>
            <w:r w:rsidR="00B020EA" w:rsidRPr="0031640C">
              <w:rPr>
                <w:rFonts w:ascii="Times New Roman" w:hAnsi="Times New Roman" w:cs="Times New Roman"/>
                <w:bCs/>
                <w:i/>
                <w:iCs/>
                <w:sz w:val="24"/>
                <w:szCs w:val="24"/>
              </w:rPr>
              <w:t xml:space="preserve"> </w:t>
            </w:r>
            <w:proofErr w:type="spellStart"/>
            <w:r w:rsidR="00B020EA" w:rsidRPr="0031640C">
              <w:rPr>
                <w:rFonts w:ascii="Times New Roman" w:hAnsi="Times New Roman" w:cs="Times New Roman"/>
                <w:bCs/>
                <w:i/>
                <w:iCs/>
                <w:sz w:val="24"/>
                <w:szCs w:val="24"/>
              </w:rPr>
              <w:t>prior</w:t>
            </w:r>
            <w:proofErr w:type="spellEnd"/>
            <w:r w:rsidR="00B020EA" w:rsidRPr="0031640C">
              <w:rPr>
                <w:rFonts w:ascii="Times New Roman" w:hAnsi="Times New Roman" w:cs="Times New Roman"/>
                <w:bCs/>
                <w:i/>
                <w:iCs/>
                <w:sz w:val="24"/>
                <w:szCs w:val="24"/>
              </w:rPr>
              <w:t xml:space="preserve"> </w:t>
            </w:r>
            <w:proofErr w:type="spellStart"/>
            <w:r w:rsidRPr="0031640C">
              <w:rPr>
                <w:rFonts w:ascii="Times New Roman" w:hAnsi="Times New Roman" w:cs="Times New Roman"/>
                <w:bCs/>
                <w:i/>
                <w:iCs/>
                <w:sz w:val="24"/>
                <w:szCs w:val="24"/>
              </w:rPr>
              <w:t>i</w:t>
            </w:r>
            <w:r w:rsidR="00B020EA" w:rsidRPr="0031640C">
              <w:rPr>
                <w:rFonts w:ascii="Times New Roman" w:hAnsi="Times New Roman" w:cs="Times New Roman"/>
                <w:bCs/>
                <w:i/>
                <w:iCs/>
                <w:sz w:val="24"/>
                <w:szCs w:val="24"/>
              </w:rPr>
              <w:t>nvolvement</w:t>
            </w:r>
            <w:proofErr w:type="spellEnd"/>
            <w:r w:rsidR="00B020EA" w:rsidRPr="0031640C">
              <w:rPr>
                <w:rFonts w:ascii="Times New Roman" w:hAnsi="Times New Roman" w:cs="Times New Roman"/>
                <w:bCs/>
                <w:i/>
                <w:iCs/>
                <w:sz w:val="24"/>
                <w:szCs w:val="24"/>
              </w:rPr>
              <w:t xml:space="preserve"> </w:t>
            </w:r>
            <w:proofErr w:type="spellStart"/>
            <w:r w:rsidR="00B020EA" w:rsidRPr="0031640C">
              <w:rPr>
                <w:rFonts w:ascii="Times New Roman" w:hAnsi="Times New Roman" w:cs="Times New Roman"/>
                <w:bCs/>
                <w:i/>
                <w:iCs/>
                <w:sz w:val="24"/>
                <w:szCs w:val="24"/>
              </w:rPr>
              <w:t>of</w:t>
            </w:r>
            <w:proofErr w:type="spellEnd"/>
            <w:r w:rsidRPr="0031640C">
              <w:rPr>
                <w:rFonts w:ascii="Times New Roman" w:hAnsi="Times New Roman" w:cs="Times New Roman"/>
                <w:bCs/>
                <w:i/>
                <w:iCs/>
                <w:sz w:val="24"/>
                <w:szCs w:val="24"/>
              </w:rPr>
              <w:t xml:space="preserve"> </w:t>
            </w:r>
            <w:proofErr w:type="spellStart"/>
            <w:r w:rsidR="00B020EA" w:rsidRPr="0031640C">
              <w:rPr>
                <w:rFonts w:ascii="Times New Roman" w:hAnsi="Times New Roman" w:cs="Times New Roman"/>
                <w:bCs/>
                <w:i/>
                <w:iCs/>
                <w:sz w:val="24"/>
                <w:szCs w:val="24"/>
              </w:rPr>
              <w:t>the</w:t>
            </w:r>
            <w:proofErr w:type="spellEnd"/>
            <w:r w:rsidR="00B020EA" w:rsidRPr="0031640C">
              <w:rPr>
                <w:rFonts w:ascii="Times New Roman" w:hAnsi="Times New Roman" w:cs="Times New Roman"/>
                <w:bCs/>
                <w:i/>
                <w:iCs/>
                <w:sz w:val="24"/>
                <w:szCs w:val="24"/>
              </w:rPr>
              <w:t xml:space="preserve"> risk </w:t>
            </w:r>
            <w:proofErr w:type="spellStart"/>
            <w:r w:rsidR="00B020EA" w:rsidRPr="0031640C">
              <w:rPr>
                <w:rFonts w:ascii="Times New Roman" w:hAnsi="Times New Roman" w:cs="Times New Roman"/>
                <w:bCs/>
                <w:i/>
                <w:iCs/>
                <w:sz w:val="24"/>
                <w:szCs w:val="24"/>
              </w:rPr>
              <w:t>and</w:t>
            </w:r>
            <w:proofErr w:type="spellEnd"/>
            <w:r w:rsidR="00B020EA" w:rsidRPr="0031640C">
              <w:rPr>
                <w:rFonts w:ascii="Times New Roman" w:hAnsi="Times New Roman" w:cs="Times New Roman"/>
                <w:bCs/>
                <w:i/>
                <w:iCs/>
                <w:sz w:val="24"/>
                <w:szCs w:val="24"/>
              </w:rPr>
              <w:t xml:space="preserve"> audit </w:t>
            </w:r>
            <w:proofErr w:type="spellStart"/>
            <w:r w:rsidR="00B020EA" w:rsidRPr="0031640C">
              <w:rPr>
                <w:rFonts w:ascii="Times New Roman" w:hAnsi="Times New Roman" w:cs="Times New Roman"/>
                <w:bCs/>
                <w:i/>
                <w:iCs/>
                <w:sz w:val="24"/>
                <w:szCs w:val="24"/>
              </w:rPr>
              <w:t>committees</w:t>
            </w:r>
            <w:proofErr w:type="spellEnd"/>
            <w:r w:rsidR="00B020EA" w:rsidRPr="0031640C">
              <w:rPr>
                <w:rFonts w:ascii="Times New Roman" w:hAnsi="Times New Roman" w:cs="Times New Roman"/>
                <w:bCs/>
                <w:i/>
                <w:iCs/>
                <w:sz w:val="24"/>
                <w:szCs w:val="24"/>
              </w:rPr>
              <w:t xml:space="preserve">, </w:t>
            </w:r>
            <w:proofErr w:type="spellStart"/>
            <w:r w:rsidR="00B020EA" w:rsidRPr="0031640C">
              <w:rPr>
                <w:rFonts w:ascii="Times New Roman" w:hAnsi="Times New Roman" w:cs="Times New Roman"/>
                <w:bCs/>
                <w:i/>
                <w:iCs/>
                <w:sz w:val="24"/>
                <w:szCs w:val="24"/>
              </w:rPr>
              <w:t>where</w:t>
            </w:r>
            <w:proofErr w:type="spellEnd"/>
            <w:r w:rsidR="00B020EA" w:rsidRPr="0031640C">
              <w:rPr>
                <w:rFonts w:ascii="Times New Roman" w:hAnsi="Times New Roman" w:cs="Times New Roman"/>
                <w:bCs/>
                <w:i/>
                <w:iCs/>
                <w:sz w:val="24"/>
                <w:szCs w:val="24"/>
              </w:rPr>
              <w:t xml:space="preserve"> </w:t>
            </w:r>
            <w:proofErr w:type="spellStart"/>
            <w:r w:rsidR="00B020EA" w:rsidRPr="0031640C">
              <w:rPr>
                <w:rFonts w:ascii="Times New Roman" w:hAnsi="Times New Roman" w:cs="Times New Roman"/>
                <w:bCs/>
                <w:i/>
                <w:iCs/>
                <w:sz w:val="24"/>
                <w:szCs w:val="24"/>
              </w:rPr>
              <w:t>such</w:t>
            </w:r>
            <w:proofErr w:type="spellEnd"/>
            <w:r w:rsidR="00B020EA" w:rsidRPr="0031640C">
              <w:rPr>
                <w:rFonts w:ascii="Times New Roman" w:hAnsi="Times New Roman" w:cs="Times New Roman"/>
                <w:bCs/>
                <w:i/>
                <w:iCs/>
                <w:sz w:val="24"/>
                <w:szCs w:val="24"/>
              </w:rPr>
              <w:t xml:space="preserve"> </w:t>
            </w:r>
            <w:proofErr w:type="spellStart"/>
            <w:r w:rsidR="00B020EA" w:rsidRPr="0031640C">
              <w:rPr>
                <w:rFonts w:ascii="Times New Roman" w:hAnsi="Times New Roman" w:cs="Times New Roman"/>
                <w:bCs/>
                <w:i/>
                <w:iCs/>
                <w:sz w:val="24"/>
                <w:szCs w:val="24"/>
              </w:rPr>
              <w:t>committees</w:t>
            </w:r>
            <w:proofErr w:type="spellEnd"/>
            <w:r w:rsidR="00B020EA" w:rsidRPr="0031640C">
              <w:rPr>
                <w:rFonts w:ascii="Times New Roman" w:hAnsi="Times New Roman" w:cs="Times New Roman"/>
                <w:bCs/>
                <w:i/>
                <w:iCs/>
                <w:sz w:val="24"/>
                <w:szCs w:val="24"/>
              </w:rPr>
              <w:t xml:space="preserve"> </w:t>
            </w:r>
            <w:proofErr w:type="spellStart"/>
            <w:r w:rsidR="00B020EA" w:rsidRPr="0031640C">
              <w:rPr>
                <w:rFonts w:ascii="Times New Roman" w:hAnsi="Times New Roman" w:cs="Times New Roman"/>
                <w:bCs/>
                <w:i/>
                <w:iCs/>
                <w:sz w:val="24"/>
                <w:szCs w:val="24"/>
              </w:rPr>
              <w:t>are</w:t>
            </w:r>
            <w:proofErr w:type="spellEnd"/>
            <w:r w:rsidR="00B020EA" w:rsidRPr="0031640C">
              <w:rPr>
                <w:rFonts w:ascii="Times New Roman" w:hAnsi="Times New Roman" w:cs="Times New Roman"/>
                <w:bCs/>
                <w:i/>
                <w:iCs/>
                <w:sz w:val="24"/>
                <w:szCs w:val="24"/>
              </w:rPr>
              <w:t xml:space="preserve"> </w:t>
            </w:r>
            <w:proofErr w:type="spellStart"/>
            <w:r w:rsidR="00B020EA" w:rsidRPr="0031640C">
              <w:rPr>
                <w:rFonts w:ascii="Times New Roman" w:hAnsi="Times New Roman" w:cs="Times New Roman"/>
                <w:bCs/>
                <w:i/>
                <w:iCs/>
                <w:sz w:val="24"/>
                <w:szCs w:val="24"/>
              </w:rPr>
              <w:t>established</w:t>
            </w:r>
            <w:proofErr w:type="spellEnd"/>
            <w:r w:rsidR="00B020EA" w:rsidRPr="0031640C">
              <w:rPr>
                <w:rFonts w:ascii="Times New Roman" w:hAnsi="Times New Roman" w:cs="Times New Roman"/>
                <w:bCs/>
                <w:sz w:val="24"/>
                <w:szCs w:val="24"/>
              </w:rPr>
              <w:t>.</w:t>
            </w:r>
            <w:r>
              <w:rPr>
                <w:rFonts w:ascii="Times New Roman" w:hAnsi="Times New Roman" w:cs="Times New Roman"/>
                <w:bCs/>
                <w:sz w:val="24"/>
                <w:szCs w:val="24"/>
              </w:rPr>
              <w:t>".</w:t>
            </w:r>
          </w:p>
        </w:tc>
      </w:tr>
      <w:tr w:rsidR="00B95B99" w:rsidRPr="004D0835" w14:paraId="13C9A852" w14:textId="77777777" w:rsidTr="00D43CC1">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4A6460A9" w14:textId="512FF011" w:rsidR="00B95B99" w:rsidRPr="00D43CC1" w:rsidRDefault="00B95B99" w:rsidP="004D0835">
            <w:pPr>
              <w:spacing w:after="0" w:line="240" w:lineRule="auto"/>
              <w:rPr>
                <w:rFonts w:ascii="Times New Roman" w:hAnsi="Times New Roman" w:cs="Times New Roman"/>
                <w:sz w:val="24"/>
                <w:szCs w:val="24"/>
              </w:rPr>
            </w:pPr>
            <w:r w:rsidRPr="00D43CC1">
              <w:rPr>
                <w:rFonts w:ascii="Times New Roman" w:hAnsi="Times New Roman" w:cs="Times New Roman"/>
                <w:sz w:val="24"/>
                <w:szCs w:val="24"/>
              </w:rPr>
              <w:lastRenderedPageBreak/>
              <w:t>14.</w:t>
            </w:r>
          </w:p>
        </w:tc>
        <w:tc>
          <w:tcPr>
            <w:tcW w:w="4577" w:type="dxa"/>
            <w:tcBorders>
              <w:top w:val="single" w:sz="4" w:space="0" w:color="auto"/>
              <w:left w:val="single" w:sz="4" w:space="0" w:color="auto"/>
              <w:bottom w:val="single" w:sz="4" w:space="0" w:color="auto"/>
              <w:right w:val="single" w:sz="4" w:space="0" w:color="auto"/>
            </w:tcBorders>
            <w:shd w:val="clear" w:color="auto" w:fill="FFFFFF" w:themeFill="background1"/>
          </w:tcPr>
          <w:p w14:paraId="07DD1122" w14:textId="741679F3" w:rsidR="00B95B99" w:rsidRPr="00D43CC1" w:rsidRDefault="00BE5F45" w:rsidP="004D0835">
            <w:pPr>
              <w:spacing w:after="0" w:line="240" w:lineRule="auto"/>
              <w:rPr>
                <w:rFonts w:ascii="Times New Roman" w:hAnsi="Times New Roman" w:cs="Times New Roman"/>
                <w:sz w:val="24"/>
                <w:szCs w:val="24"/>
              </w:rPr>
            </w:pPr>
            <w:r w:rsidRPr="00D43CC1">
              <w:rPr>
                <w:rFonts w:ascii="Times New Roman" w:hAnsi="Times New Roman" w:cs="Times New Roman"/>
                <w:sz w:val="24"/>
                <w:szCs w:val="24"/>
              </w:rPr>
              <w:t>115.3. nosaka valdes locekļu pienākumus un atalgojumu un valdes individuālo un kolektīvo darbības rezultātu novērtēšanas kārtību;</w:t>
            </w:r>
          </w:p>
        </w:tc>
        <w:tc>
          <w:tcPr>
            <w:tcW w:w="4694" w:type="dxa"/>
            <w:tcBorders>
              <w:top w:val="single" w:sz="4" w:space="0" w:color="auto"/>
              <w:left w:val="single" w:sz="4" w:space="0" w:color="auto"/>
              <w:bottom w:val="single" w:sz="4" w:space="0" w:color="auto"/>
              <w:right w:val="single" w:sz="4" w:space="0" w:color="auto"/>
            </w:tcBorders>
            <w:shd w:val="clear" w:color="auto" w:fill="FFFFFF" w:themeFill="background1"/>
          </w:tcPr>
          <w:p w14:paraId="7587F615" w14:textId="77777777" w:rsidR="00B95B99" w:rsidRPr="00D43CC1" w:rsidRDefault="00B95B99" w:rsidP="00B95B99">
            <w:pPr>
              <w:spacing w:after="0" w:line="240" w:lineRule="auto"/>
              <w:rPr>
                <w:rFonts w:ascii="Times New Roman" w:hAnsi="Times New Roman" w:cs="Times New Roman"/>
                <w:sz w:val="24"/>
                <w:szCs w:val="24"/>
              </w:rPr>
            </w:pPr>
            <w:r w:rsidRPr="00D43CC1">
              <w:rPr>
                <w:rFonts w:ascii="Times New Roman" w:hAnsi="Times New Roman" w:cs="Times New Roman"/>
                <w:b/>
                <w:bCs/>
                <w:sz w:val="24"/>
                <w:szCs w:val="24"/>
              </w:rPr>
              <w:t>115.3.punkts:</w:t>
            </w:r>
            <w:r w:rsidRPr="00D43CC1">
              <w:rPr>
                <w:rFonts w:ascii="Times New Roman" w:hAnsi="Times New Roman" w:cs="Times New Roman"/>
                <w:sz w:val="24"/>
                <w:szCs w:val="24"/>
              </w:rPr>
              <w:t xml:space="preserve"> Vai nepieciešams padomei apstiprināt valdes locekļu pienākumu sadali? Lietuvā un Igaunijā tas ir pašas valdes kompetencē. Individuālās un kolektīvās novērtēšana kārtību nosaka kopēja politikai- ne tikai valdei, bet arī padomei un </w:t>
            </w:r>
            <w:proofErr w:type="spellStart"/>
            <w:r w:rsidRPr="00D43CC1">
              <w:rPr>
                <w:rFonts w:ascii="Times New Roman" w:hAnsi="Times New Roman" w:cs="Times New Roman"/>
                <w:i/>
                <w:iCs/>
                <w:sz w:val="24"/>
                <w:szCs w:val="24"/>
              </w:rPr>
              <w:t>key</w:t>
            </w:r>
            <w:proofErr w:type="spellEnd"/>
            <w:r w:rsidRPr="00D43CC1">
              <w:rPr>
                <w:rFonts w:ascii="Times New Roman" w:hAnsi="Times New Roman" w:cs="Times New Roman"/>
                <w:i/>
                <w:iCs/>
                <w:sz w:val="24"/>
                <w:szCs w:val="24"/>
              </w:rPr>
              <w:t xml:space="preserve"> </w:t>
            </w:r>
            <w:proofErr w:type="spellStart"/>
            <w:r w:rsidRPr="00D43CC1">
              <w:rPr>
                <w:rFonts w:ascii="Times New Roman" w:hAnsi="Times New Roman" w:cs="Times New Roman"/>
                <w:i/>
                <w:iCs/>
                <w:sz w:val="24"/>
                <w:szCs w:val="24"/>
              </w:rPr>
              <w:t>function</w:t>
            </w:r>
            <w:proofErr w:type="spellEnd"/>
            <w:r w:rsidRPr="00D43CC1">
              <w:rPr>
                <w:rFonts w:ascii="Times New Roman" w:hAnsi="Times New Roman" w:cs="Times New Roman"/>
                <w:i/>
                <w:iCs/>
                <w:sz w:val="24"/>
                <w:szCs w:val="24"/>
              </w:rPr>
              <w:t xml:space="preserve"> </w:t>
            </w:r>
            <w:proofErr w:type="spellStart"/>
            <w:r w:rsidRPr="00D43CC1">
              <w:rPr>
                <w:rFonts w:ascii="Times New Roman" w:hAnsi="Times New Roman" w:cs="Times New Roman"/>
                <w:i/>
                <w:iCs/>
                <w:sz w:val="24"/>
                <w:szCs w:val="24"/>
              </w:rPr>
              <w:t>holders</w:t>
            </w:r>
            <w:proofErr w:type="spellEnd"/>
            <w:r w:rsidRPr="00D43CC1">
              <w:rPr>
                <w:rFonts w:ascii="Times New Roman" w:hAnsi="Times New Roman" w:cs="Times New Roman"/>
                <w:sz w:val="24"/>
                <w:szCs w:val="24"/>
              </w:rPr>
              <w:t xml:space="preserve">. Atalgojumu valdei pēc Komerclikuma nosaka padome. Attiecīgi šis punkts varētu būt lieks. </w:t>
            </w:r>
          </w:p>
          <w:p w14:paraId="46E701BE" w14:textId="37198F1F" w:rsidR="00B95B99" w:rsidRPr="00D43CC1" w:rsidRDefault="00B95B99" w:rsidP="00D13AD7">
            <w:pPr>
              <w:spacing w:after="0" w:line="240" w:lineRule="auto"/>
              <w:rPr>
                <w:rFonts w:ascii="Times New Roman" w:hAnsi="Times New Roman" w:cs="Times New Roman"/>
                <w:i/>
                <w:iCs/>
                <w:sz w:val="24"/>
                <w:szCs w:val="24"/>
              </w:rPr>
            </w:pPr>
            <w:r w:rsidRPr="00D43CC1">
              <w:rPr>
                <w:rFonts w:ascii="Times New Roman" w:hAnsi="Times New Roman" w:cs="Times New Roman"/>
                <w:i/>
                <w:iCs/>
                <w:sz w:val="24"/>
                <w:szCs w:val="24"/>
              </w:rPr>
              <w:t>“115.3. nosaka valdes locekļu pienākumus un atalgojumu un valdes individuālo un kolektīvo darbības rezultātu novērtēšanas kārtību”</w:t>
            </w:r>
          </w:p>
        </w:tc>
        <w:tc>
          <w:tcPr>
            <w:tcW w:w="4662" w:type="dxa"/>
            <w:tcBorders>
              <w:top w:val="single" w:sz="4" w:space="0" w:color="auto"/>
              <w:left w:val="single" w:sz="4" w:space="0" w:color="auto"/>
              <w:bottom w:val="single" w:sz="4" w:space="0" w:color="auto"/>
              <w:right w:val="single" w:sz="4" w:space="0" w:color="auto"/>
            </w:tcBorders>
            <w:shd w:val="clear" w:color="auto" w:fill="FFFFFF" w:themeFill="background1"/>
          </w:tcPr>
          <w:p w14:paraId="7C9CC19D" w14:textId="77777777" w:rsidR="00B95B99" w:rsidRPr="00D43CC1" w:rsidRDefault="00FA706B" w:rsidP="004D0835">
            <w:pPr>
              <w:spacing w:after="0" w:line="240" w:lineRule="auto"/>
              <w:rPr>
                <w:rFonts w:ascii="Times New Roman" w:hAnsi="Times New Roman" w:cs="Times New Roman"/>
                <w:b/>
                <w:sz w:val="24"/>
                <w:szCs w:val="24"/>
              </w:rPr>
            </w:pPr>
            <w:r w:rsidRPr="00D43CC1">
              <w:rPr>
                <w:rFonts w:ascii="Times New Roman" w:hAnsi="Times New Roman" w:cs="Times New Roman"/>
                <w:b/>
                <w:sz w:val="24"/>
                <w:szCs w:val="24"/>
              </w:rPr>
              <w:t>Ņemts vērā.</w:t>
            </w:r>
            <w:r w:rsidR="00A20F50" w:rsidRPr="00D43CC1">
              <w:rPr>
                <w:rFonts w:ascii="Times New Roman" w:hAnsi="Times New Roman" w:cs="Times New Roman"/>
                <w:b/>
                <w:sz w:val="24"/>
                <w:szCs w:val="24"/>
              </w:rPr>
              <w:t xml:space="preserve"> </w:t>
            </w:r>
          </w:p>
          <w:p w14:paraId="442E9C4B" w14:textId="77777777" w:rsidR="00CF7434" w:rsidRDefault="00D43CC1" w:rsidP="004D0835">
            <w:pPr>
              <w:spacing w:after="0" w:line="240" w:lineRule="auto"/>
              <w:rPr>
                <w:rFonts w:ascii="Times New Roman" w:hAnsi="Times New Roman" w:cs="Times New Roman"/>
                <w:b/>
                <w:sz w:val="24"/>
                <w:szCs w:val="24"/>
              </w:rPr>
            </w:pPr>
            <w:r>
              <w:rPr>
                <w:rFonts w:ascii="Times New Roman" w:hAnsi="Times New Roman" w:cs="Times New Roman"/>
                <w:b/>
                <w:sz w:val="24"/>
                <w:szCs w:val="24"/>
              </w:rPr>
              <w:t>Precizēta redakcija.</w:t>
            </w:r>
          </w:p>
          <w:p w14:paraId="273ABF4D" w14:textId="3426CAFC" w:rsidR="00D43CC1" w:rsidRPr="00D43CC1" w:rsidRDefault="00D43CC1" w:rsidP="004D0835">
            <w:pPr>
              <w:spacing w:after="0" w:line="240" w:lineRule="auto"/>
              <w:rPr>
                <w:rFonts w:ascii="Times New Roman" w:hAnsi="Times New Roman" w:cs="Times New Roman"/>
                <w:bCs/>
                <w:sz w:val="24"/>
                <w:szCs w:val="24"/>
              </w:rPr>
            </w:pPr>
            <w:r w:rsidRPr="00D43CC1">
              <w:rPr>
                <w:rFonts w:ascii="Times New Roman" w:hAnsi="Times New Roman" w:cs="Times New Roman"/>
                <w:bCs/>
                <w:sz w:val="24"/>
                <w:szCs w:val="24"/>
              </w:rPr>
              <w:t xml:space="preserve">115.3. </w:t>
            </w:r>
            <w:r>
              <w:rPr>
                <w:rFonts w:ascii="Times New Roman" w:hAnsi="Times New Roman" w:cs="Times New Roman"/>
                <w:bCs/>
                <w:sz w:val="24"/>
                <w:szCs w:val="24"/>
              </w:rPr>
              <w:t xml:space="preserve">izskata </w:t>
            </w:r>
            <w:r w:rsidRPr="00D43CC1">
              <w:rPr>
                <w:rFonts w:ascii="Times New Roman" w:hAnsi="Times New Roman" w:cs="Times New Roman"/>
                <w:bCs/>
                <w:sz w:val="24"/>
                <w:szCs w:val="24"/>
              </w:rPr>
              <w:t>valdes locekļu individuālās un kolektīvās piemērotības novērtēšanas rezultātus;</w:t>
            </w:r>
          </w:p>
        </w:tc>
      </w:tr>
      <w:tr w:rsidR="005A6324" w:rsidRPr="004D0835" w14:paraId="56FCB97F" w14:textId="77777777" w:rsidTr="00176E33">
        <w:tc>
          <w:tcPr>
            <w:tcW w:w="0" w:type="auto"/>
            <w:tcBorders>
              <w:top w:val="single" w:sz="4" w:space="0" w:color="auto"/>
              <w:left w:val="single" w:sz="4" w:space="0" w:color="auto"/>
              <w:bottom w:val="single" w:sz="4" w:space="0" w:color="auto"/>
              <w:right w:val="single" w:sz="4" w:space="0" w:color="auto"/>
            </w:tcBorders>
          </w:tcPr>
          <w:p w14:paraId="227E5FB2" w14:textId="70B292CE" w:rsidR="005A6324" w:rsidRPr="004D0835" w:rsidRDefault="00B95B99" w:rsidP="004D0835">
            <w:pPr>
              <w:spacing w:after="0" w:line="240" w:lineRule="auto"/>
              <w:rPr>
                <w:rFonts w:ascii="Times New Roman" w:hAnsi="Times New Roman" w:cs="Times New Roman"/>
                <w:sz w:val="24"/>
                <w:szCs w:val="24"/>
              </w:rPr>
            </w:pPr>
            <w:r>
              <w:rPr>
                <w:rFonts w:ascii="Times New Roman" w:hAnsi="Times New Roman" w:cs="Times New Roman"/>
                <w:sz w:val="24"/>
                <w:szCs w:val="24"/>
              </w:rPr>
              <w:t>15.</w:t>
            </w:r>
          </w:p>
        </w:tc>
        <w:tc>
          <w:tcPr>
            <w:tcW w:w="4577" w:type="dxa"/>
            <w:tcBorders>
              <w:top w:val="single" w:sz="4" w:space="0" w:color="auto"/>
              <w:left w:val="single" w:sz="4" w:space="0" w:color="auto"/>
              <w:bottom w:val="single" w:sz="4" w:space="0" w:color="auto"/>
              <w:right w:val="single" w:sz="4" w:space="0" w:color="auto"/>
            </w:tcBorders>
          </w:tcPr>
          <w:p w14:paraId="6529E862" w14:textId="39999A99" w:rsidR="005A6324" w:rsidRPr="004D0835" w:rsidRDefault="00BE5F45" w:rsidP="004D0835">
            <w:pPr>
              <w:spacing w:after="0" w:line="240" w:lineRule="auto"/>
              <w:rPr>
                <w:rFonts w:ascii="Times New Roman" w:hAnsi="Times New Roman" w:cs="Times New Roman"/>
                <w:sz w:val="24"/>
                <w:szCs w:val="24"/>
              </w:rPr>
            </w:pPr>
            <w:r w:rsidRPr="00BE5F45">
              <w:rPr>
                <w:rFonts w:ascii="Times New Roman" w:hAnsi="Times New Roman" w:cs="Times New Roman"/>
                <w:sz w:val="24"/>
                <w:szCs w:val="24"/>
              </w:rPr>
              <w:t xml:space="preserve">115.6. apstiprina iestādes ārpakalpojumu izmantošanas politiku un uzrauga tās īstenošanu, kā arī vismaz reizi gadā pārskata </w:t>
            </w:r>
            <w:r w:rsidRPr="00BE5F45">
              <w:rPr>
                <w:rFonts w:ascii="Times New Roman" w:hAnsi="Times New Roman" w:cs="Times New Roman"/>
                <w:sz w:val="24"/>
                <w:szCs w:val="24"/>
              </w:rPr>
              <w:lastRenderedPageBreak/>
              <w:t>to atbilstoši izmaiņām iestādes darbībā un ārējos apstākļos;</w:t>
            </w:r>
          </w:p>
        </w:tc>
        <w:tc>
          <w:tcPr>
            <w:tcW w:w="4694" w:type="dxa"/>
            <w:tcBorders>
              <w:top w:val="single" w:sz="4" w:space="0" w:color="auto"/>
              <w:left w:val="single" w:sz="4" w:space="0" w:color="auto"/>
              <w:bottom w:val="single" w:sz="4" w:space="0" w:color="auto"/>
              <w:right w:val="single" w:sz="4" w:space="0" w:color="auto"/>
            </w:tcBorders>
          </w:tcPr>
          <w:p w14:paraId="4E3B1D30" w14:textId="77777777" w:rsidR="00B95B99" w:rsidRPr="00D13AD7" w:rsidRDefault="00B95B99" w:rsidP="00B95B99">
            <w:pPr>
              <w:spacing w:after="0" w:line="240" w:lineRule="auto"/>
              <w:rPr>
                <w:rFonts w:ascii="Times New Roman" w:hAnsi="Times New Roman" w:cs="Times New Roman"/>
                <w:i/>
                <w:iCs/>
                <w:sz w:val="24"/>
                <w:szCs w:val="24"/>
              </w:rPr>
            </w:pPr>
            <w:r w:rsidRPr="00D13AD7">
              <w:rPr>
                <w:rFonts w:ascii="Times New Roman" w:hAnsi="Times New Roman" w:cs="Times New Roman"/>
                <w:b/>
                <w:bCs/>
                <w:sz w:val="24"/>
                <w:szCs w:val="24"/>
              </w:rPr>
              <w:lastRenderedPageBreak/>
              <w:t>115.6.punkts</w:t>
            </w:r>
            <w:r w:rsidRPr="00D13AD7">
              <w:rPr>
                <w:rFonts w:ascii="Times New Roman" w:hAnsi="Times New Roman" w:cs="Times New Roman"/>
                <w:sz w:val="24"/>
                <w:szCs w:val="24"/>
              </w:rPr>
              <w:t xml:space="preserve"> – ņemot vērā DORA prasības, aicinājums apsvērt šo punkta regulējumu - DORA arī nosaka prasības </w:t>
            </w:r>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Management</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lastRenderedPageBreak/>
              <w:t>body</w:t>
            </w:r>
            <w:proofErr w:type="spellEnd"/>
            <w:r w:rsidRPr="00D13AD7">
              <w:rPr>
                <w:rFonts w:ascii="Times New Roman" w:hAnsi="Times New Roman" w:cs="Times New Roman"/>
                <w:i/>
                <w:iCs/>
                <w:sz w:val="24"/>
                <w:szCs w:val="24"/>
              </w:rPr>
              <w:t xml:space="preserve"> - (h) </w:t>
            </w:r>
            <w:proofErr w:type="spellStart"/>
            <w:r w:rsidRPr="00D13AD7">
              <w:rPr>
                <w:rFonts w:ascii="Times New Roman" w:hAnsi="Times New Roman" w:cs="Times New Roman"/>
                <w:i/>
                <w:iCs/>
                <w:sz w:val="24"/>
                <w:szCs w:val="24"/>
              </w:rPr>
              <w:t>approve</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and</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periodically</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review</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the</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financial</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entity’s</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policy</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on</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arrangements</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regarding</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the</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use</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of</w:t>
            </w:r>
            <w:proofErr w:type="spellEnd"/>
            <w:r w:rsidRPr="00D13AD7">
              <w:rPr>
                <w:rFonts w:ascii="Times New Roman" w:hAnsi="Times New Roman" w:cs="Times New Roman"/>
                <w:i/>
                <w:iCs/>
                <w:sz w:val="24"/>
                <w:szCs w:val="24"/>
              </w:rPr>
              <w:t xml:space="preserve"> ICT </w:t>
            </w:r>
            <w:proofErr w:type="spellStart"/>
            <w:r w:rsidRPr="00D13AD7">
              <w:rPr>
                <w:rFonts w:ascii="Times New Roman" w:hAnsi="Times New Roman" w:cs="Times New Roman"/>
                <w:i/>
                <w:iCs/>
                <w:sz w:val="24"/>
                <w:szCs w:val="24"/>
              </w:rPr>
              <w:t>services</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provided</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by</w:t>
            </w:r>
            <w:proofErr w:type="spellEnd"/>
            <w:r w:rsidRPr="00D13AD7">
              <w:rPr>
                <w:rFonts w:ascii="Times New Roman" w:hAnsi="Times New Roman" w:cs="Times New Roman"/>
                <w:i/>
                <w:iCs/>
                <w:sz w:val="24"/>
                <w:szCs w:val="24"/>
              </w:rPr>
              <w:t xml:space="preserve"> ICT </w:t>
            </w:r>
            <w:proofErr w:type="spellStart"/>
            <w:r w:rsidRPr="00D13AD7">
              <w:rPr>
                <w:rFonts w:ascii="Times New Roman" w:hAnsi="Times New Roman" w:cs="Times New Roman"/>
                <w:i/>
                <w:iCs/>
                <w:sz w:val="24"/>
                <w:szCs w:val="24"/>
              </w:rPr>
              <w:t>third-party</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service</w:t>
            </w:r>
            <w:proofErr w:type="spellEnd"/>
            <w:r w:rsidRPr="00D13AD7">
              <w:rPr>
                <w:rFonts w:ascii="Times New Roman" w:hAnsi="Times New Roman" w:cs="Times New Roman"/>
                <w:i/>
                <w:iCs/>
                <w:sz w:val="24"/>
                <w:szCs w:val="24"/>
              </w:rPr>
              <w:t xml:space="preserve"> </w:t>
            </w:r>
            <w:proofErr w:type="spellStart"/>
            <w:r w:rsidRPr="00D13AD7">
              <w:rPr>
                <w:rFonts w:ascii="Times New Roman" w:hAnsi="Times New Roman" w:cs="Times New Roman"/>
                <w:i/>
                <w:iCs/>
                <w:sz w:val="24"/>
                <w:szCs w:val="24"/>
              </w:rPr>
              <w:t>providers</w:t>
            </w:r>
            <w:proofErr w:type="spellEnd"/>
            <w:r w:rsidRPr="00D13AD7">
              <w:rPr>
                <w:rFonts w:ascii="Times New Roman" w:hAnsi="Times New Roman" w:cs="Times New Roman"/>
                <w:i/>
                <w:iCs/>
                <w:sz w:val="24"/>
                <w:szCs w:val="24"/>
              </w:rPr>
              <w:t>.</w:t>
            </w:r>
          </w:p>
          <w:p w14:paraId="4CDB982C" w14:textId="77777777" w:rsidR="00B95B99" w:rsidRPr="00D13AD7" w:rsidRDefault="00B95B99" w:rsidP="00B95B99">
            <w:pPr>
              <w:spacing w:after="0" w:line="240" w:lineRule="auto"/>
              <w:rPr>
                <w:rFonts w:ascii="Times New Roman" w:hAnsi="Times New Roman" w:cs="Times New Roman"/>
                <w:sz w:val="24"/>
                <w:szCs w:val="24"/>
              </w:rPr>
            </w:pPr>
            <w:r w:rsidRPr="00D13AD7">
              <w:rPr>
                <w:rFonts w:ascii="Times New Roman" w:hAnsi="Times New Roman" w:cs="Times New Roman"/>
                <w:sz w:val="24"/>
                <w:szCs w:val="24"/>
              </w:rPr>
              <w:t>Praksē ārpakalpojumi un IKT pakalpojumu sniegtie pakalpojumi ir cieši saistīti un prasības var tikt ietverti vienā politikas dokumentā.</w:t>
            </w:r>
          </w:p>
          <w:p w14:paraId="1F69B2BE" w14:textId="77777777" w:rsidR="00B95B99" w:rsidRPr="00D13AD7" w:rsidRDefault="00B95B99" w:rsidP="00B95B99">
            <w:pPr>
              <w:spacing w:after="0" w:line="240" w:lineRule="auto"/>
              <w:rPr>
                <w:rFonts w:ascii="Times New Roman" w:hAnsi="Times New Roman" w:cs="Times New Roman"/>
                <w:sz w:val="24"/>
                <w:szCs w:val="24"/>
              </w:rPr>
            </w:pPr>
          </w:p>
          <w:p w14:paraId="34FAE5EF" w14:textId="2C366E18" w:rsidR="00B95B99" w:rsidRPr="00D13AD7" w:rsidRDefault="00B95B99" w:rsidP="00B95B99">
            <w:pPr>
              <w:spacing w:after="0" w:line="240" w:lineRule="auto"/>
              <w:rPr>
                <w:rFonts w:ascii="Times New Roman" w:hAnsi="Times New Roman" w:cs="Times New Roman"/>
                <w:sz w:val="24"/>
                <w:szCs w:val="24"/>
              </w:rPr>
            </w:pPr>
            <w:proofErr w:type="spellStart"/>
            <w:r w:rsidRPr="00D13AD7">
              <w:rPr>
                <w:rFonts w:ascii="Times New Roman" w:hAnsi="Times New Roman" w:cs="Times New Roman"/>
                <w:sz w:val="24"/>
                <w:szCs w:val="24"/>
              </w:rPr>
              <w:t>Note</w:t>
            </w:r>
            <w:proofErr w:type="spellEnd"/>
            <w:r w:rsidRPr="00D13AD7">
              <w:rPr>
                <w:rFonts w:ascii="Times New Roman" w:hAnsi="Times New Roman" w:cs="Times New Roman"/>
                <w:sz w:val="24"/>
                <w:szCs w:val="24"/>
              </w:rPr>
              <w:t>: Pēc pieejamās informācijas, LT un EE regulējumā nav noteikta prasība Bankas padomei apstiprināt ārpakalpojuma polit</w:t>
            </w:r>
            <w:r w:rsidR="00CD34A0">
              <w:rPr>
                <w:rFonts w:ascii="Times New Roman" w:hAnsi="Times New Roman" w:cs="Times New Roman"/>
                <w:sz w:val="24"/>
                <w:szCs w:val="24"/>
              </w:rPr>
              <w:t>ik</w:t>
            </w:r>
            <w:r w:rsidRPr="00D13AD7">
              <w:rPr>
                <w:rFonts w:ascii="Times New Roman" w:hAnsi="Times New Roman" w:cs="Times New Roman"/>
                <w:sz w:val="24"/>
                <w:szCs w:val="24"/>
              </w:rPr>
              <w:t>u - lūgums izvērtēt iespēju piemērot vienādu praksi visās Baltijas valstīs.</w:t>
            </w:r>
          </w:p>
          <w:p w14:paraId="13C4E4B3" w14:textId="77777777" w:rsidR="005A6324" w:rsidRPr="00D13AD7" w:rsidRDefault="005A6324" w:rsidP="00D13AD7">
            <w:pPr>
              <w:spacing w:after="0" w:line="240" w:lineRule="auto"/>
              <w:rPr>
                <w:rFonts w:ascii="Times New Roman" w:hAnsi="Times New Roman" w:cs="Times New Roman"/>
                <w:b/>
                <w:bCs/>
                <w:sz w:val="24"/>
                <w:szCs w:val="24"/>
              </w:rPr>
            </w:pPr>
          </w:p>
        </w:tc>
        <w:tc>
          <w:tcPr>
            <w:tcW w:w="4662" w:type="dxa"/>
            <w:tcBorders>
              <w:top w:val="single" w:sz="4" w:space="0" w:color="auto"/>
              <w:left w:val="single" w:sz="4" w:space="0" w:color="auto"/>
              <w:bottom w:val="single" w:sz="4" w:space="0" w:color="auto"/>
              <w:right w:val="single" w:sz="4" w:space="0" w:color="auto"/>
            </w:tcBorders>
          </w:tcPr>
          <w:p w14:paraId="5048E2F1" w14:textId="77777777" w:rsidR="00660DA1" w:rsidRDefault="006A758D" w:rsidP="004D0835">
            <w:pPr>
              <w:spacing w:after="0" w:line="240" w:lineRule="auto"/>
              <w:rPr>
                <w:rFonts w:ascii="Times New Roman" w:hAnsi="Times New Roman" w:cs="Times New Roman"/>
                <w:b/>
                <w:sz w:val="24"/>
                <w:szCs w:val="24"/>
              </w:rPr>
            </w:pPr>
            <w:r>
              <w:rPr>
                <w:rFonts w:ascii="Times New Roman" w:hAnsi="Times New Roman" w:cs="Times New Roman"/>
                <w:b/>
                <w:sz w:val="24"/>
                <w:szCs w:val="24"/>
              </w:rPr>
              <w:lastRenderedPageBreak/>
              <w:t xml:space="preserve">Skaidrojums. </w:t>
            </w:r>
          </w:p>
          <w:p w14:paraId="47137C4C" w14:textId="77777777" w:rsidR="005A6324" w:rsidRDefault="00A20F50" w:rsidP="004D0835">
            <w:pPr>
              <w:spacing w:after="0" w:line="240" w:lineRule="auto"/>
              <w:rPr>
                <w:rFonts w:ascii="Times New Roman" w:hAnsi="Times New Roman" w:cs="Times New Roman"/>
                <w:bCs/>
                <w:sz w:val="24"/>
                <w:szCs w:val="24"/>
              </w:rPr>
            </w:pPr>
            <w:r w:rsidRPr="00A20F50">
              <w:rPr>
                <w:rFonts w:ascii="Times New Roman" w:hAnsi="Times New Roman" w:cs="Times New Roman"/>
                <w:bCs/>
                <w:sz w:val="24"/>
                <w:szCs w:val="24"/>
              </w:rPr>
              <w:t>Eiropas Parlamenta un Padomes 2022.</w:t>
            </w:r>
            <w:r w:rsidR="00FA623C">
              <w:rPr>
                <w:rFonts w:ascii="Times New Roman" w:hAnsi="Times New Roman" w:cs="Times New Roman"/>
                <w:bCs/>
                <w:sz w:val="24"/>
                <w:szCs w:val="24"/>
              </w:rPr>
              <w:t> </w:t>
            </w:r>
            <w:r w:rsidRPr="00A20F50">
              <w:rPr>
                <w:rFonts w:ascii="Times New Roman" w:hAnsi="Times New Roman" w:cs="Times New Roman"/>
                <w:bCs/>
                <w:sz w:val="24"/>
                <w:szCs w:val="24"/>
              </w:rPr>
              <w:t>gada 14.decembra regul</w:t>
            </w:r>
            <w:r>
              <w:rPr>
                <w:rFonts w:ascii="Times New Roman" w:hAnsi="Times New Roman" w:cs="Times New Roman"/>
                <w:bCs/>
                <w:sz w:val="24"/>
                <w:szCs w:val="24"/>
              </w:rPr>
              <w:t>as</w:t>
            </w:r>
            <w:r w:rsidRPr="00A20F50">
              <w:rPr>
                <w:rFonts w:ascii="Times New Roman" w:hAnsi="Times New Roman" w:cs="Times New Roman"/>
                <w:bCs/>
                <w:sz w:val="24"/>
                <w:szCs w:val="24"/>
              </w:rPr>
              <w:t xml:space="preserve"> (ES) Nr.</w:t>
            </w:r>
            <w:r w:rsidR="00FA623C">
              <w:rPr>
                <w:rFonts w:ascii="Times New Roman" w:hAnsi="Times New Roman" w:cs="Times New Roman"/>
                <w:bCs/>
                <w:sz w:val="24"/>
                <w:szCs w:val="24"/>
              </w:rPr>
              <w:t> </w:t>
            </w:r>
            <w:r w:rsidRPr="00A20F50">
              <w:rPr>
                <w:rFonts w:ascii="Times New Roman" w:hAnsi="Times New Roman" w:cs="Times New Roman"/>
                <w:bCs/>
                <w:sz w:val="24"/>
                <w:szCs w:val="24"/>
              </w:rPr>
              <w:t xml:space="preserve">2022/2554 par </w:t>
            </w:r>
            <w:r w:rsidRPr="00A20F50">
              <w:rPr>
                <w:rFonts w:ascii="Times New Roman" w:hAnsi="Times New Roman" w:cs="Times New Roman"/>
                <w:bCs/>
                <w:sz w:val="24"/>
                <w:szCs w:val="24"/>
              </w:rPr>
              <w:lastRenderedPageBreak/>
              <w:t>finanšu nozares digitālās darbības noturību un ar ko groza regulas (EK) Nr.</w:t>
            </w:r>
            <w:r w:rsidR="00FA623C">
              <w:rPr>
                <w:rFonts w:ascii="Times New Roman" w:hAnsi="Times New Roman" w:cs="Times New Roman"/>
                <w:bCs/>
                <w:sz w:val="24"/>
                <w:szCs w:val="24"/>
              </w:rPr>
              <w:t> </w:t>
            </w:r>
            <w:r w:rsidRPr="00A20F50">
              <w:rPr>
                <w:rFonts w:ascii="Times New Roman" w:hAnsi="Times New Roman" w:cs="Times New Roman"/>
                <w:bCs/>
                <w:sz w:val="24"/>
                <w:szCs w:val="24"/>
              </w:rPr>
              <w:t>1060/2009, (ES)</w:t>
            </w:r>
            <w:r w:rsidR="00FA623C">
              <w:rPr>
                <w:rFonts w:ascii="Times New Roman" w:hAnsi="Times New Roman" w:cs="Times New Roman"/>
                <w:bCs/>
                <w:sz w:val="24"/>
                <w:szCs w:val="24"/>
              </w:rPr>
              <w:t> </w:t>
            </w:r>
            <w:r w:rsidRPr="00A20F50">
              <w:rPr>
                <w:rFonts w:ascii="Times New Roman" w:hAnsi="Times New Roman" w:cs="Times New Roman"/>
                <w:bCs/>
                <w:sz w:val="24"/>
                <w:szCs w:val="24"/>
              </w:rPr>
              <w:t>Nr.</w:t>
            </w:r>
            <w:r w:rsidR="00FA623C">
              <w:rPr>
                <w:rFonts w:ascii="Times New Roman" w:hAnsi="Times New Roman" w:cs="Times New Roman"/>
                <w:bCs/>
                <w:sz w:val="24"/>
                <w:szCs w:val="24"/>
              </w:rPr>
              <w:t> </w:t>
            </w:r>
            <w:r w:rsidRPr="00A20F50">
              <w:rPr>
                <w:rFonts w:ascii="Times New Roman" w:hAnsi="Times New Roman" w:cs="Times New Roman"/>
                <w:bCs/>
                <w:sz w:val="24"/>
                <w:szCs w:val="24"/>
              </w:rPr>
              <w:t>648/2012, (ES) Nr.</w:t>
            </w:r>
            <w:r w:rsidR="00FA623C">
              <w:rPr>
                <w:rFonts w:ascii="Times New Roman" w:hAnsi="Times New Roman" w:cs="Times New Roman"/>
                <w:bCs/>
                <w:sz w:val="24"/>
                <w:szCs w:val="24"/>
              </w:rPr>
              <w:t> </w:t>
            </w:r>
            <w:r w:rsidRPr="00A20F50">
              <w:rPr>
                <w:rFonts w:ascii="Times New Roman" w:hAnsi="Times New Roman" w:cs="Times New Roman"/>
                <w:bCs/>
                <w:sz w:val="24"/>
                <w:szCs w:val="24"/>
              </w:rPr>
              <w:t>600/2014, (ES) Nr.</w:t>
            </w:r>
            <w:r w:rsidR="00FA623C">
              <w:rPr>
                <w:rFonts w:ascii="Times New Roman" w:hAnsi="Times New Roman" w:cs="Times New Roman"/>
                <w:bCs/>
                <w:sz w:val="24"/>
                <w:szCs w:val="24"/>
              </w:rPr>
              <w:t> </w:t>
            </w:r>
            <w:r w:rsidRPr="00A20F50">
              <w:rPr>
                <w:rFonts w:ascii="Times New Roman" w:hAnsi="Times New Roman" w:cs="Times New Roman"/>
                <w:bCs/>
                <w:sz w:val="24"/>
                <w:szCs w:val="24"/>
              </w:rPr>
              <w:t>909/2014 un (ES) 2016/101</w:t>
            </w:r>
            <w:r>
              <w:rPr>
                <w:rFonts w:ascii="Times New Roman" w:hAnsi="Times New Roman" w:cs="Times New Roman"/>
                <w:bCs/>
                <w:sz w:val="24"/>
                <w:szCs w:val="24"/>
              </w:rPr>
              <w:t xml:space="preserve"> prasības ir tieši piemērojamas</w:t>
            </w:r>
            <w:r w:rsidRPr="00A20F50">
              <w:rPr>
                <w:rFonts w:ascii="Times New Roman" w:hAnsi="Times New Roman" w:cs="Times New Roman"/>
                <w:bCs/>
                <w:sz w:val="24"/>
                <w:szCs w:val="24"/>
              </w:rPr>
              <w:t xml:space="preserve">, </w:t>
            </w:r>
            <w:r w:rsidR="002D1C72">
              <w:rPr>
                <w:rFonts w:ascii="Times New Roman" w:hAnsi="Times New Roman" w:cs="Times New Roman"/>
                <w:bCs/>
                <w:sz w:val="24"/>
                <w:szCs w:val="24"/>
              </w:rPr>
              <w:t xml:space="preserve">tādēļ tās </w:t>
            </w:r>
            <w:r>
              <w:rPr>
                <w:rFonts w:ascii="Times New Roman" w:hAnsi="Times New Roman" w:cs="Times New Roman"/>
                <w:bCs/>
                <w:sz w:val="24"/>
                <w:szCs w:val="24"/>
              </w:rPr>
              <w:t>noteikumu projektā nav ieļautas. Praksē p</w:t>
            </w:r>
            <w:r w:rsidR="002D1C72">
              <w:rPr>
                <w:rFonts w:ascii="Times New Roman" w:hAnsi="Times New Roman" w:cs="Times New Roman"/>
                <w:bCs/>
                <w:sz w:val="24"/>
                <w:szCs w:val="24"/>
              </w:rPr>
              <w:t>rasīb</w:t>
            </w:r>
            <w:r>
              <w:rPr>
                <w:rFonts w:ascii="Times New Roman" w:hAnsi="Times New Roman" w:cs="Times New Roman"/>
                <w:bCs/>
                <w:sz w:val="24"/>
                <w:szCs w:val="24"/>
              </w:rPr>
              <w:t xml:space="preserve">as </w:t>
            </w:r>
            <w:r w:rsidR="006A758D">
              <w:rPr>
                <w:rFonts w:ascii="Times New Roman" w:hAnsi="Times New Roman" w:cs="Times New Roman"/>
                <w:bCs/>
                <w:sz w:val="24"/>
                <w:szCs w:val="24"/>
              </w:rPr>
              <w:t>ārpakalpojumu un trešo pušu pakalpojumu sniedzēju</w:t>
            </w:r>
            <w:r w:rsidR="00F65AFC">
              <w:rPr>
                <w:rFonts w:ascii="Times New Roman" w:hAnsi="Times New Roman" w:cs="Times New Roman"/>
                <w:bCs/>
                <w:sz w:val="24"/>
                <w:szCs w:val="24"/>
              </w:rPr>
              <w:t xml:space="preserve"> pārraudzībai </w:t>
            </w:r>
            <w:r w:rsidR="00FA623C">
              <w:rPr>
                <w:rFonts w:ascii="Times New Roman" w:hAnsi="Times New Roman" w:cs="Times New Roman"/>
                <w:bCs/>
                <w:sz w:val="24"/>
                <w:szCs w:val="24"/>
              </w:rPr>
              <w:t xml:space="preserve">iestāde </w:t>
            </w:r>
            <w:r w:rsidR="00F65AFC">
              <w:rPr>
                <w:rFonts w:ascii="Times New Roman" w:hAnsi="Times New Roman" w:cs="Times New Roman"/>
                <w:bCs/>
                <w:sz w:val="24"/>
                <w:szCs w:val="24"/>
              </w:rPr>
              <w:t xml:space="preserve">var ietvert vienā politikas dokumentā. </w:t>
            </w:r>
          </w:p>
          <w:p w14:paraId="611B7201" w14:textId="77777777" w:rsidR="00D43CC1" w:rsidRDefault="00D43CC1" w:rsidP="004D0835">
            <w:pPr>
              <w:spacing w:after="0" w:line="240" w:lineRule="auto"/>
              <w:rPr>
                <w:rFonts w:ascii="Times New Roman" w:hAnsi="Times New Roman" w:cs="Times New Roman"/>
                <w:sz w:val="24"/>
                <w:szCs w:val="24"/>
              </w:rPr>
            </w:pPr>
          </w:p>
          <w:p w14:paraId="03866C7D" w14:textId="3E743AEC" w:rsidR="00D43CC1" w:rsidRPr="00D43CC1" w:rsidRDefault="00ED536D" w:rsidP="004D0835">
            <w:pPr>
              <w:spacing w:after="0" w:line="240" w:lineRule="auto"/>
              <w:rPr>
                <w:rFonts w:ascii="Times New Roman" w:hAnsi="Times New Roman" w:cs="Times New Roman"/>
                <w:sz w:val="24"/>
                <w:szCs w:val="24"/>
              </w:rPr>
            </w:pPr>
            <w:r>
              <w:rPr>
                <w:rFonts w:ascii="Times New Roman" w:hAnsi="Times New Roman" w:cs="Times New Roman"/>
                <w:sz w:val="24"/>
                <w:szCs w:val="24"/>
              </w:rPr>
              <w:t>Pr</w:t>
            </w:r>
            <w:r w:rsidR="00D43CC1">
              <w:rPr>
                <w:rFonts w:ascii="Times New Roman" w:hAnsi="Times New Roman" w:cs="Times New Roman"/>
                <w:sz w:val="24"/>
                <w:szCs w:val="24"/>
              </w:rPr>
              <w:t xml:space="preserve">asība iestādes padomei apstiprināt </w:t>
            </w:r>
            <w:r w:rsidR="00DF47BF">
              <w:rPr>
                <w:rFonts w:ascii="Times New Roman" w:hAnsi="Times New Roman" w:cs="Times New Roman"/>
                <w:sz w:val="24"/>
                <w:szCs w:val="24"/>
              </w:rPr>
              <w:t>ārpakalpojumu</w:t>
            </w:r>
            <w:r w:rsidR="00D43CC1">
              <w:rPr>
                <w:rFonts w:ascii="Times New Roman" w:hAnsi="Times New Roman" w:cs="Times New Roman"/>
                <w:sz w:val="24"/>
                <w:szCs w:val="24"/>
              </w:rPr>
              <w:t xml:space="preserve"> politiku ir noteikta ievērojot iestādes padomei noteiktās uzraudzības funkcijas un valdei noteiktās  </w:t>
            </w:r>
            <w:proofErr w:type="spellStart"/>
            <w:r w:rsidR="00D43CC1">
              <w:rPr>
                <w:rFonts w:ascii="Times New Roman" w:hAnsi="Times New Roman" w:cs="Times New Roman"/>
                <w:sz w:val="24"/>
                <w:szCs w:val="24"/>
              </w:rPr>
              <w:t>izpildfunkcij</w:t>
            </w:r>
            <w:r>
              <w:rPr>
                <w:rFonts w:ascii="Times New Roman" w:hAnsi="Times New Roman" w:cs="Times New Roman"/>
                <w:sz w:val="24"/>
                <w:szCs w:val="24"/>
              </w:rPr>
              <w:t>as</w:t>
            </w:r>
            <w:proofErr w:type="spellEnd"/>
            <w:r>
              <w:rPr>
                <w:rFonts w:ascii="Times New Roman" w:hAnsi="Times New Roman" w:cs="Times New Roman"/>
                <w:sz w:val="24"/>
                <w:szCs w:val="24"/>
              </w:rPr>
              <w:t xml:space="preserve"> iestādes pārvaldības sistēmas nodrošināšanā, kā arī ņemot vērā Kredītiestāžu likuma 10.</w:t>
            </w:r>
            <w:r w:rsidRPr="00D43CC1">
              <w:rPr>
                <w:rFonts w:ascii="Times New Roman" w:hAnsi="Times New Roman" w:cs="Times New Roman"/>
                <w:sz w:val="24"/>
                <w:szCs w:val="24"/>
                <w:vertAlign w:val="superscript"/>
              </w:rPr>
              <w:t>1</w:t>
            </w:r>
            <w:r>
              <w:rPr>
                <w:rFonts w:ascii="Times New Roman" w:hAnsi="Times New Roman" w:cs="Times New Roman"/>
                <w:sz w:val="24"/>
                <w:szCs w:val="24"/>
              </w:rPr>
              <w:t xml:space="preserve"> pantā noteikto prasību iestādei sniegt informāciju Latvijas Bankai pirms nozīmīgu ārpakalpojumu saņemšanas un </w:t>
            </w:r>
            <w:r w:rsidRPr="00ED536D">
              <w:rPr>
                <w:rFonts w:ascii="Times New Roman" w:hAnsi="Times New Roman" w:cs="Times New Roman"/>
                <w:sz w:val="24"/>
                <w:szCs w:val="24"/>
              </w:rPr>
              <w:t>Latvijas Banka</w:t>
            </w:r>
            <w:r>
              <w:rPr>
                <w:rFonts w:ascii="Times New Roman" w:hAnsi="Times New Roman" w:cs="Times New Roman"/>
                <w:sz w:val="24"/>
                <w:szCs w:val="24"/>
              </w:rPr>
              <w:t xml:space="preserve">s tiesības </w:t>
            </w:r>
            <w:r w:rsidRPr="00ED536D">
              <w:rPr>
                <w:rFonts w:ascii="Times New Roman" w:hAnsi="Times New Roman" w:cs="Times New Roman"/>
                <w:sz w:val="24"/>
                <w:szCs w:val="24"/>
              </w:rPr>
              <w:t>aizliegt iestādei saņemt plānoto ārpakalpojum</w:t>
            </w:r>
            <w:r>
              <w:rPr>
                <w:rFonts w:ascii="Times New Roman" w:hAnsi="Times New Roman" w:cs="Times New Roman"/>
                <w:sz w:val="24"/>
                <w:szCs w:val="24"/>
              </w:rPr>
              <w:t xml:space="preserve">u.  </w:t>
            </w:r>
            <w:r w:rsidR="00DF47BF" w:rsidRPr="00DF47BF">
              <w:rPr>
                <w:rFonts w:ascii="Times New Roman" w:hAnsi="Times New Roman" w:cs="Times New Roman"/>
                <w:sz w:val="24"/>
                <w:szCs w:val="24"/>
              </w:rPr>
              <w:t>Padome ir atbildīga par iestādes stratēģisko vadību un lēmumu pieņemšanu</w:t>
            </w:r>
            <w:r w:rsidR="00DF47BF">
              <w:rPr>
                <w:rFonts w:ascii="Times New Roman" w:hAnsi="Times New Roman" w:cs="Times New Roman"/>
                <w:sz w:val="24"/>
                <w:szCs w:val="24"/>
              </w:rPr>
              <w:t xml:space="preserve">, tai skaitā </w:t>
            </w:r>
            <w:r w:rsidR="00DF47BF" w:rsidRPr="00DF47BF">
              <w:rPr>
                <w:rFonts w:ascii="Times New Roman" w:hAnsi="Times New Roman" w:cs="Times New Roman"/>
                <w:sz w:val="24"/>
                <w:szCs w:val="24"/>
              </w:rPr>
              <w:t xml:space="preserve">ārpakalpojumu </w:t>
            </w:r>
            <w:r w:rsidR="00DF47BF">
              <w:rPr>
                <w:rFonts w:ascii="Times New Roman" w:hAnsi="Times New Roman" w:cs="Times New Roman"/>
                <w:sz w:val="24"/>
                <w:szCs w:val="24"/>
              </w:rPr>
              <w:t xml:space="preserve">politikas atbilstību </w:t>
            </w:r>
            <w:r w:rsidR="00DF47BF" w:rsidRPr="00DF47BF">
              <w:rPr>
                <w:rFonts w:ascii="Times New Roman" w:hAnsi="Times New Roman" w:cs="Times New Roman"/>
                <w:sz w:val="24"/>
                <w:szCs w:val="24"/>
              </w:rPr>
              <w:t xml:space="preserve"> iestādes</w:t>
            </w:r>
            <w:r w:rsidR="00DF47BF">
              <w:rPr>
                <w:rFonts w:ascii="Times New Roman" w:hAnsi="Times New Roman" w:cs="Times New Roman"/>
                <w:sz w:val="24"/>
                <w:szCs w:val="24"/>
              </w:rPr>
              <w:t xml:space="preserve"> noteiktajiem </w:t>
            </w:r>
            <w:r w:rsidR="00DF47BF" w:rsidRPr="00DF47BF">
              <w:rPr>
                <w:rFonts w:ascii="Times New Roman" w:hAnsi="Times New Roman" w:cs="Times New Roman"/>
                <w:sz w:val="24"/>
                <w:szCs w:val="24"/>
              </w:rPr>
              <w:t>ilgtermiņa mērķiem.</w:t>
            </w:r>
          </w:p>
        </w:tc>
      </w:tr>
      <w:tr w:rsidR="00B95B99" w:rsidRPr="004D0835" w14:paraId="561AA23E" w14:textId="77777777" w:rsidTr="009D7A7B">
        <w:tc>
          <w:tcPr>
            <w:tcW w:w="0" w:type="auto"/>
            <w:tcBorders>
              <w:top w:val="single" w:sz="4" w:space="0" w:color="auto"/>
              <w:left w:val="single" w:sz="4" w:space="0" w:color="auto"/>
              <w:bottom w:val="single" w:sz="4" w:space="0" w:color="auto"/>
              <w:right w:val="single" w:sz="4" w:space="0" w:color="auto"/>
            </w:tcBorders>
          </w:tcPr>
          <w:p w14:paraId="15EC9053" w14:textId="177681C9" w:rsidR="00B95B99" w:rsidRPr="004D0835" w:rsidRDefault="00B95B99" w:rsidP="004D0835">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16.</w:t>
            </w:r>
          </w:p>
        </w:tc>
        <w:tc>
          <w:tcPr>
            <w:tcW w:w="4577" w:type="dxa"/>
            <w:tcBorders>
              <w:top w:val="single" w:sz="4" w:space="0" w:color="auto"/>
              <w:left w:val="single" w:sz="4" w:space="0" w:color="auto"/>
              <w:bottom w:val="single" w:sz="4" w:space="0" w:color="auto"/>
              <w:right w:val="single" w:sz="4" w:space="0" w:color="auto"/>
            </w:tcBorders>
          </w:tcPr>
          <w:p w14:paraId="2F6989F5" w14:textId="6FC690CA" w:rsidR="00DD236B" w:rsidRPr="004D0835" w:rsidRDefault="00DD236B" w:rsidP="004D0835">
            <w:pPr>
              <w:spacing w:after="0" w:line="240" w:lineRule="auto"/>
              <w:rPr>
                <w:rFonts w:ascii="Times New Roman" w:hAnsi="Times New Roman" w:cs="Times New Roman"/>
                <w:sz w:val="24"/>
                <w:szCs w:val="24"/>
              </w:rPr>
            </w:pPr>
            <w:r w:rsidRPr="00DD236B">
              <w:rPr>
                <w:rFonts w:ascii="Times New Roman" w:hAnsi="Times New Roman" w:cs="Times New Roman"/>
                <w:sz w:val="24"/>
                <w:szCs w:val="24"/>
              </w:rPr>
              <w:t xml:space="preserve">116.12. vismaz vienu reizi gadā sniedz iestādes padomei pārskatu par iekšējās kontroles sistēmas darbību, izvērtējot tās efektivitāti un nepieciešamības gadījumā ierosinot veicamās izmaiņas tās efektivitātes uzlabošanai, ņemot vērā pārmaiņas iestādes </w:t>
            </w:r>
            <w:r w:rsidRPr="00DD236B">
              <w:rPr>
                <w:rFonts w:ascii="Times New Roman" w:hAnsi="Times New Roman" w:cs="Times New Roman"/>
                <w:sz w:val="24"/>
                <w:szCs w:val="24"/>
              </w:rPr>
              <w:lastRenderedPageBreak/>
              <w:t>darbībā un tās darbību ietekmējošajos ārējos apstākļos;</w:t>
            </w:r>
          </w:p>
        </w:tc>
        <w:tc>
          <w:tcPr>
            <w:tcW w:w="4694" w:type="dxa"/>
            <w:tcBorders>
              <w:top w:val="single" w:sz="4" w:space="0" w:color="auto"/>
              <w:left w:val="single" w:sz="4" w:space="0" w:color="auto"/>
              <w:bottom w:val="single" w:sz="4" w:space="0" w:color="auto"/>
              <w:right w:val="single" w:sz="4" w:space="0" w:color="auto"/>
            </w:tcBorders>
          </w:tcPr>
          <w:p w14:paraId="5882AE79" w14:textId="77777777" w:rsidR="00B95B99" w:rsidRPr="00D13AD7" w:rsidRDefault="00B95B99" w:rsidP="00B95B99">
            <w:pPr>
              <w:spacing w:after="0" w:line="240" w:lineRule="auto"/>
              <w:rPr>
                <w:rFonts w:ascii="Times New Roman" w:hAnsi="Times New Roman" w:cs="Times New Roman"/>
                <w:sz w:val="24"/>
                <w:szCs w:val="24"/>
              </w:rPr>
            </w:pPr>
            <w:r w:rsidRPr="00D13AD7">
              <w:rPr>
                <w:rFonts w:ascii="Times New Roman" w:hAnsi="Times New Roman" w:cs="Times New Roman"/>
                <w:b/>
                <w:bCs/>
                <w:sz w:val="24"/>
                <w:szCs w:val="24"/>
              </w:rPr>
              <w:lastRenderedPageBreak/>
              <w:t>116.12.punkts:</w:t>
            </w:r>
            <w:r w:rsidRPr="00D13AD7">
              <w:rPr>
                <w:rFonts w:ascii="Times New Roman" w:hAnsi="Times New Roman" w:cs="Times New Roman"/>
                <w:sz w:val="24"/>
                <w:szCs w:val="24"/>
              </w:rPr>
              <w:t xml:space="preserve"> Valdes pienākums pārvaldības izveidē atbilstoši </w:t>
            </w:r>
            <w:r w:rsidRPr="00D13AD7">
              <w:rPr>
                <w:rFonts w:ascii="Times New Roman" w:hAnsi="Times New Roman" w:cs="Times New Roman"/>
                <w:b/>
                <w:bCs/>
                <w:sz w:val="24"/>
                <w:szCs w:val="24"/>
              </w:rPr>
              <w:t>116.12</w:t>
            </w:r>
            <w:r w:rsidRPr="00D13AD7">
              <w:rPr>
                <w:rFonts w:ascii="Times New Roman" w:hAnsi="Times New Roman" w:cs="Times New Roman"/>
                <w:sz w:val="24"/>
                <w:szCs w:val="24"/>
              </w:rPr>
              <w:t xml:space="preserve">.punktam “vismaz vienu reizi gadā sniedz iestādes padomei </w:t>
            </w:r>
            <w:r w:rsidRPr="00D13AD7">
              <w:rPr>
                <w:rFonts w:ascii="Times New Roman" w:hAnsi="Times New Roman" w:cs="Times New Roman"/>
                <w:b/>
                <w:bCs/>
                <w:sz w:val="24"/>
                <w:szCs w:val="24"/>
              </w:rPr>
              <w:t>pārskatu par iekšējās kontroles sistēmas darbību</w:t>
            </w:r>
            <w:r w:rsidRPr="00D13AD7">
              <w:rPr>
                <w:rFonts w:ascii="Times New Roman" w:hAnsi="Times New Roman" w:cs="Times New Roman"/>
                <w:sz w:val="24"/>
                <w:szCs w:val="24"/>
              </w:rPr>
              <w:t xml:space="preserve">, izvērtējot tās efektivitāti un nepieciešamības gadījumā ierosinot veicamās izmaiņas tās efektivitātes </w:t>
            </w:r>
            <w:r w:rsidRPr="00D13AD7">
              <w:rPr>
                <w:rFonts w:ascii="Times New Roman" w:hAnsi="Times New Roman" w:cs="Times New Roman"/>
                <w:sz w:val="24"/>
                <w:szCs w:val="24"/>
              </w:rPr>
              <w:lastRenderedPageBreak/>
              <w:t>uzlabošanai, ņemot vērā pārmaiņas iestādes darbībā un tās darbību ietekmējošajos ārējos apstākļos;”</w:t>
            </w:r>
          </w:p>
          <w:p w14:paraId="286C38D7" w14:textId="77777777" w:rsidR="00B95B99" w:rsidRPr="00D13AD7" w:rsidRDefault="00B95B99" w:rsidP="00B95B99">
            <w:pPr>
              <w:spacing w:after="0" w:line="240" w:lineRule="auto"/>
              <w:rPr>
                <w:rFonts w:ascii="Times New Roman" w:hAnsi="Times New Roman" w:cs="Times New Roman"/>
                <w:sz w:val="24"/>
                <w:szCs w:val="24"/>
              </w:rPr>
            </w:pPr>
            <w:r w:rsidRPr="00D13AD7">
              <w:rPr>
                <w:rFonts w:ascii="Times New Roman" w:hAnsi="Times New Roman" w:cs="Times New Roman"/>
                <w:sz w:val="24"/>
                <w:szCs w:val="24"/>
              </w:rPr>
              <w:t xml:space="preserve">Ņemot vērā dažādas atsevišķās prasības par atbilstības kontroles, risku kontroles efektivitātes novērtēšanu, kā arī iekšējā audita pienākumiem (skatīt zemākos punktus), kā arī labo pārvaldības praksi saskaņā ar ECB pārvaldības pārbaužu ieteikumiem, būtu, piemēram, apsveram izslēgt 116.12.punktu kā valdes atbildību, jo tas saturiski pašlaik dublē kontroles funkciju veiktos efektivitātes novērtējumus. Ja nepieciešams paturēt šo regulējumu, tas būtu formulējams, ka iestāde veic šos novērtējumu (faktiski tas jau paredzēts 70.punktā). </w:t>
            </w:r>
          </w:p>
          <w:p w14:paraId="5ACD64A0" w14:textId="77777777" w:rsidR="00B95B99" w:rsidRPr="00D13AD7" w:rsidRDefault="00B95B99" w:rsidP="00B95B99">
            <w:pPr>
              <w:spacing w:after="0" w:line="240" w:lineRule="auto"/>
              <w:rPr>
                <w:rFonts w:ascii="Times New Roman" w:hAnsi="Times New Roman" w:cs="Times New Roman"/>
                <w:i/>
                <w:iCs/>
                <w:sz w:val="24"/>
                <w:szCs w:val="24"/>
              </w:rPr>
            </w:pPr>
            <w:r w:rsidRPr="00D13AD7">
              <w:rPr>
                <w:rFonts w:ascii="Times New Roman" w:hAnsi="Times New Roman" w:cs="Times New Roman"/>
                <w:i/>
                <w:iCs/>
                <w:sz w:val="24"/>
                <w:szCs w:val="24"/>
              </w:rPr>
              <w:t>Padome</w:t>
            </w:r>
          </w:p>
          <w:p w14:paraId="149A23C5" w14:textId="77777777" w:rsidR="00B95B99" w:rsidRPr="00D13AD7" w:rsidRDefault="00B95B99" w:rsidP="00B95B99">
            <w:pPr>
              <w:spacing w:after="0" w:line="240" w:lineRule="auto"/>
              <w:rPr>
                <w:rFonts w:ascii="Times New Roman" w:hAnsi="Times New Roman" w:cs="Times New Roman"/>
                <w:i/>
                <w:iCs/>
                <w:sz w:val="24"/>
                <w:szCs w:val="24"/>
              </w:rPr>
            </w:pPr>
            <w:r w:rsidRPr="00D13AD7">
              <w:rPr>
                <w:rFonts w:ascii="Times New Roman" w:hAnsi="Times New Roman" w:cs="Times New Roman"/>
                <w:i/>
                <w:iCs/>
                <w:sz w:val="24"/>
                <w:szCs w:val="24"/>
              </w:rPr>
              <w:t xml:space="preserve">115.9. uzrauga risku pārvaldīšanu iestādē, ESG riska faktoru integrāciju kopējā risku pārvaldības ietvarā, tai skaitā apstiprina risku identificēšanas un pārvaldīšanas politikas, pieprasa un saņem informāciju par iestādes darbībai piemītošo būtisko risku lielumu un pārvaldīšanu (tai skaitā risku, kuri saistīti ar makroekonomiskajiem faktoriem un ekonomisko ciklu), nodrošina, ka iestāde piešķir pietiekamus resursus risku pārvaldīšanai, kā arī vismaz </w:t>
            </w:r>
            <w:r w:rsidRPr="00D13AD7">
              <w:rPr>
                <w:rFonts w:ascii="Times New Roman" w:hAnsi="Times New Roman" w:cs="Times New Roman"/>
                <w:b/>
                <w:bCs/>
                <w:i/>
                <w:iCs/>
                <w:sz w:val="24"/>
                <w:szCs w:val="24"/>
              </w:rPr>
              <w:t>reizi gadā novērtē risku pārvaldīšanas efektivitāti</w:t>
            </w:r>
            <w:r w:rsidRPr="00D13AD7">
              <w:rPr>
                <w:rFonts w:ascii="Times New Roman" w:hAnsi="Times New Roman" w:cs="Times New Roman"/>
                <w:i/>
                <w:iCs/>
                <w:sz w:val="24"/>
                <w:szCs w:val="24"/>
              </w:rPr>
              <w:t>;</w:t>
            </w:r>
          </w:p>
          <w:p w14:paraId="785B07A4" w14:textId="77777777" w:rsidR="00B95B99" w:rsidRPr="00D13AD7" w:rsidRDefault="00B95B99" w:rsidP="00B95B99">
            <w:pPr>
              <w:spacing w:after="0" w:line="240" w:lineRule="auto"/>
              <w:rPr>
                <w:rFonts w:ascii="Times New Roman" w:hAnsi="Times New Roman" w:cs="Times New Roman"/>
                <w:i/>
                <w:iCs/>
                <w:sz w:val="24"/>
                <w:szCs w:val="24"/>
              </w:rPr>
            </w:pPr>
            <w:r w:rsidRPr="00D13AD7">
              <w:rPr>
                <w:rFonts w:ascii="Times New Roman" w:hAnsi="Times New Roman" w:cs="Times New Roman"/>
                <w:i/>
                <w:iCs/>
                <w:sz w:val="24"/>
                <w:szCs w:val="24"/>
              </w:rPr>
              <w:t xml:space="preserve">115.14. uzrauga iekšējās kontroles sistēmas periodisku pilnveidošanu atbilstoši </w:t>
            </w:r>
            <w:r w:rsidRPr="00D13AD7">
              <w:rPr>
                <w:rFonts w:ascii="Times New Roman" w:hAnsi="Times New Roman" w:cs="Times New Roman"/>
                <w:i/>
                <w:iCs/>
                <w:sz w:val="24"/>
                <w:szCs w:val="24"/>
              </w:rPr>
              <w:lastRenderedPageBreak/>
              <w:t>pārmaiņām iestādes darbībā un iestādes darbību ietekmējošajos ārējos apstākļos.</w:t>
            </w:r>
          </w:p>
          <w:p w14:paraId="57411EEE" w14:textId="77777777" w:rsidR="00B95B99" w:rsidRPr="00D13AD7" w:rsidRDefault="00B95B99" w:rsidP="00B95B99">
            <w:pPr>
              <w:spacing w:after="0" w:line="240" w:lineRule="auto"/>
              <w:rPr>
                <w:rFonts w:ascii="Times New Roman" w:hAnsi="Times New Roman" w:cs="Times New Roman"/>
                <w:i/>
                <w:iCs/>
                <w:sz w:val="24"/>
                <w:szCs w:val="24"/>
              </w:rPr>
            </w:pPr>
            <w:r w:rsidRPr="00D13AD7">
              <w:rPr>
                <w:rFonts w:ascii="Times New Roman" w:hAnsi="Times New Roman" w:cs="Times New Roman"/>
                <w:i/>
                <w:iCs/>
                <w:sz w:val="24"/>
                <w:szCs w:val="24"/>
              </w:rPr>
              <w:t>Atbilstības kontrole:</w:t>
            </w:r>
          </w:p>
          <w:p w14:paraId="784C7024" w14:textId="77777777" w:rsidR="00B95B99" w:rsidRPr="00D13AD7" w:rsidRDefault="00B95B99" w:rsidP="00B95B99">
            <w:pPr>
              <w:spacing w:after="0" w:line="240" w:lineRule="auto"/>
              <w:rPr>
                <w:rFonts w:ascii="Times New Roman" w:hAnsi="Times New Roman" w:cs="Times New Roman"/>
                <w:i/>
                <w:iCs/>
                <w:sz w:val="24"/>
                <w:szCs w:val="24"/>
              </w:rPr>
            </w:pPr>
            <w:r w:rsidRPr="00D13AD7">
              <w:rPr>
                <w:rFonts w:ascii="Times New Roman" w:hAnsi="Times New Roman" w:cs="Times New Roman"/>
                <w:i/>
                <w:iCs/>
                <w:sz w:val="24"/>
                <w:szCs w:val="24"/>
              </w:rPr>
              <w:t>130.2. vismaz reizi gadā sniedz iestādes padomei pārskatu par darbības atbilstības risku, iekļaujot tajā informāciju, kas ļauj iestādes padomei novērtēt darbības atbilstības riska pārvaldīšanas efektivitāti</w:t>
            </w:r>
          </w:p>
          <w:p w14:paraId="2777138F" w14:textId="77777777" w:rsidR="00B95B99" w:rsidRPr="00D13AD7" w:rsidRDefault="00B95B99" w:rsidP="00B95B99">
            <w:pPr>
              <w:spacing w:after="0" w:line="240" w:lineRule="auto"/>
              <w:rPr>
                <w:rFonts w:ascii="Times New Roman" w:hAnsi="Times New Roman" w:cs="Times New Roman"/>
                <w:i/>
                <w:iCs/>
                <w:sz w:val="24"/>
                <w:szCs w:val="24"/>
              </w:rPr>
            </w:pPr>
            <w:r w:rsidRPr="00D13AD7">
              <w:rPr>
                <w:rFonts w:ascii="Times New Roman" w:hAnsi="Times New Roman" w:cs="Times New Roman"/>
                <w:i/>
                <w:iCs/>
                <w:sz w:val="24"/>
                <w:szCs w:val="24"/>
              </w:rPr>
              <w:t xml:space="preserve">Iekšējais audits: </w:t>
            </w:r>
          </w:p>
          <w:p w14:paraId="1E361FCE" w14:textId="77777777" w:rsidR="00B95B99" w:rsidRPr="00D13AD7" w:rsidRDefault="00B95B99" w:rsidP="00B95B99">
            <w:pPr>
              <w:spacing w:after="0" w:line="240" w:lineRule="auto"/>
              <w:rPr>
                <w:rFonts w:ascii="Times New Roman" w:hAnsi="Times New Roman" w:cs="Times New Roman"/>
                <w:i/>
                <w:iCs/>
                <w:sz w:val="24"/>
                <w:szCs w:val="24"/>
              </w:rPr>
            </w:pPr>
            <w:r w:rsidRPr="00D13AD7">
              <w:rPr>
                <w:rFonts w:ascii="Times New Roman" w:hAnsi="Times New Roman" w:cs="Times New Roman"/>
                <w:i/>
                <w:iCs/>
                <w:sz w:val="24"/>
                <w:szCs w:val="24"/>
              </w:rPr>
              <w:t>136.5. risku kontroles funkcijas un darbības atbilstības kontroles funkcijas efektivitātes novērtēšanu, tai skaitā šo funkciju darbībā izmantoto metožu kvalitātes novērtēšanu un sasniegto rezultātu pietiekamības izvērtēšanu</w:t>
            </w:r>
          </w:p>
          <w:p w14:paraId="1D6EE6EC" w14:textId="77777777" w:rsidR="00B95B99" w:rsidRPr="00D13AD7" w:rsidRDefault="00B95B99" w:rsidP="00B95B99">
            <w:pPr>
              <w:spacing w:after="0" w:line="240" w:lineRule="auto"/>
              <w:rPr>
                <w:rFonts w:ascii="Times New Roman" w:hAnsi="Times New Roman" w:cs="Times New Roman"/>
                <w:i/>
                <w:iCs/>
                <w:sz w:val="24"/>
                <w:szCs w:val="24"/>
              </w:rPr>
            </w:pPr>
            <w:r w:rsidRPr="00D13AD7">
              <w:rPr>
                <w:rFonts w:ascii="Times New Roman" w:hAnsi="Times New Roman" w:cs="Times New Roman"/>
                <w:i/>
                <w:iCs/>
                <w:sz w:val="24"/>
                <w:szCs w:val="24"/>
              </w:rPr>
              <w:t>139. Iekšējā audita funkcijas veicēji vismaz reizi gadā sagatavo pārskatu par veiktajām pārbaudēm un galvenajām atklātajām problēmām, izsakot viedokli par iekšējās kontroles sistēmas efektivitāti.</w:t>
            </w:r>
          </w:p>
          <w:p w14:paraId="429DB158" w14:textId="77777777" w:rsidR="00B95B99" w:rsidRPr="00D13AD7" w:rsidRDefault="00B95B99" w:rsidP="00B95B99">
            <w:pPr>
              <w:spacing w:after="0" w:line="240" w:lineRule="auto"/>
              <w:rPr>
                <w:rFonts w:ascii="Times New Roman" w:hAnsi="Times New Roman" w:cs="Times New Roman"/>
                <w:i/>
                <w:iCs/>
                <w:sz w:val="24"/>
                <w:szCs w:val="24"/>
              </w:rPr>
            </w:pPr>
            <w:r w:rsidRPr="00D13AD7">
              <w:rPr>
                <w:rFonts w:ascii="Times New Roman" w:hAnsi="Times New Roman" w:cs="Times New Roman"/>
                <w:i/>
                <w:iCs/>
                <w:sz w:val="24"/>
                <w:szCs w:val="24"/>
              </w:rPr>
              <w:t>70. Iestāde regulāri, bet ne retāk kā reizi gadā pārskata un pilnveido risku identificēšanas un pārvaldīšanas politikas un procedūras atbilstoši pārmaiņām iestādes darbībā un iestādes darbību ietekmējošajos ārējos apstākļos. Iestāde izvērtē tās darbības atbilstību risku identificēšanas un pārvaldīšanas politikās un procedūrās noteiktajam, šo politiku un procedūru piemērotību un efektivitāti, kā arī to pasākumu piemērotību un efektivitāti, kurus iestāde veikusi, lai novērstu šajās politikās un procedūrās atklātos trūkumus.</w:t>
            </w:r>
          </w:p>
          <w:p w14:paraId="7EDE529E" w14:textId="77777777" w:rsidR="00B95B99" w:rsidRPr="00D13AD7" w:rsidRDefault="00B95B99" w:rsidP="00D13AD7">
            <w:pPr>
              <w:spacing w:after="0" w:line="240" w:lineRule="auto"/>
              <w:rPr>
                <w:rFonts w:ascii="Times New Roman" w:hAnsi="Times New Roman" w:cs="Times New Roman"/>
                <w:b/>
                <w:bCs/>
                <w:sz w:val="24"/>
                <w:szCs w:val="24"/>
              </w:rPr>
            </w:pPr>
          </w:p>
        </w:tc>
        <w:tc>
          <w:tcPr>
            <w:tcW w:w="4662" w:type="dxa"/>
            <w:tcBorders>
              <w:top w:val="single" w:sz="4" w:space="0" w:color="auto"/>
              <w:left w:val="single" w:sz="4" w:space="0" w:color="auto"/>
              <w:bottom w:val="single" w:sz="4" w:space="0" w:color="auto"/>
              <w:right w:val="single" w:sz="4" w:space="0" w:color="auto"/>
            </w:tcBorders>
            <w:shd w:val="clear" w:color="auto" w:fill="auto"/>
          </w:tcPr>
          <w:p w14:paraId="0A1AEFFE" w14:textId="77777777" w:rsidR="00B95B99" w:rsidRDefault="00660DA1" w:rsidP="004D0835">
            <w:pPr>
              <w:spacing w:after="0" w:line="240" w:lineRule="auto"/>
              <w:rPr>
                <w:rFonts w:ascii="Times New Roman" w:hAnsi="Times New Roman" w:cs="Times New Roman"/>
                <w:b/>
                <w:sz w:val="24"/>
                <w:szCs w:val="24"/>
              </w:rPr>
            </w:pPr>
            <w:r>
              <w:rPr>
                <w:rFonts w:ascii="Times New Roman" w:hAnsi="Times New Roman" w:cs="Times New Roman"/>
                <w:b/>
                <w:sz w:val="24"/>
                <w:szCs w:val="24"/>
              </w:rPr>
              <w:lastRenderedPageBreak/>
              <w:t>Skaidrojums</w:t>
            </w:r>
            <w:r w:rsidR="006A758D">
              <w:rPr>
                <w:rFonts w:ascii="Times New Roman" w:hAnsi="Times New Roman" w:cs="Times New Roman"/>
                <w:b/>
                <w:sz w:val="24"/>
                <w:szCs w:val="24"/>
              </w:rPr>
              <w:t>.</w:t>
            </w:r>
          </w:p>
          <w:p w14:paraId="321476B4" w14:textId="0BE8DC6B" w:rsidR="00660DA1" w:rsidRPr="009D7A7B" w:rsidRDefault="009E4B7B" w:rsidP="004D0835">
            <w:pPr>
              <w:spacing w:after="0" w:line="240" w:lineRule="auto"/>
              <w:rPr>
                <w:rFonts w:ascii="Times New Roman" w:hAnsi="Times New Roman" w:cs="Times New Roman"/>
                <w:bCs/>
                <w:sz w:val="24"/>
                <w:szCs w:val="24"/>
              </w:rPr>
            </w:pPr>
            <w:r>
              <w:rPr>
                <w:rFonts w:ascii="Times New Roman" w:hAnsi="Times New Roman" w:cs="Times New Roman"/>
                <w:bCs/>
                <w:sz w:val="24"/>
                <w:szCs w:val="24"/>
                <w:shd w:val="clear" w:color="auto" w:fill="FFFFFF" w:themeFill="background1"/>
              </w:rPr>
              <w:t>Ņemot vērā to, ka iestādes valde ir atbildīga par</w:t>
            </w:r>
            <w:r w:rsidR="0060209B" w:rsidRPr="0060209B">
              <w:rPr>
                <w:rFonts w:ascii="Times New Roman" w:hAnsi="Times New Roman" w:cs="Times New Roman"/>
                <w:bCs/>
                <w:sz w:val="24"/>
                <w:szCs w:val="24"/>
                <w:shd w:val="clear" w:color="auto" w:fill="FFFFFF" w:themeFill="background1"/>
              </w:rPr>
              <w:t xml:space="preserve"> visaptverošas pārvaldības sistēmas izveidi, tās īstenošanu, pārvaldīšanu un pilnveidošanu</w:t>
            </w:r>
            <w:r w:rsidR="0060209B">
              <w:rPr>
                <w:rFonts w:ascii="Times New Roman" w:hAnsi="Times New Roman" w:cs="Times New Roman"/>
                <w:bCs/>
                <w:sz w:val="24"/>
                <w:szCs w:val="24"/>
                <w:shd w:val="clear" w:color="auto" w:fill="FFFFFF" w:themeFill="background1"/>
              </w:rPr>
              <w:t xml:space="preserve">, bet katra no iekšējās kontroles funkcijām savus pienākumus veic  atbilstoši tai noteiktajām pilnvarām un uzdevumiem, </w:t>
            </w:r>
            <w:r w:rsidR="0060209B">
              <w:rPr>
                <w:rFonts w:ascii="Times New Roman" w:hAnsi="Times New Roman" w:cs="Times New Roman"/>
                <w:bCs/>
                <w:sz w:val="24"/>
                <w:szCs w:val="24"/>
                <w:shd w:val="clear" w:color="auto" w:fill="FFFFFF" w:themeFill="background1"/>
              </w:rPr>
              <w:lastRenderedPageBreak/>
              <w:t>tad noteikumu projekta 116.12. </w:t>
            </w:r>
            <w:r w:rsidR="00636ADB">
              <w:rPr>
                <w:rFonts w:ascii="Times New Roman" w:hAnsi="Times New Roman" w:cs="Times New Roman"/>
                <w:bCs/>
                <w:sz w:val="24"/>
                <w:szCs w:val="24"/>
                <w:shd w:val="clear" w:color="auto" w:fill="FFFFFF" w:themeFill="background1"/>
              </w:rPr>
              <w:t>apakšpunktā</w:t>
            </w:r>
            <w:r w:rsidR="0060209B">
              <w:rPr>
                <w:rFonts w:ascii="Times New Roman" w:hAnsi="Times New Roman" w:cs="Times New Roman"/>
                <w:bCs/>
                <w:sz w:val="24"/>
                <w:szCs w:val="24"/>
                <w:shd w:val="clear" w:color="auto" w:fill="FFFFFF" w:themeFill="background1"/>
              </w:rPr>
              <w:t xml:space="preserve"> ietvertā prasība paredz, ka iestādes valde</w:t>
            </w:r>
            <w:r w:rsidR="00920269">
              <w:rPr>
                <w:rFonts w:ascii="Times New Roman" w:hAnsi="Times New Roman" w:cs="Times New Roman"/>
                <w:bCs/>
                <w:sz w:val="24"/>
                <w:szCs w:val="24"/>
                <w:shd w:val="clear" w:color="auto" w:fill="FFFFFF" w:themeFill="background1"/>
              </w:rPr>
              <w:t xml:space="preserve"> reizi gadā informē </w:t>
            </w:r>
            <w:r w:rsidR="00F6708C">
              <w:rPr>
                <w:rFonts w:ascii="Times New Roman" w:hAnsi="Times New Roman" w:cs="Times New Roman"/>
                <w:bCs/>
                <w:sz w:val="24"/>
                <w:szCs w:val="24"/>
                <w:shd w:val="clear" w:color="auto" w:fill="FFFFFF" w:themeFill="background1"/>
              </w:rPr>
              <w:t xml:space="preserve">iestādes </w:t>
            </w:r>
            <w:r w:rsidR="00920269">
              <w:rPr>
                <w:rFonts w:ascii="Times New Roman" w:hAnsi="Times New Roman" w:cs="Times New Roman"/>
                <w:bCs/>
                <w:sz w:val="24"/>
                <w:szCs w:val="24"/>
                <w:shd w:val="clear" w:color="auto" w:fill="FFFFFF" w:themeFill="background1"/>
              </w:rPr>
              <w:t xml:space="preserve">padomi par iestādes iekšējās kontroles sistēmas darbību un efektivitāti. </w:t>
            </w:r>
          </w:p>
        </w:tc>
      </w:tr>
      <w:tr w:rsidR="004D0835" w:rsidRPr="004D0835" w14:paraId="03D04946" w14:textId="77777777" w:rsidTr="00DD236B">
        <w:tc>
          <w:tcPr>
            <w:tcW w:w="0" w:type="auto"/>
            <w:tcBorders>
              <w:top w:val="single" w:sz="4" w:space="0" w:color="auto"/>
              <w:left w:val="single" w:sz="4" w:space="0" w:color="auto"/>
              <w:bottom w:val="single" w:sz="4" w:space="0" w:color="auto"/>
              <w:right w:val="single" w:sz="4" w:space="0" w:color="auto"/>
            </w:tcBorders>
          </w:tcPr>
          <w:p w14:paraId="3D9162CD" w14:textId="74CE4E84" w:rsidR="004D0835" w:rsidRPr="004D0835" w:rsidRDefault="00B95B99" w:rsidP="004D0835">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1</w:t>
            </w:r>
            <w:r w:rsidR="004C0BBE">
              <w:rPr>
                <w:rFonts w:ascii="Times New Roman" w:hAnsi="Times New Roman" w:cs="Times New Roman"/>
                <w:sz w:val="24"/>
                <w:szCs w:val="24"/>
              </w:rPr>
              <w:t>7</w:t>
            </w:r>
            <w:r>
              <w:rPr>
                <w:rFonts w:ascii="Times New Roman" w:hAnsi="Times New Roman" w:cs="Times New Roman"/>
                <w:sz w:val="24"/>
                <w:szCs w:val="24"/>
              </w:rPr>
              <w:t>.</w:t>
            </w:r>
          </w:p>
        </w:tc>
        <w:tc>
          <w:tcPr>
            <w:tcW w:w="4577" w:type="dxa"/>
            <w:tcBorders>
              <w:top w:val="single" w:sz="4" w:space="0" w:color="auto"/>
              <w:left w:val="single" w:sz="4" w:space="0" w:color="auto"/>
              <w:bottom w:val="single" w:sz="4" w:space="0" w:color="auto"/>
              <w:right w:val="single" w:sz="4" w:space="0" w:color="auto"/>
            </w:tcBorders>
          </w:tcPr>
          <w:p w14:paraId="3AB73AA4" w14:textId="036B9A27" w:rsidR="004D0835" w:rsidRPr="004D0835" w:rsidRDefault="004D0835" w:rsidP="004D0835">
            <w:pPr>
              <w:spacing w:after="0" w:line="240" w:lineRule="auto"/>
              <w:rPr>
                <w:rFonts w:ascii="Times New Roman" w:hAnsi="Times New Roman" w:cs="Times New Roman"/>
                <w:sz w:val="24"/>
                <w:szCs w:val="24"/>
              </w:rPr>
            </w:pPr>
          </w:p>
        </w:tc>
        <w:tc>
          <w:tcPr>
            <w:tcW w:w="4694" w:type="dxa"/>
            <w:tcBorders>
              <w:top w:val="single" w:sz="4" w:space="0" w:color="auto"/>
              <w:left w:val="single" w:sz="4" w:space="0" w:color="auto"/>
              <w:bottom w:val="single" w:sz="4" w:space="0" w:color="auto"/>
              <w:right w:val="single" w:sz="4" w:space="0" w:color="auto"/>
            </w:tcBorders>
          </w:tcPr>
          <w:p w14:paraId="5F5EE223" w14:textId="77777777" w:rsidR="00D13AD7" w:rsidRPr="00D13AD7" w:rsidRDefault="00D13AD7" w:rsidP="00D13AD7">
            <w:pPr>
              <w:spacing w:after="0" w:line="240" w:lineRule="auto"/>
              <w:rPr>
                <w:rFonts w:ascii="Times New Roman" w:hAnsi="Times New Roman" w:cs="Times New Roman"/>
                <w:i/>
                <w:iCs/>
                <w:sz w:val="24"/>
                <w:szCs w:val="24"/>
              </w:rPr>
            </w:pPr>
            <w:r w:rsidRPr="00D13AD7">
              <w:rPr>
                <w:rFonts w:ascii="Times New Roman" w:hAnsi="Times New Roman" w:cs="Times New Roman"/>
                <w:sz w:val="24"/>
                <w:szCs w:val="24"/>
              </w:rPr>
              <w:t>“</w:t>
            </w:r>
            <w:r w:rsidRPr="00D13AD7">
              <w:rPr>
                <w:rFonts w:ascii="Times New Roman" w:hAnsi="Times New Roman" w:cs="Times New Roman"/>
                <w:b/>
                <w:bCs/>
                <w:i/>
                <w:iCs/>
                <w:sz w:val="24"/>
                <w:szCs w:val="24"/>
              </w:rPr>
              <w:t>140.punkts</w:t>
            </w:r>
            <w:r w:rsidRPr="00D13AD7">
              <w:rPr>
                <w:rFonts w:ascii="Times New Roman" w:hAnsi="Times New Roman" w:cs="Times New Roman"/>
                <w:i/>
                <w:iCs/>
                <w:sz w:val="24"/>
                <w:szCs w:val="24"/>
              </w:rPr>
              <w:t xml:space="preserve"> - </w:t>
            </w:r>
            <w:r w:rsidRPr="00D13AD7">
              <w:rPr>
                <w:rFonts w:ascii="Times New Roman" w:hAnsi="Times New Roman" w:cs="Times New Roman"/>
                <w:b/>
                <w:bCs/>
                <w:i/>
                <w:iCs/>
                <w:sz w:val="24"/>
                <w:szCs w:val="24"/>
              </w:rPr>
              <w:t>Iestāde reizi trijos gados par stāvokli trešā kalendārā gada beigās sagatavo un līdz attiecīgajam pārskata periodam sekojošā gada 30. aprīlim</w:t>
            </w:r>
            <w:r w:rsidRPr="00D13AD7">
              <w:rPr>
                <w:rFonts w:ascii="Times New Roman" w:hAnsi="Times New Roman" w:cs="Times New Roman"/>
                <w:i/>
                <w:iCs/>
                <w:sz w:val="24"/>
                <w:szCs w:val="24"/>
              </w:rPr>
              <w:t xml:space="preserve"> iesniedz Latvijas Bankai pārskatu par iestādes dažādības politiku un praksi. </w:t>
            </w:r>
          </w:p>
          <w:p w14:paraId="56162F8E" w14:textId="77777777" w:rsidR="00D13AD7" w:rsidRPr="00D13AD7" w:rsidRDefault="00D13AD7" w:rsidP="00D13AD7">
            <w:pPr>
              <w:spacing w:after="0" w:line="240" w:lineRule="auto"/>
              <w:rPr>
                <w:rFonts w:ascii="Times New Roman" w:hAnsi="Times New Roman" w:cs="Times New Roman"/>
                <w:i/>
                <w:iCs/>
                <w:sz w:val="24"/>
                <w:szCs w:val="24"/>
              </w:rPr>
            </w:pPr>
            <w:r w:rsidRPr="00D13AD7">
              <w:rPr>
                <w:rFonts w:ascii="Times New Roman" w:hAnsi="Times New Roman" w:cs="Times New Roman"/>
                <w:i/>
                <w:iCs/>
                <w:sz w:val="24"/>
                <w:szCs w:val="24"/>
              </w:rPr>
              <w:t xml:space="preserve">141. Šo noteikumu 140. punktā minēto pārskatu iestāde sagatavo individuālā līmenī, izmantojot Latvijas Bankas tīmekļvietnē (adrese: </w:t>
            </w:r>
            <w:hyperlink r:id="rId17" w:history="1">
              <w:r w:rsidRPr="00D13AD7">
                <w:rPr>
                  <w:rStyle w:val="Hipersaite"/>
                  <w:rFonts w:ascii="Times New Roman" w:hAnsi="Times New Roman" w:cs="Times New Roman"/>
                  <w:i/>
                  <w:iCs/>
                  <w:sz w:val="24"/>
                  <w:szCs w:val="24"/>
                </w:rPr>
                <w:t>https://www.bank.lv</w:t>
              </w:r>
            </w:hyperlink>
            <w:r w:rsidRPr="00D13AD7">
              <w:rPr>
                <w:rFonts w:ascii="Times New Roman" w:hAnsi="Times New Roman" w:cs="Times New Roman"/>
                <w:i/>
                <w:iCs/>
                <w:sz w:val="24"/>
                <w:szCs w:val="24"/>
              </w:rPr>
              <w:t>) publicētās Eiropas Banku iestādes pārskatu veidnes, atbilstoši Eiropas Banku iestādes 2023. gada 18. decembra pamatnostādnēs Nr. EBA/GL/2023/08 "Pamatnostādnes par dažādības prakses, tostarp dažādības politikas un vīriešu un sieviešu darba samaksas atšķirību, salīdzinošo novērtēšanu saskaņā ar Direktīvu 2013/36/ES un Direktīvu (ES) 2019/2034" noteiktajām prasībām.”</w:t>
            </w:r>
          </w:p>
          <w:p w14:paraId="2C2B486F" w14:textId="77777777" w:rsidR="00D13AD7" w:rsidRPr="00D13AD7" w:rsidRDefault="00D13AD7" w:rsidP="00D13AD7">
            <w:pPr>
              <w:spacing w:after="0" w:line="240" w:lineRule="auto"/>
              <w:rPr>
                <w:rFonts w:ascii="Times New Roman" w:hAnsi="Times New Roman" w:cs="Times New Roman"/>
                <w:sz w:val="24"/>
                <w:szCs w:val="24"/>
              </w:rPr>
            </w:pPr>
            <w:r w:rsidRPr="00D13AD7">
              <w:rPr>
                <w:rFonts w:ascii="Times New Roman" w:hAnsi="Times New Roman" w:cs="Times New Roman"/>
                <w:sz w:val="24"/>
                <w:szCs w:val="24"/>
              </w:rPr>
              <w:t xml:space="preserve">Savukārt spēkā esošajos FKTK noteikumos Nr. 154 Normatīvie noteikumi par atalgojuma politiku un praksi, ir šāds regulējums: </w:t>
            </w:r>
          </w:p>
          <w:p w14:paraId="138688BE" w14:textId="77777777" w:rsidR="00D13AD7" w:rsidRPr="00D13AD7" w:rsidRDefault="00D13AD7" w:rsidP="00D13AD7">
            <w:pPr>
              <w:spacing w:after="0" w:line="240" w:lineRule="auto"/>
              <w:rPr>
                <w:rFonts w:ascii="Times New Roman" w:hAnsi="Times New Roman" w:cs="Times New Roman"/>
                <w:i/>
                <w:iCs/>
                <w:sz w:val="24"/>
                <w:szCs w:val="24"/>
              </w:rPr>
            </w:pPr>
            <w:r w:rsidRPr="00D13AD7">
              <w:rPr>
                <w:rFonts w:ascii="Times New Roman" w:hAnsi="Times New Roman" w:cs="Times New Roman"/>
                <w:i/>
                <w:iCs/>
                <w:sz w:val="24"/>
                <w:szCs w:val="24"/>
              </w:rPr>
              <w:t xml:space="preserve">40. Par pārskata gadu, kas sākas 2022. gada 1. janvārī, un turpmāk </w:t>
            </w:r>
            <w:r w:rsidRPr="00D13AD7">
              <w:rPr>
                <w:rFonts w:ascii="Times New Roman" w:hAnsi="Times New Roman" w:cs="Times New Roman"/>
                <w:b/>
                <w:bCs/>
                <w:i/>
                <w:iCs/>
                <w:sz w:val="24"/>
                <w:szCs w:val="24"/>
              </w:rPr>
              <w:t>iestāde sagatavo un iesniedz Komisijai informāciju par tās atalgojuma politiku un praksi līdz attiecīgajam pārskata gadam sekojošā gada 1. jūnijam</w:t>
            </w:r>
            <w:r w:rsidRPr="00D13AD7">
              <w:rPr>
                <w:rFonts w:ascii="Times New Roman" w:hAnsi="Times New Roman" w:cs="Times New Roman"/>
                <w:i/>
                <w:iCs/>
                <w:sz w:val="24"/>
                <w:szCs w:val="24"/>
              </w:rPr>
              <w:t>, ievērojot šādas prasības:</w:t>
            </w:r>
          </w:p>
          <w:p w14:paraId="2B38A044" w14:textId="77777777" w:rsidR="00D13AD7" w:rsidRPr="00D13AD7" w:rsidRDefault="00D13AD7" w:rsidP="00D13AD7">
            <w:pPr>
              <w:spacing w:after="0" w:line="240" w:lineRule="auto"/>
              <w:rPr>
                <w:rFonts w:ascii="Times New Roman" w:hAnsi="Times New Roman" w:cs="Times New Roman"/>
                <w:i/>
                <w:iCs/>
                <w:sz w:val="24"/>
                <w:szCs w:val="24"/>
              </w:rPr>
            </w:pPr>
            <w:r w:rsidRPr="00D13AD7">
              <w:rPr>
                <w:rFonts w:ascii="Times New Roman" w:hAnsi="Times New Roman" w:cs="Times New Roman"/>
                <w:i/>
                <w:iCs/>
                <w:sz w:val="24"/>
                <w:szCs w:val="24"/>
              </w:rPr>
              <w:t xml:space="preserve">40.3.4. par dzimumu darba samaksas atšķirībām – katru trešo gadu, sākot ar datiem par pārskata gadu, kurš beidzas 2023. gada </w:t>
            </w:r>
            <w:r w:rsidRPr="00D13AD7">
              <w:rPr>
                <w:rFonts w:ascii="Times New Roman" w:hAnsi="Times New Roman" w:cs="Times New Roman"/>
                <w:i/>
                <w:iCs/>
                <w:sz w:val="24"/>
                <w:szCs w:val="24"/>
              </w:rPr>
              <w:lastRenderedPageBreak/>
              <w:t>31. decembrī, ja iestāde nav maza un nesarežģīta iestāde saskaņā ar ES regulas Nr. 575/2013 4. panta pirmās daļas 145. punktu un darbinieku skaits iestādē individuālā līmenī pārsniedz 50, neskaitot padomes locekļus;</w:t>
            </w:r>
          </w:p>
          <w:p w14:paraId="36690FDE" w14:textId="77777777" w:rsidR="00D13AD7" w:rsidRPr="00D13AD7" w:rsidRDefault="00D13AD7" w:rsidP="00D13AD7">
            <w:pPr>
              <w:spacing w:after="0" w:line="240" w:lineRule="auto"/>
              <w:rPr>
                <w:rFonts w:ascii="Times New Roman" w:hAnsi="Times New Roman" w:cs="Times New Roman"/>
                <w:i/>
                <w:iCs/>
                <w:sz w:val="24"/>
                <w:szCs w:val="24"/>
              </w:rPr>
            </w:pPr>
          </w:p>
          <w:p w14:paraId="729912D0" w14:textId="36A94CFE" w:rsidR="004D0835" w:rsidRPr="004D0835" w:rsidRDefault="00D13AD7" w:rsidP="004D0835">
            <w:pPr>
              <w:spacing w:after="0" w:line="240" w:lineRule="auto"/>
              <w:rPr>
                <w:rFonts w:ascii="Times New Roman" w:hAnsi="Times New Roman" w:cs="Times New Roman"/>
                <w:sz w:val="24"/>
                <w:szCs w:val="24"/>
              </w:rPr>
            </w:pPr>
            <w:r w:rsidRPr="00D13AD7">
              <w:rPr>
                <w:rFonts w:ascii="Times New Roman" w:hAnsi="Times New Roman" w:cs="Times New Roman"/>
                <w:sz w:val="24"/>
                <w:szCs w:val="24"/>
              </w:rPr>
              <w:t>Jautājums - vai plānotas arī izmaiņas attiecīgi arī pašlaik FKTK noteikumos nr. 154 ietvertajā pieejā attiecībā uz termiņiem?</w:t>
            </w:r>
          </w:p>
        </w:tc>
        <w:tc>
          <w:tcPr>
            <w:tcW w:w="4662" w:type="dxa"/>
            <w:tcBorders>
              <w:top w:val="single" w:sz="4" w:space="0" w:color="auto"/>
              <w:left w:val="single" w:sz="4" w:space="0" w:color="auto"/>
              <w:bottom w:val="single" w:sz="4" w:space="0" w:color="auto"/>
              <w:right w:val="single" w:sz="4" w:space="0" w:color="auto"/>
            </w:tcBorders>
            <w:shd w:val="clear" w:color="auto" w:fill="auto"/>
          </w:tcPr>
          <w:p w14:paraId="7573B8AF" w14:textId="11DA6BF0" w:rsidR="004D0835" w:rsidRPr="004D0835" w:rsidRDefault="004D0835" w:rsidP="004D0835">
            <w:pPr>
              <w:spacing w:after="0" w:line="240" w:lineRule="auto"/>
              <w:rPr>
                <w:rFonts w:ascii="Times New Roman" w:hAnsi="Times New Roman" w:cs="Times New Roman"/>
                <w:b/>
                <w:sz w:val="24"/>
                <w:szCs w:val="24"/>
              </w:rPr>
            </w:pPr>
            <w:r w:rsidRPr="004D0835">
              <w:rPr>
                <w:rFonts w:ascii="Times New Roman" w:hAnsi="Times New Roman" w:cs="Times New Roman"/>
                <w:b/>
                <w:sz w:val="24"/>
                <w:szCs w:val="24"/>
              </w:rPr>
              <w:lastRenderedPageBreak/>
              <w:t>Skaidrojums.</w:t>
            </w:r>
          </w:p>
          <w:p w14:paraId="228878EC" w14:textId="239F746F" w:rsidR="00E368BD" w:rsidRDefault="00CD5E6C" w:rsidP="004D0835">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Noteikumu projektā </w:t>
            </w:r>
            <w:r w:rsidR="00F6708C">
              <w:rPr>
                <w:rFonts w:ascii="Times New Roman" w:hAnsi="Times New Roman" w:cs="Times New Roman"/>
                <w:bCs/>
                <w:sz w:val="24"/>
                <w:szCs w:val="24"/>
              </w:rPr>
              <w:t xml:space="preserve">paredzētā </w:t>
            </w:r>
            <w:r w:rsidR="00591B2E">
              <w:rPr>
                <w:rFonts w:ascii="Times New Roman" w:hAnsi="Times New Roman" w:cs="Times New Roman"/>
                <w:bCs/>
                <w:sz w:val="24"/>
                <w:szCs w:val="24"/>
              </w:rPr>
              <w:t>pārskata par iestādes dažādības politiku un praksi iesniegšanas termiņ</w:t>
            </w:r>
            <w:r w:rsidR="00E368BD">
              <w:rPr>
                <w:rFonts w:ascii="Times New Roman" w:hAnsi="Times New Roman" w:cs="Times New Roman"/>
                <w:bCs/>
                <w:sz w:val="24"/>
                <w:szCs w:val="24"/>
              </w:rPr>
              <w:t xml:space="preserve">u </w:t>
            </w:r>
            <w:r>
              <w:rPr>
                <w:rFonts w:ascii="Times New Roman" w:hAnsi="Times New Roman" w:cs="Times New Roman"/>
                <w:bCs/>
                <w:sz w:val="24"/>
                <w:szCs w:val="24"/>
              </w:rPr>
              <w:t xml:space="preserve">nosaka </w:t>
            </w:r>
            <w:r w:rsidR="00591B2E" w:rsidRPr="00591B2E">
              <w:rPr>
                <w:rFonts w:ascii="Times New Roman" w:hAnsi="Times New Roman" w:cs="Times New Roman"/>
                <w:bCs/>
                <w:sz w:val="24"/>
                <w:szCs w:val="24"/>
              </w:rPr>
              <w:t>Eiropas Banku iestādes 2023.</w:t>
            </w:r>
            <w:r w:rsidR="00591B2E">
              <w:rPr>
                <w:rFonts w:ascii="Times New Roman" w:hAnsi="Times New Roman" w:cs="Times New Roman"/>
                <w:bCs/>
                <w:sz w:val="24"/>
                <w:szCs w:val="24"/>
              </w:rPr>
              <w:t> </w:t>
            </w:r>
            <w:r w:rsidR="00591B2E" w:rsidRPr="00591B2E">
              <w:rPr>
                <w:rFonts w:ascii="Times New Roman" w:hAnsi="Times New Roman" w:cs="Times New Roman"/>
                <w:bCs/>
                <w:sz w:val="24"/>
                <w:szCs w:val="24"/>
              </w:rPr>
              <w:t>gada 18.</w:t>
            </w:r>
            <w:r w:rsidR="00591B2E">
              <w:rPr>
                <w:rFonts w:ascii="Times New Roman" w:hAnsi="Times New Roman" w:cs="Times New Roman"/>
                <w:bCs/>
                <w:sz w:val="24"/>
                <w:szCs w:val="24"/>
              </w:rPr>
              <w:t> </w:t>
            </w:r>
            <w:r w:rsidR="00591B2E" w:rsidRPr="00591B2E">
              <w:rPr>
                <w:rFonts w:ascii="Times New Roman" w:hAnsi="Times New Roman" w:cs="Times New Roman"/>
                <w:bCs/>
                <w:sz w:val="24"/>
                <w:szCs w:val="24"/>
              </w:rPr>
              <w:t>decembra pamatnostādn</w:t>
            </w:r>
            <w:r w:rsidR="00591B2E">
              <w:rPr>
                <w:rFonts w:ascii="Times New Roman" w:hAnsi="Times New Roman" w:cs="Times New Roman"/>
                <w:bCs/>
                <w:sz w:val="24"/>
                <w:szCs w:val="24"/>
              </w:rPr>
              <w:t xml:space="preserve">es </w:t>
            </w:r>
            <w:r w:rsidR="00591B2E" w:rsidRPr="00591B2E">
              <w:rPr>
                <w:rFonts w:ascii="Times New Roman" w:hAnsi="Times New Roman" w:cs="Times New Roman"/>
                <w:bCs/>
                <w:sz w:val="24"/>
                <w:szCs w:val="24"/>
              </w:rPr>
              <w:t>Nr</w:t>
            </w:r>
            <w:r w:rsidR="001D5D29">
              <w:rPr>
                <w:rFonts w:ascii="Times New Roman" w:hAnsi="Times New Roman" w:cs="Times New Roman"/>
                <w:bCs/>
                <w:sz w:val="24"/>
                <w:szCs w:val="24"/>
              </w:rPr>
              <w:t>. </w:t>
            </w:r>
            <w:r w:rsidR="00591B2E" w:rsidRPr="00591B2E">
              <w:rPr>
                <w:rFonts w:ascii="Times New Roman" w:hAnsi="Times New Roman" w:cs="Times New Roman"/>
                <w:bCs/>
                <w:sz w:val="24"/>
                <w:szCs w:val="24"/>
              </w:rPr>
              <w:t>EBA/GL/2023/08 "Pamatnostādnes par dažādības prakses, tostarp dažādības politikas un vīriešu un sieviešu darba samaksas atšķirību, salīdzinošo novērtēšanu saskaņā ar Direktīvu 2013/36/ES un Direktīvu (ES) 2019/2034"</w:t>
            </w:r>
            <w:r w:rsidR="00E368BD">
              <w:rPr>
                <w:rFonts w:ascii="Times New Roman" w:hAnsi="Times New Roman" w:cs="Times New Roman"/>
                <w:bCs/>
                <w:sz w:val="24"/>
                <w:szCs w:val="24"/>
              </w:rPr>
              <w:t xml:space="preserve"> un iestādēm šo pārskatu jāiesniedz Latvijas Bankai </w:t>
            </w:r>
            <w:r w:rsidR="00E368BD" w:rsidRPr="00E368BD">
              <w:rPr>
                <w:rFonts w:ascii="Times New Roman" w:hAnsi="Times New Roman" w:cs="Times New Roman"/>
                <w:bCs/>
                <w:sz w:val="24"/>
                <w:szCs w:val="24"/>
              </w:rPr>
              <w:t>līdz attiecīgajam pārskata periodam sekojošā gada 30. aprīlim</w:t>
            </w:r>
            <w:r w:rsidR="00E368BD">
              <w:rPr>
                <w:rFonts w:ascii="Times New Roman" w:hAnsi="Times New Roman" w:cs="Times New Roman"/>
                <w:bCs/>
                <w:sz w:val="24"/>
                <w:szCs w:val="24"/>
              </w:rPr>
              <w:t>.</w:t>
            </w:r>
          </w:p>
          <w:p w14:paraId="0938CFF5" w14:textId="77777777" w:rsidR="00E368BD" w:rsidRDefault="00E368BD" w:rsidP="004D0835">
            <w:pPr>
              <w:spacing w:after="0" w:line="240" w:lineRule="auto"/>
              <w:rPr>
                <w:rFonts w:ascii="Times New Roman" w:hAnsi="Times New Roman" w:cs="Times New Roman"/>
                <w:bCs/>
                <w:sz w:val="24"/>
                <w:szCs w:val="24"/>
              </w:rPr>
            </w:pPr>
          </w:p>
          <w:p w14:paraId="371C0712" w14:textId="0DED3791" w:rsidR="00CC65D5" w:rsidRDefault="00E368BD" w:rsidP="00CC65D5">
            <w:pPr>
              <w:spacing w:after="0" w:line="240" w:lineRule="auto"/>
              <w:rPr>
                <w:rFonts w:ascii="Times New Roman" w:hAnsi="Times New Roman" w:cs="Times New Roman"/>
                <w:bCs/>
                <w:sz w:val="24"/>
                <w:szCs w:val="24"/>
              </w:rPr>
            </w:pPr>
            <w:r>
              <w:rPr>
                <w:rFonts w:ascii="Times New Roman" w:hAnsi="Times New Roman" w:cs="Times New Roman"/>
                <w:bCs/>
                <w:sz w:val="24"/>
                <w:szCs w:val="24"/>
              </w:rPr>
              <w:t>Savukārt</w:t>
            </w:r>
            <w:r w:rsidR="00635858">
              <w:rPr>
                <w:rFonts w:ascii="Times New Roman" w:hAnsi="Times New Roman" w:cs="Times New Roman"/>
                <w:bCs/>
                <w:sz w:val="24"/>
                <w:szCs w:val="24"/>
              </w:rPr>
              <w:t xml:space="preserve"> L</w:t>
            </w:r>
            <w:r w:rsidR="00635858" w:rsidRPr="00635858">
              <w:rPr>
                <w:rFonts w:ascii="Times New Roman" w:hAnsi="Times New Roman" w:cs="Times New Roman"/>
                <w:bCs/>
                <w:sz w:val="24"/>
                <w:szCs w:val="24"/>
              </w:rPr>
              <w:t xml:space="preserve">atvijas Bankas </w:t>
            </w:r>
            <w:r w:rsidR="00635858">
              <w:rPr>
                <w:rFonts w:ascii="Times New Roman" w:hAnsi="Times New Roman" w:cs="Times New Roman"/>
                <w:bCs/>
                <w:sz w:val="24"/>
                <w:szCs w:val="24"/>
              </w:rPr>
              <w:t xml:space="preserve">2024. gada </w:t>
            </w:r>
            <w:r w:rsidR="001D5D29">
              <w:rPr>
                <w:rFonts w:ascii="Times New Roman" w:hAnsi="Times New Roman" w:cs="Times New Roman"/>
                <w:bCs/>
                <w:sz w:val="24"/>
                <w:szCs w:val="24"/>
              </w:rPr>
              <w:t xml:space="preserve">14. oktobra </w:t>
            </w:r>
            <w:r w:rsidR="00635858" w:rsidRPr="00635858">
              <w:rPr>
                <w:rFonts w:ascii="Times New Roman" w:hAnsi="Times New Roman" w:cs="Times New Roman"/>
                <w:bCs/>
                <w:sz w:val="24"/>
                <w:szCs w:val="24"/>
              </w:rPr>
              <w:t>noteikumi Nr. 322</w:t>
            </w:r>
            <w:r w:rsidR="001D5D29">
              <w:rPr>
                <w:rFonts w:ascii="Times New Roman" w:hAnsi="Times New Roman" w:cs="Times New Roman"/>
                <w:bCs/>
                <w:sz w:val="24"/>
                <w:szCs w:val="24"/>
              </w:rPr>
              <w:t xml:space="preserve"> "N</w:t>
            </w:r>
            <w:r w:rsidR="00635858" w:rsidRPr="00635858">
              <w:rPr>
                <w:rFonts w:ascii="Times New Roman" w:hAnsi="Times New Roman" w:cs="Times New Roman"/>
                <w:bCs/>
                <w:sz w:val="24"/>
                <w:szCs w:val="24"/>
              </w:rPr>
              <w:t>oteikumi par kredītiestāžu atalgojuma politiku un praksi</w:t>
            </w:r>
            <w:r w:rsidR="001D5D29">
              <w:rPr>
                <w:rFonts w:ascii="Times New Roman" w:hAnsi="Times New Roman" w:cs="Times New Roman"/>
                <w:bCs/>
                <w:sz w:val="24"/>
                <w:szCs w:val="24"/>
              </w:rPr>
              <w:t>" nosaka citu pārskatu sagatavošanu un iesniegšanu, kuru period</w:t>
            </w:r>
            <w:r w:rsidR="00F6708C">
              <w:rPr>
                <w:rFonts w:ascii="Times New Roman" w:hAnsi="Times New Roman" w:cs="Times New Roman"/>
                <w:bCs/>
                <w:sz w:val="24"/>
                <w:szCs w:val="24"/>
              </w:rPr>
              <w:t xml:space="preserve">iskums, kā arī </w:t>
            </w:r>
            <w:r w:rsidR="001D5D29">
              <w:rPr>
                <w:rFonts w:ascii="Times New Roman" w:hAnsi="Times New Roman" w:cs="Times New Roman"/>
                <w:bCs/>
                <w:sz w:val="24"/>
                <w:szCs w:val="24"/>
              </w:rPr>
              <w:t>sagatavošanas un iesniegšanas termiņ</w:t>
            </w:r>
            <w:r w:rsidR="00CC65D5">
              <w:rPr>
                <w:rFonts w:ascii="Times New Roman" w:hAnsi="Times New Roman" w:cs="Times New Roman"/>
                <w:bCs/>
                <w:sz w:val="24"/>
                <w:szCs w:val="24"/>
              </w:rPr>
              <w:t>i ir noteikti atbilstoši šādām Eiropas Banku iestādes pamatnostādnēm:</w:t>
            </w:r>
          </w:p>
          <w:p w14:paraId="24A410E3" w14:textId="2DD07C5B" w:rsidR="00CC65D5" w:rsidRPr="00CC65D5" w:rsidRDefault="00CC65D5" w:rsidP="00CC65D5">
            <w:pPr>
              <w:pStyle w:val="Sarakstarindkopa"/>
              <w:numPr>
                <w:ilvl w:val="0"/>
                <w:numId w:val="7"/>
              </w:numPr>
              <w:spacing w:after="0" w:line="240" w:lineRule="auto"/>
              <w:rPr>
                <w:rFonts w:ascii="Times New Roman" w:hAnsi="Times New Roman" w:cs="Times New Roman"/>
                <w:bCs/>
                <w:sz w:val="24"/>
                <w:szCs w:val="24"/>
              </w:rPr>
            </w:pPr>
            <w:hyperlink r:id="rId18" w:history="1">
              <w:r w:rsidRPr="00CC65D5">
                <w:rPr>
                  <w:rFonts w:ascii="Times New Roman" w:hAnsi="Times New Roman" w:cs="Times New Roman"/>
                  <w:bCs/>
                  <w:sz w:val="24"/>
                  <w:szCs w:val="24"/>
                </w:rPr>
                <w:t xml:space="preserve">Eiropas Banku iestādes 2022. gada 30. jūnija pamatnostādnes Nr. EBA/GL/2022/06 "Pamatnostādnes par salīdzinošās novērtēšanas pasākumiem attiecībā uz atalgojuma praksi, vīriešu un sieviešu darba samaksas atšķirībām un apstiprinātajām augstākām </w:t>
              </w:r>
              <w:r w:rsidRPr="00CC65D5">
                <w:rPr>
                  <w:rFonts w:ascii="Times New Roman" w:hAnsi="Times New Roman" w:cs="Times New Roman"/>
                  <w:bCs/>
                  <w:sz w:val="24"/>
                  <w:szCs w:val="24"/>
                </w:rPr>
                <w:lastRenderedPageBreak/>
                <w:t>proporcijām saskaņā ar Direktīvu 2013/36/ES</w:t>
              </w:r>
            </w:hyperlink>
            <w:r w:rsidRPr="00CC65D5">
              <w:rPr>
                <w:rFonts w:ascii="Times New Roman" w:hAnsi="Times New Roman" w:cs="Times New Roman"/>
                <w:bCs/>
                <w:sz w:val="24"/>
                <w:szCs w:val="24"/>
              </w:rPr>
              <w:t>"</w:t>
            </w:r>
            <w:r>
              <w:rPr>
                <w:rFonts w:ascii="Times New Roman" w:hAnsi="Times New Roman" w:cs="Times New Roman"/>
                <w:bCs/>
                <w:sz w:val="24"/>
                <w:szCs w:val="24"/>
              </w:rPr>
              <w:t>;</w:t>
            </w:r>
          </w:p>
          <w:p w14:paraId="3BF00E88" w14:textId="6E708A0B" w:rsidR="00CC65D5" w:rsidRDefault="00CC65D5" w:rsidP="00CC65D5">
            <w:pPr>
              <w:pStyle w:val="Sarakstarindkopa"/>
              <w:numPr>
                <w:ilvl w:val="0"/>
                <w:numId w:val="7"/>
              </w:numPr>
              <w:spacing w:after="0" w:line="240" w:lineRule="auto"/>
              <w:rPr>
                <w:rFonts w:ascii="Times New Roman" w:hAnsi="Times New Roman" w:cs="Times New Roman"/>
                <w:bCs/>
                <w:sz w:val="24"/>
                <w:szCs w:val="24"/>
              </w:rPr>
            </w:pPr>
            <w:r w:rsidRPr="00CC65D5">
              <w:rPr>
                <w:rFonts w:ascii="Times New Roman" w:hAnsi="Times New Roman" w:cs="Times New Roman"/>
                <w:bCs/>
                <w:sz w:val="24"/>
                <w:szCs w:val="24"/>
              </w:rPr>
              <w:t>Eiropas Banku iestādes 2022. gada 30. jūnija pamatnostādnes Nr. EBA/GL/2022/08 "Pamatnostādnes par datu vākšanu attiecībā uz augsta atalgojuma saņēmējiem saskaņā ar Direktīvu 2013/36/ES un Direktīvu (ES) 2019/2034"</w:t>
            </w:r>
            <w:r w:rsidR="00DD236B">
              <w:rPr>
                <w:rFonts w:ascii="Times New Roman" w:hAnsi="Times New Roman" w:cs="Times New Roman"/>
                <w:bCs/>
                <w:sz w:val="24"/>
                <w:szCs w:val="24"/>
              </w:rPr>
              <w:t>.</w:t>
            </w:r>
          </w:p>
          <w:p w14:paraId="675046A3" w14:textId="41B574E4" w:rsidR="00CC65D5" w:rsidRPr="00CC65D5" w:rsidRDefault="00DD236B" w:rsidP="00CC65D5">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Šo pārskatu iesniegšanas termiņi </w:t>
            </w:r>
            <w:r w:rsidR="001D5D29" w:rsidRPr="00CC65D5">
              <w:rPr>
                <w:rFonts w:ascii="Times New Roman" w:hAnsi="Times New Roman" w:cs="Times New Roman"/>
                <w:bCs/>
                <w:sz w:val="24"/>
                <w:szCs w:val="24"/>
              </w:rPr>
              <w:t>atšķiras no noteikumu projektā noteiktā pārskata par iestādes dažādības politiku un praksi noteiktā termiņa</w:t>
            </w:r>
            <w:r>
              <w:rPr>
                <w:rFonts w:ascii="Times New Roman" w:hAnsi="Times New Roman" w:cs="Times New Roman"/>
                <w:bCs/>
                <w:sz w:val="24"/>
                <w:szCs w:val="24"/>
              </w:rPr>
              <w:t>, tādēļ izmaiņas attiecībā uz pārskatu sagatavošanas un iesniegšanas termiņiem nav plānotas.</w:t>
            </w:r>
            <w:r w:rsidR="001D5D29" w:rsidRPr="00CC65D5">
              <w:rPr>
                <w:rFonts w:ascii="Times New Roman" w:hAnsi="Times New Roman" w:cs="Times New Roman"/>
                <w:bCs/>
                <w:sz w:val="24"/>
                <w:szCs w:val="24"/>
              </w:rPr>
              <w:t xml:space="preserve"> </w:t>
            </w:r>
          </w:p>
          <w:p w14:paraId="652CD410" w14:textId="1FFFF9BE" w:rsidR="00683090" w:rsidRPr="004D0835" w:rsidRDefault="00683090" w:rsidP="00231DF5">
            <w:pPr>
              <w:spacing w:after="0" w:line="240" w:lineRule="auto"/>
              <w:rPr>
                <w:rFonts w:ascii="Times New Roman" w:hAnsi="Times New Roman" w:cs="Times New Roman"/>
                <w:bCs/>
                <w:sz w:val="24"/>
                <w:szCs w:val="24"/>
              </w:rPr>
            </w:pPr>
          </w:p>
        </w:tc>
      </w:tr>
    </w:tbl>
    <w:p w14:paraId="6FF15C50" w14:textId="77777777" w:rsidR="009B27BE" w:rsidRDefault="009B27BE" w:rsidP="00152102">
      <w:pPr>
        <w:spacing w:after="0" w:line="240" w:lineRule="auto"/>
        <w:rPr>
          <w:rFonts w:ascii="Times New Roman" w:hAnsi="Times New Roman" w:cs="Times New Roman"/>
          <w:sz w:val="24"/>
          <w:szCs w:val="24"/>
        </w:rPr>
      </w:pPr>
    </w:p>
    <w:sectPr w:rsidR="009B27BE" w:rsidSect="005A22ED">
      <w:pgSz w:w="16838" w:h="11906" w:orient="landscape" w:code="9"/>
      <w:pgMar w:top="1701"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67F579" w14:textId="77777777" w:rsidR="007E6BCC" w:rsidRDefault="007E6BCC" w:rsidP="009B27BE">
      <w:pPr>
        <w:spacing w:after="0" w:line="240" w:lineRule="auto"/>
      </w:pPr>
      <w:r>
        <w:separator/>
      </w:r>
    </w:p>
  </w:endnote>
  <w:endnote w:type="continuationSeparator" w:id="0">
    <w:p w14:paraId="3B53CB92" w14:textId="77777777" w:rsidR="007E6BCC" w:rsidRDefault="007E6BCC" w:rsidP="009B2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451523" w14:textId="77777777" w:rsidR="007E6BCC" w:rsidRDefault="007E6BCC" w:rsidP="009B27BE">
      <w:pPr>
        <w:spacing w:after="0" w:line="240" w:lineRule="auto"/>
      </w:pPr>
      <w:r>
        <w:separator/>
      </w:r>
    </w:p>
  </w:footnote>
  <w:footnote w:type="continuationSeparator" w:id="0">
    <w:p w14:paraId="40CCDC3A" w14:textId="77777777" w:rsidR="007E6BCC" w:rsidRDefault="007E6BCC" w:rsidP="009B27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93890044"/>
      <w:docPartObj>
        <w:docPartGallery w:val="Page Numbers (Top of Page)"/>
        <w:docPartUnique/>
      </w:docPartObj>
    </w:sdtPr>
    <w:sdtEndPr>
      <w:rPr>
        <w:rFonts w:ascii="Times New Roman" w:hAnsi="Times New Roman" w:cs="Times New Roman"/>
        <w:sz w:val="20"/>
        <w:szCs w:val="20"/>
      </w:rPr>
    </w:sdtEndPr>
    <w:sdtContent>
      <w:p w14:paraId="690C0DE2" w14:textId="03395BFA" w:rsidR="007E313B" w:rsidRPr="007E313B" w:rsidRDefault="007E313B">
        <w:pPr>
          <w:pStyle w:val="Galvene"/>
          <w:jc w:val="center"/>
          <w:rPr>
            <w:rFonts w:ascii="Times New Roman" w:hAnsi="Times New Roman" w:cs="Times New Roman"/>
            <w:sz w:val="20"/>
            <w:szCs w:val="20"/>
          </w:rPr>
        </w:pPr>
        <w:r w:rsidRPr="007E313B">
          <w:rPr>
            <w:rFonts w:ascii="Times New Roman" w:hAnsi="Times New Roman" w:cs="Times New Roman"/>
            <w:sz w:val="20"/>
            <w:szCs w:val="20"/>
          </w:rPr>
          <w:fldChar w:fldCharType="begin"/>
        </w:r>
        <w:r w:rsidRPr="007E313B">
          <w:rPr>
            <w:rFonts w:ascii="Times New Roman" w:hAnsi="Times New Roman" w:cs="Times New Roman"/>
            <w:sz w:val="20"/>
            <w:szCs w:val="20"/>
          </w:rPr>
          <w:instrText>PAGE   \* MERGEFORMAT</w:instrText>
        </w:r>
        <w:r w:rsidRPr="007E313B">
          <w:rPr>
            <w:rFonts w:ascii="Times New Roman" w:hAnsi="Times New Roman" w:cs="Times New Roman"/>
            <w:sz w:val="20"/>
            <w:szCs w:val="20"/>
          </w:rPr>
          <w:fldChar w:fldCharType="separate"/>
        </w:r>
        <w:r w:rsidRPr="007E313B">
          <w:rPr>
            <w:rFonts w:ascii="Times New Roman" w:hAnsi="Times New Roman" w:cs="Times New Roman"/>
            <w:sz w:val="20"/>
            <w:szCs w:val="20"/>
          </w:rPr>
          <w:t>2</w:t>
        </w:r>
        <w:r w:rsidRPr="007E313B">
          <w:rPr>
            <w:rFonts w:ascii="Times New Roman" w:hAnsi="Times New Roman" w:cs="Times New Roman"/>
            <w:sz w:val="20"/>
            <w:szCs w:val="20"/>
          </w:rPr>
          <w:fldChar w:fldCharType="end"/>
        </w:r>
      </w:p>
    </w:sdtContent>
  </w:sdt>
  <w:p w14:paraId="13BE6551" w14:textId="77777777" w:rsidR="007E313B" w:rsidRDefault="007E313B">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684CA0"/>
    <w:multiLevelType w:val="hybridMultilevel"/>
    <w:tmpl w:val="722A415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D2132E5"/>
    <w:multiLevelType w:val="hybridMultilevel"/>
    <w:tmpl w:val="A142EA8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20482E1B"/>
    <w:multiLevelType w:val="hybridMultilevel"/>
    <w:tmpl w:val="722A415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21E0709"/>
    <w:multiLevelType w:val="hybridMultilevel"/>
    <w:tmpl w:val="2722B304"/>
    <w:lvl w:ilvl="0" w:tplc="987A073C">
      <w:start w:val="8"/>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39663387"/>
    <w:multiLevelType w:val="hybridMultilevel"/>
    <w:tmpl w:val="FB22E6B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46DA5D8C"/>
    <w:multiLevelType w:val="multilevel"/>
    <w:tmpl w:val="440A85EA"/>
    <w:lvl w:ilvl="0">
      <w:start w:val="1"/>
      <w:numFmt w:val="decimal"/>
      <w:pStyle w:val="NAnodala"/>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51D7744B"/>
    <w:multiLevelType w:val="hybridMultilevel"/>
    <w:tmpl w:val="93D03CB4"/>
    <w:lvl w:ilvl="0" w:tplc="B72C8CD6">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53BB7D32"/>
    <w:multiLevelType w:val="multilevel"/>
    <w:tmpl w:val="12188A86"/>
    <w:lvl w:ilvl="0">
      <w:start w:val="1"/>
      <w:numFmt w:val="decimal"/>
      <w:pStyle w:val="NApunkts1"/>
      <w:suff w:val="space"/>
      <w:lvlText w:val="%1."/>
      <w:lvlJc w:val="left"/>
      <w:pPr>
        <w:ind w:left="1069" w:hanging="360"/>
      </w:pPr>
      <w:rPr>
        <w:rFonts w:hint="default"/>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7F0A048B"/>
    <w:multiLevelType w:val="multilevel"/>
    <w:tmpl w:val="1630B476"/>
    <w:lvl w:ilvl="0">
      <w:start w:val="89"/>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957129373">
    <w:abstractNumId w:val="7"/>
  </w:num>
  <w:num w:numId="2" w16cid:durableId="1545101033">
    <w:abstractNumId w:val="1"/>
  </w:num>
  <w:num w:numId="3" w16cid:durableId="646209490">
    <w:abstractNumId w:val="0"/>
  </w:num>
  <w:num w:numId="4" w16cid:durableId="178277031">
    <w:abstractNumId w:val="2"/>
  </w:num>
  <w:num w:numId="5" w16cid:durableId="744567316">
    <w:abstractNumId w:val="6"/>
  </w:num>
  <w:num w:numId="6" w16cid:durableId="1471748579">
    <w:abstractNumId w:val="3"/>
  </w:num>
  <w:num w:numId="7" w16cid:durableId="1719352116">
    <w:abstractNumId w:val="4"/>
  </w:num>
  <w:num w:numId="8" w16cid:durableId="1875461937">
    <w:abstractNumId w:val="5"/>
  </w:num>
  <w:num w:numId="9" w16cid:durableId="132693925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27BE"/>
    <w:rsid w:val="000263F5"/>
    <w:rsid w:val="00033C1A"/>
    <w:rsid w:val="00036379"/>
    <w:rsid w:val="0004229D"/>
    <w:rsid w:val="00042DA2"/>
    <w:rsid w:val="000466D4"/>
    <w:rsid w:val="00047AEC"/>
    <w:rsid w:val="000631C9"/>
    <w:rsid w:val="000801A7"/>
    <w:rsid w:val="00080852"/>
    <w:rsid w:val="0008510E"/>
    <w:rsid w:val="00090C91"/>
    <w:rsid w:val="00093F6A"/>
    <w:rsid w:val="0009616F"/>
    <w:rsid w:val="000A016D"/>
    <w:rsid w:val="000A4BCE"/>
    <w:rsid w:val="000B2941"/>
    <w:rsid w:val="000B4E0A"/>
    <w:rsid w:val="000C1F9B"/>
    <w:rsid w:val="000C29D8"/>
    <w:rsid w:val="000C6B17"/>
    <w:rsid w:val="000D5BC7"/>
    <w:rsid w:val="000D67FE"/>
    <w:rsid w:val="000E37A1"/>
    <w:rsid w:val="00102A07"/>
    <w:rsid w:val="001146E1"/>
    <w:rsid w:val="00115CFD"/>
    <w:rsid w:val="00123491"/>
    <w:rsid w:val="0012571E"/>
    <w:rsid w:val="001273B0"/>
    <w:rsid w:val="00127D1D"/>
    <w:rsid w:val="00132070"/>
    <w:rsid w:val="00133F6A"/>
    <w:rsid w:val="00143A48"/>
    <w:rsid w:val="00152102"/>
    <w:rsid w:val="00154FBB"/>
    <w:rsid w:val="001579BC"/>
    <w:rsid w:val="0016040C"/>
    <w:rsid w:val="00161B8F"/>
    <w:rsid w:val="0016245B"/>
    <w:rsid w:val="001657D4"/>
    <w:rsid w:val="00167F8B"/>
    <w:rsid w:val="00171330"/>
    <w:rsid w:val="001719D0"/>
    <w:rsid w:val="00175148"/>
    <w:rsid w:val="0018077D"/>
    <w:rsid w:val="00180E71"/>
    <w:rsid w:val="00181ED6"/>
    <w:rsid w:val="001A112D"/>
    <w:rsid w:val="001A5171"/>
    <w:rsid w:val="001A59B6"/>
    <w:rsid w:val="001B1059"/>
    <w:rsid w:val="001C1767"/>
    <w:rsid w:val="001C4054"/>
    <w:rsid w:val="001D00BB"/>
    <w:rsid w:val="001D5D29"/>
    <w:rsid w:val="001E02C5"/>
    <w:rsid w:val="001E0B00"/>
    <w:rsid w:val="001E7FB7"/>
    <w:rsid w:val="001F08E2"/>
    <w:rsid w:val="001F3DE1"/>
    <w:rsid w:val="001F437E"/>
    <w:rsid w:val="001F542E"/>
    <w:rsid w:val="001F6098"/>
    <w:rsid w:val="00201B59"/>
    <w:rsid w:val="002113D3"/>
    <w:rsid w:val="00227030"/>
    <w:rsid w:val="00231DF5"/>
    <w:rsid w:val="00234E6F"/>
    <w:rsid w:val="00235E50"/>
    <w:rsid w:val="00241EB9"/>
    <w:rsid w:val="002449C4"/>
    <w:rsid w:val="00252D00"/>
    <w:rsid w:val="002568D9"/>
    <w:rsid w:val="00256FD7"/>
    <w:rsid w:val="00260FDA"/>
    <w:rsid w:val="00263D29"/>
    <w:rsid w:val="00266246"/>
    <w:rsid w:val="002703B1"/>
    <w:rsid w:val="00282AB0"/>
    <w:rsid w:val="00291B96"/>
    <w:rsid w:val="0029352D"/>
    <w:rsid w:val="0029418A"/>
    <w:rsid w:val="00295784"/>
    <w:rsid w:val="002A03B2"/>
    <w:rsid w:val="002B29EC"/>
    <w:rsid w:val="002C11B0"/>
    <w:rsid w:val="002C1693"/>
    <w:rsid w:val="002C31BF"/>
    <w:rsid w:val="002C4548"/>
    <w:rsid w:val="002C576C"/>
    <w:rsid w:val="002D1C72"/>
    <w:rsid w:val="002D25BE"/>
    <w:rsid w:val="002E1BA7"/>
    <w:rsid w:val="002E2438"/>
    <w:rsid w:val="002E2E36"/>
    <w:rsid w:val="002F197B"/>
    <w:rsid w:val="002F2E2B"/>
    <w:rsid w:val="002F2F54"/>
    <w:rsid w:val="002F6D79"/>
    <w:rsid w:val="0030028C"/>
    <w:rsid w:val="0030374D"/>
    <w:rsid w:val="00305712"/>
    <w:rsid w:val="00307915"/>
    <w:rsid w:val="003140CC"/>
    <w:rsid w:val="0031640C"/>
    <w:rsid w:val="00317A94"/>
    <w:rsid w:val="00317E89"/>
    <w:rsid w:val="00322F19"/>
    <w:rsid w:val="0032495A"/>
    <w:rsid w:val="00326377"/>
    <w:rsid w:val="003269C0"/>
    <w:rsid w:val="003344C2"/>
    <w:rsid w:val="00335796"/>
    <w:rsid w:val="00344E18"/>
    <w:rsid w:val="00365394"/>
    <w:rsid w:val="003738CD"/>
    <w:rsid w:val="00380793"/>
    <w:rsid w:val="003849E4"/>
    <w:rsid w:val="00387C23"/>
    <w:rsid w:val="00391E46"/>
    <w:rsid w:val="0039593E"/>
    <w:rsid w:val="003A64A6"/>
    <w:rsid w:val="003A7AD9"/>
    <w:rsid w:val="003B1163"/>
    <w:rsid w:val="003B3A1F"/>
    <w:rsid w:val="003B481B"/>
    <w:rsid w:val="003B5DC2"/>
    <w:rsid w:val="003B6661"/>
    <w:rsid w:val="003B70D8"/>
    <w:rsid w:val="003B76C8"/>
    <w:rsid w:val="003C13A5"/>
    <w:rsid w:val="003D6323"/>
    <w:rsid w:val="003E22AF"/>
    <w:rsid w:val="003E57BA"/>
    <w:rsid w:val="003F0658"/>
    <w:rsid w:val="003F1E81"/>
    <w:rsid w:val="00402621"/>
    <w:rsid w:val="0040342E"/>
    <w:rsid w:val="00403DF9"/>
    <w:rsid w:val="004061C3"/>
    <w:rsid w:val="0042020F"/>
    <w:rsid w:val="00420EDF"/>
    <w:rsid w:val="00423A45"/>
    <w:rsid w:val="00425F55"/>
    <w:rsid w:val="00436FBF"/>
    <w:rsid w:val="004408E4"/>
    <w:rsid w:val="00444DAD"/>
    <w:rsid w:val="0045371F"/>
    <w:rsid w:val="004542D1"/>
    <w:rsid w:val="00480CA4"/>
    <w:rsid w:val="0049248A"/>
    <w:rsid w:val="004937A8"/>
    <w:rsid w:val="004A3FB2"/>
    <w:rsid w:val="004A50AA"/>
    <w:rsid w:val="004A70FE"/>
    <w:rsid w:val="004A712C"/>
    <w:rsid w:val="004B44CC"/>
    <w:rsid w:val="004C0BBE"/>
    <w:rsid w:val="004C1F75"/>
    <w:rsid w:val="004D0835"/>
    <w:rsid w:val="004F2B06"/>
    <w:rsid w:val="00503E9B"/>
    <w:rsid w:val="00525F2D"/>
    <w:rsid w:val="005317AC"/>
    <w:rsid w:val="00544247"/>
    <w:rsid w:val="00545274"/>
    <w:rsid w:val="00552E3D"/>
    <w:rsid w:val="00566D25"/>
    <w:rsid w:val="00571475"/>
    <w:rsid w:val="00571D19"/>
    <w:rsid w:val="00591B2E"/>
    <w:rsid w:val="00592D29"/>
    <w:rsid w:val="005A10BD"/>
    <w:rsid w:val="005A22ED"/>
    <w:rsid w:val="005A6324"/>
    <w:rsid w:val="005A6DD5"/>
    <w:rsid w:val="005B3E28"/>
    <w:rsid w:val="005C03CE"/>
    <w:rsid w:val="005C4C4F"/>
    <w:rsid w:val="005D0FA9"/>
    <w:rsid w:val="005D2FB7"/>
    <w:rsid w:val="005E7221"/>
    <w:rsid w:val="005F4BB6"/>
    <w:rsid w:val="0060016E"/>
    <w:rsid w:val="00601FBF"/>
    <w:rsid w:val="0060209B"/>
    <w:rsid w:val="00602328"/>
    <w:rsid w:val="00610613"/>
    <w:rsid w:val="00616771"/>
    <w:rsid w:val="00623C1F"/>
    <w:rsid w:val="00624273"/>
    <w:rsid w:val="00624E00"/>
    <w:rsid w:val="0063540F"/>
    <w:rsid w:val="00635858"/>
    <w:rsid w:val="00636ADB"/>
    <w:rsid w:val="00642172"/>
    <w:rsid w:val="00660DA1"/>
    <w:rsid w:val="00661E2C"/>
    <w:rsid w:val="0067277C"/>
    <w:rsid w:val="006768FF"/>
    <w:rsid w:val="00683090"/>
    <w:rsid w:val="006902F6"/>
    <w:rsid w:val="00693E55"/>
    <w:rsid w:val="00694040"/>
    <w:rsid w:val="006A034F"/>
    <w:rsid w:val="006A758D"/>
    <w:rsid w:val="006B649E"/>
    <w:rsid w:val="006C66B2"/>
    <w:rsid w:val="006E4275"/>
    <w:rsid w:val="006E473A"/>
    <w:rsid w:val="006E5C0D"/>
    <w:rsid w:val="006F5825"/>
    <w:rsid w:val="00703EFE"/>
    <w:rsid w:val="00705518"/>
    <w:rsid w:val="00705F8F"/>
    <w:rsid w:val="00707A53"/>
    <w:rsid w:val="007307F9"/>
    <w:rsid w:val="00743043"/>
    <w:rsid w:val="00744E78"/>
    <w:rsid w:val="007513D9"/>
    <w:rsid w:val="00751E0D"/>
    <w:rsid w:val="00752E4F"/>
    <w:rsid w:val="00754106"/>
    <w:rsid w:val="00756820"/>
    <w:rsid w:val="00762371"/>
    <w:rsid w:val="00764707"/>
    <w:rsid w:val="00764C22"/>
    <w:rsid w:val="007673E9"/>
    <w:rsid w:val="007751C0"/>
    <w:rsid w:val="0078144F"/>
    <w:rsid w:val="0078519E"/>
    <w:rsid w:val="007869CD"/>
    <w:rsid w:val="0078750C"/>
    <w:rsid w:val="00790CDB"/>
    <w:rsid w:val="007A4650"/>
    <w:rsid w:val="007A4C45"/>
    <w:rsid w:val="007A5977"/>
    <w:rsid w:val="007B61E6"/>
    <w:rsid w:val="007B749B"/>
    <w:rsid w:val="007E313B"/>
    <w:rsid w:val="007E6BCC"/>
    <w:rsid w:val="007F311C"/>
    <w:rsid w:val="007F5142"/>
    <w:rsid w:val="008021A8"/>
    <w:rsid w:val="008025B3"/>
    <w:rsid w:val="008043A7"/>
    <w:rsid w:val="0080675E"/>
    <w:rsid w:val="008129D3"/>
    <w:rsid w:val="00817AE7"/>
    <w:rsid w:val="0082339E"/>
    <w:rsid w:val="00824544"/>
    <w:rsid w:val="00825B65"/>
    <w:rsid w:val="00835788"/>
    <w:rsid w:val="00850330"/>
    <w:rsid w:val="00853BF5"/>
    <w:rsid w:val="00864718"/>
    <w:rsid w:val="00864BFD"/>
    <w:rsid w:val="008713CC"/>
    <w:rsid w:val="008949D9"/>
    <w:rsid w:val="00897247"/>
    <w:rsid w:val="008A0512"/>
    <w:rsid w:val="008A32C5"/>
    <w:rsid w:val="008A4DA2"/>
    <w:rsid w:val="008B34AB"/>
    <w:rsid w:val="008B5036"/>
    <w:rsid w:val="008C3B86"/>
    <w:rsid w:val="008D426F"/>
    <w:rsid w:val="008D52A1"/>
    <w:rsid w:val="008F3B27"/>
    <w:rsid w:val="008F557C"/>
    <w:rsid w:val="0090488B"/>
    <w:rsid w:val="00920269"/>
    <w:rsid w:val="00920831"/>
    <w:rsid w:val="00934912"/>
    <w:rsid w:val="00940A58"/>
    <w:rsid w:val="009468AB"/>
    <w:rsid w:val="00954471"/>
    <w:rsid w:val="00955F48"/>
    <w:rsid w:val="0096363F"/>
    <w:rsid w:val="0096538A"/>
    <w:rsid w:val="00982133"/>
    <w:rsid w:val="00997EDB"/>
    <w:rsid w:val="009B27BE"/>
    <w:rsid w:val="009B3CD5"/>
    <w:rsid w:val="009C5F66"/>
    <w:rsid w:val="009D69BC"/>
    <w:rsid w:val="009D7A7B"/>
    <w:rsid w:val="009E4059"/>
    <w:rsid w:val="009E4B7B"/>
    <w:rsid w:val="009E4C9E"/>
    <w:rsid w:val="009E7A48"/>
    <w:rsid w:val="009F1F08"/>
    <w:rsid w:val="009F23B8"/>
    <w:rsid w:val="009F6623"/>
    <w:rsid w:val="00A00C75"/>
    <w:rsid w:val="00A01616"/>
    <w:rsid w:val="00A0418B"/>
    <w:rsid w:val="00A069D9"/>
    <w:rsid w:val="00A06E74"/>
    <w:rsid w:val="00A074D4"/>
    <w:rsid w:val="00A14CBD"/>
    <w:rsid w:val="00A20F50"/>
    <w:rsid w:val="00A4167A"/>
    <w:rsid w:val="00A42788"/>
    <w:rsid w:val="00A4322B"/>
    <w:rsid w:val="00A44479"/>
    <w:rsid w:val="00A4498A"/>
    <w:rsid w:val="00A5501F"/>
    <w:rsid w:val="00A55FA4"/>
    <w:rsid w:val="00A76911"/>
    <w:rsid w:val="00A962D5"/>
    <w:rsid w:val="00A9668C"/>
    <w:rsid w:val="00A97009"/>
    <w:rsid w:val="00A97597"/>
    <w:rsid w:val="00AA28D9"/>
    <w:rsid w:val="00AA4B30"/>
    <w:rsid w:val="00AA7026"/>
    <w:rsid w:val="00AB6525"/>
    <w:rsid w:val="00AB7149"/>
    <w:rsid w:val="00AC557C"/>
    <w:rsid w:val="00AD2F73"/>
    <w:rsid w:val="00AD3699"/>
    <w:rsid w:val="00AE6A9B"/>
    <w:rsid w:val="00AF1DAB"/>
    <w:rsid w:val="00AF69C8"/>
    <w:rsid w:val="00B004F5"/>
    <w:rsid w:val="00B020EA"/>
    <w:rsid w:val="00B239A5"/>
    <w:rsid w:val="00B30C57"/>
    <w:rsid w:val="00B35953"/>
    <w:rsid w:val="00B44A02"/>
    <w:rsid w:val="00B46EEE"/>
    <w:rsid w:val="00B54162"/>
    <w:rsid w:val="00B61AAF"/>
    <w:rsid w:val="00B62244"/>
    <w:rsid w:val="00B678AB"/>
    <w:rsid w:val="00B72AB3"/>
    <w:rsid w:val="00B87141"/>
    <w:rsid w:val="00B95B99"/>
    <w:rsid w:val="00B95DAB"/>
    <w:rsid w:val="00BB4C05"/>
    <w:rsid w:val="00BB7921"/>
    <w:rsid w:val="00BC3421"/>
    <w:rsid w:val="00BC56B2"/>
    <w:rsid w:val="00BC7330"/>
    <w:rsid w:val="00BD1D1C"/>
    <w:rsid w:val="00BE5F45"/>
    <w:rsid w:val="00BF2DDD"/>
    <w:rsid w:val="00C06C11"/>
    <w:rsid w:val="00C17E71"/>
    <w:rsid w:val="00C36E87"/>
    <w:rsid w:val="00C6358A"/>
    <w:rsid w:val="00C6401B"/>
    <w:rsid w:val="00C66547"/>
    <w:rsid w:val="00C671C4"/>
    <w:rsid w:val="00C7393B"/>
    <w:rsid w:val="00C75F4E"/>
    <w:rsid w:val="00C827DE"/>
    <w:rsid w:val="00C84C66"/>
    <w:rsid w:val="00C85C34"/>
    <w:rsid w:val="00C9043F"/>
    <w:rsid w:val="00C93407"/>
    <w:rsid w:val="00C95E37"/>
    <w:rsid w:val="00CA0DE3"/>
    <w:rsid w:val="00CA28AB"/>
    <w:rsid w:val="00CB593C"/>
    <w:rsid w:val="00CC65D5"/>
    <w:rsid w:val="00CD0A4B"/>
    <w:rsid w:val="00CD34A0"/>
    <w:rsid w:val="00CD5E6C"/>
    <w:rsid w:val="00CE69E4"/>
    <w:rsid w:val="00CF545B"/>
    <w:rsid w:val="00CF7434"/>
    <w:rsid w:val="00D01434"/>
    <w:rsid w:val="00D0492A"/>
    <w:rsid w:val="00D06D2A"/>
    <w:rsid w:val="00D07C8C"/>
    <w:rsid w:val="00D13AD7"/>
    <w:rsid w:val="00D17D5D"/>
    <w:rsid w:val="00D20D91"/>
    <w:rsid w:val="00D22CF9"/>
    <w:rsid w:val="00D23B1C"/>
    <w:rsid w:val="00D40059"/>
    <w:rsid w:val="00D40E90"/>
    <w:rsid w:val="00D42E13"/>
    <w:rsid w:val="00D43CC1"/>
    <w:rsid w:val="00D44669"/>
    <w:rsid w:val="00D528CD"/>
    <w:rsid w:val="00D573EE"/>
    <w:rsid w:val="00D616B2"/>
    <w:rsid w:val="00D61F91"/>
    <w:rsid w:val="00D63F50"/>
    <w:rsid w:val="00D73E39"/>
    <w:rsid w:val="00D74C68"/>
    <w:rsid w:val="00D86689"/>
    <w:rsid w:val="00D86D89"/>
    <w:rsid w:val="00D94AFC"/>
    <w:rsid w:val="00DA1216"/>
    <w:rsid w:val="00DB52FB"/>
    <w:rsid w:val="00DC0685"/>
    <w:rsid w:val="00DC3803"/>
    <w:rsid w:val="00DD127D"/>
    <w:rsid w:val="00DD236B"/>
    <w:rsid w:val="00DD2BC1"/>
    <w:rsid w:val="00DD5A6C"/>
    <w:rsid w:val="00DD691A"/>
    <w:rsid w:val="00DD709E"/>
    <w:rsid w:val="00DE160C"/>
    <w:rsid w:val="00DF47BF"/>
    <w:rsid w:val="00DF6CB8"/>
    <w:rsid w:val="00E04474"/>
    <w:rsid w:val="00E14A2F"/>
    <w:rsid w:val="00E16983"/>
    <w:rsid w:val="00E21700"/>
    <w:rsid w:val="00E253DA"/>
    <w:rsid w:val="00E34FAA"/>
    <w:rsid w:val="00E368BD"/>
    <w:rsid w:val="00E4384A"/>
    <w:rsid w:val="00E44FC8"/>
    <w:rsid w:val="00E45822"/>
    <w:rsid w:val="00E53DE9"/>
    <w:rsid w:val="00E60064"/>
    <w:rsid w:val="00E652AF"/>
    <w:rsid w:val="00E72275"/>
    <w:rsid w:val="00E86BF3"/>
    <w:rsid w:val="00EA2E98"/>
    <w:rsid w:val="00EA48A6"/>
    <w:rsid w:val="00EA4F3F"/>
    <w:rsid w:val="00EB15B8"/>
    <w:rsid w:val="00EB261C"/>
    <w:rsid w:val="00EB3E06"/>
    <w:rsid w:val="00EC2BFA"/>
    <w:rsid w:val="00ED320C"/>
    <w:rsid w:val="00ED536D"/>
    <w:rsid w:val="00EE6B29"/>
    <w:rsid w:val="00EF1BFD"/>
    <w:rsid w:val="00EF248B"/>
    <w:rsid w:val="00EF2DA3"/>
    <w:rsid w:val="00EF330D"/>
    <w:rsid w:val="00F03930"/>
    <w:rsid w:val="00F03DA8"/>
    <w:rsid w:val="00F03E2B"/>
    <w:rsid w:val="00F05A53"/>
    <w:rsid w:val="00F06FBC"/>
    <w:rsid w:val="00F113C8"/>
    <w:rsid w:val="00F17178"/>
    <w:rsid w:val="00F24139"/>
    <w:rsid w:val="00F32652"/>
    <w:rsid w:val="00F45843"/>
    <w:rsid w:val="00F506D9"/>
    <w:rsid w:val="00F54D6D"/>
    <w:rsid w:val="00F55F98"/>
    <w:rsid w:val="00F62FF9"/>
    <w:rsid w:val="00F6335E"/>
    <w:rsid w:val="00F65AFC"/>
    <w:rsid w:val="00F65FF0"/>
    <w:rsid w:val="00F66E2B"/>
    <w:rsid w:val="00F6708C"/>
    <w:rsid w:val="00F92437"/>
    <w:rsid w:val="00FA2CF4"/>
    <w:rsid w:val="00FA4B91"/>
    <w:rsid w:val="00FA623C"/>
    <w:rsid w:val="00FA706B"/>
    <w:rsid w:val="00FA74AB"/>
    <w:rsid w:val="00FB14E6"/>
    <w:rsid w:val="00FB4E27"/>
    <w:rsid w:val="00FC1016"/>
    <w:rsid w:val="00FC3F4E"/>
    <w:rsid w:val="00FD3529"/>
    <w:rsid w:val="00FE50F4"/>
    <w:rsid w:val="6AF99C1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EB3A48"/>
  <w15:chartTrackingRefBased/>
  <w15:docId w15:val="{DC318F0F-5FD4-416D-B1E8-94CDD398F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C827DE"/>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Vresteksts">
    <w:name w:val="footnote text"/>
    <w:basedOn w:val="Parasts"/>
    <w:link w:val="VrestekstsRakstz"/>
    <w:uiPriority w:val="99"/>
    <w:semiHidden/>
    <w:unhideWhenUsed/>
    <w:rsid w:val="009D69BC"/>
    <w:pPr>
      <w:spacing w:after="0" w:line="240" w:lineRule="auto"/>
    </w:pPr>
    <w:rPr>
      <w:sz w:val="20"/>
      <w:szCs w:val="20"/>
    </w:rPr>
  </w:style>
  <w:style w:type="character" w:customStyle="1" w:styleId="VrestekstsRakstz">
    <w:name w:val="Vēres teksts Rakstz."/>
    <w:basedOn w:val="Noklusjumarindkopasfonts"/>
    <w:link w:val="Vresteksts"/>
    <w:uiPriority w:val="99"/>
    <w:semiHidden/>
    <w:rsid w:val="009D69BC"/>
    <w:rPr>
      <w:sz w:val="20"/>
      <w:szCs w:val="20"/>
    </w:rPr>
  </w:style>
  <w:style w:type="character" w:styleId="Vresatsauce">
    <w:name w:val="footnote reference"/>
    <w:basedOn w:val="Noklusjumarindkopasfonts"/>
    <w:uiPriority w:val="99"/>
    <w:semiHidden/>
    <w:unhideWhenUsed/>
    <w:rsid w:val="009D69BC"/>
    <w:rPr>
      <w:vertAlign w:val="superscript"/>
    </w:rPr>
  </w:style>
  <w:style w:type="paragraph" w:styleId="Galvene">
    <w:name w:val="header"/>
    <w:basedOn w:val="Parasts"/>
    <w:link w:val="GalveneRakstz"/>
    <w:uiPriority w:val="99"/>
    <w:unhideWhenUsed/>
    <w:rsid w:val="007E313B"/>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7E313B"/>
  </w:style>
  <w:style w:type="paragraph" w:styleId="Kjene">
    <w:name w:val="footer"/>
    <w:basedOn w:val="Parasts"/>
    <w:link w:val="KjeneRakstz"/>
    <w:uiPriority w:val="99"/>
    <w:unhideWhenUsed/>
    <w:rsid w:val="007E313B"/>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7E313B"/>
  </w:style>
  <w:style w:type="paragraph" w:styleId="Prskatjums">
    <w:name w:val="Revision"/>
    <w:hidden/>
    <w:uiPriority w:val="99"/>
    <w:semiHidden/>
    <w:rsid w:val="004A70FE"/>
    <w:pPr>
      <w:spacing w:after="0" w:line="240" w:lineRule="auto"/>
    </w:pPr>
  </w:style>
  <w:style w:type="character" w:styleId="Komentraatsauce">
    <w:name w:val="annotation reference"/>
    <w:basedOn w:val="Noklusjumarindkopasfonts"/>
    <w:uiPriority w:val="99"/>
    <w:semiHidden/>
    <w:unhideWhenUsed/>
    <w:rsid w:val="004A70FE"/>
    <w:rPr>
      <w:sz w:val="16"/>
      <w:szCs w:val="16"/>
    </w:rPr>
  </w:style>
  <w:style w:type="paragraph" w:styleId="Komentrateksts">
    <w:name w:val="annotation text"/>
    <w:basedOn w:val="Parasts"/>
    <w:link w:val="KomentratekstsRakstz"/>
    <w:uiPriority w:val="99"/>
    <w:unhideWhenUsed/>
    <w:rsid w:val="004A70FE"/>
    <w:pPr>
      <w:spacing w:line="240" w:lineRule="auto"/>
    </w:pPr>
    <w:rPr>
      <w:sz w:val="20"/>
      <w:szCs w:val="20"/>
    </w:rPr>
  </w:style>
  <w:style w:type="character" w:customStyle="1" w:styleId="KomentratekstsRakstz">
    <w:name w:val="Komentāra teksts Rakstz."/>
    <w:basedOn w:val="Noklusjumarindkopasfonts"/>
    <w:link w:val="Komentrateksts"/>
    <w:uiPriority w:val="99"/>
    <w:rsid w:val="004A70FE"/>
    <w:rPr>
      <w:sz w:val="20"/>
      <w:szCs w:val="20"/>
    </w:rPr>
  </w:style>
  <w:style w:type="paragraph" w:styleId="Komentratma">
    <w:name w:val="annotation subject"/>
    <w:basedOn w:val="Komentrateksts"/>
    <w:next w:val="Komentrateksts"/>
    <w:link w:val="KomentratmaRakstz"/>
    <w:uiPriority w:val="99"/>
    <w:semiHidden/>
    <w:unhideWhenUsed/>
    <w:rsid w:val="004A70FE"/>
    <w:rPr>
      <w:b/>
      <w:bCs/>
    </w:rPr>
  </w:style>
  <w:style w:type="character" w:customStyle="1" w:styleId="KomentratmaRakstz">
    <w:name w:val="Komentāra tēma Rakstz."/>
    <w:basedOn w:val="KomentratekstsRakstz"/>
    <w:link w:val="Komentratma"/>
    <w:uiPriority w:val="99"/>
    <w:semiHidden/>
    <w:rsid w:val="004A70FE"/>
    <w:rPr>
      <w:b/>
      <w:bCs/>
      <w:sz w:val="20"/>
      <w:szCs w:val="20"/>
    </w:rPr>
  </w:style>
  <w:style w:type="character" w:styleId="Hipersaite">
    <w:name w:val="Hyperlink"/>
    <w:basedOn w:val="Noklusjumarindkopasfonts"/>
    <w:uiPriority w:val="99"/>
    <w:unhideWhenUsed/>
    <w:rsid w:val="000C29D8"/>
    <w:rPr>
      <w:color w:val="0563C1" w:themeColor="hyperlink"/>
      <w:u w:val="single"/>
    </w:rPr>
  </w:style>
  <w:style w:type="character" w:styleId="Neatrisintapieminana">
    <w:name w:val="Unresolved Mention"/>
    <w:basedOn w:val="Noklusjumarindkopasfonts"/>
    <w:uiPriority w:val="99"/>
    <w:semiHidden/>
    <w:unhideWhenUsed/>
    <w:rsid w:val="000C29D8"/>
    <w:rPr>
      <w:color w:val="605E5C"/>
      <w:shd w:val="clear" w:color="auto" w:fill="E1DFDD"/>
    </w:rPr>
  </w:style>
  <w:style w:type="paragraph" w:customStyle="1" w:styleId="NApunkts1">
    <w:name w:val="NA punkts 1"/>
    <w:basedOn w:val="Parasts"/>
    <w:link w:val="NApunkts1Rakstz"/>
    <w:qFormat/>
    <w:rsid w:val="0029352D"/>
    <w:pPr>
      <w:numPr>
        <w:numId w:val="1"/>
      </w:numPr>
      <w:spacing w:before="240" w:after="0" w:line="240" w:lineRule="auto"/>
      <w:ind w:left="0" w:firstLine="0"/>
      <w:jc w:val="both"/>
      <w:outlineLvl w:val="0"/>
    </w:pPr>
    <w:rPr>
      <w:rFonts w:ascii="Times New Roman" w:eastAsia="Times New Roman" w:hAnsi="Times New Roman" w:cs="Times New Roman"/>
      <w:sz w:val="24"/>
      <w:szCs w:val="24"/>
      <w:lang w:eastAsia="lv-LV"/>
    </w:rPr>
  </w:style>
  <w:style w:type="character" w:customStyle="1" w:styleId="NApunkts1Rakstz">
    <w:name w:val="NA punkts 1 Rakstz."/>
    <w:basedOn w:val="Noklusjumarindkopasfonts"/>
    <w:link w:val="NApunkts1"/>
    <w:rsid w:val="0029352D"/>
    <w:rPr>
      <w:rFonts w:ascii="Times New Roman" w:eastAsia="Times New Roman" w:hAnsi="Times New Roman" w:cs="Times New Roman"/>
      <w:sz w:val="24"/>
      <w:szCs w:val="24"/>
      <w:lang w:eastAsia="lv-LV"/>
    </w:rPr>
  </w:style>
  <w:style w:type="paragraph" w:customStyle="1" w:styleId="NApunkts2">
    <w:name w:val="NA punkts 2"/>
    <w:basedOn w:val="Parasts"/>
    <w:qFormat/>
    <w:rsid w:val="0029352D"/>
    <w:pPr>
      <w:keepLines/>
      <w:numPr>
        <w:ilvl w:val="1"/>
        <w:numId w:val="1"/>
      </w:numPr>
      <w:spacing w:after="0" w:line="240" w:lineRule="auto"/>
      <w:jc w:val="both"/>
      <w:outlineLvl w:val="1"/>
    </w:pPr>
    <w:rPr>
      <w:rFonts w:ascii="Times New Roman" w:eastAsia="Times New Roman" w:hAnsi="Times New Roman" w:cs="Times New Roman"/>
      <w:sz w:val="24"/>
      <w:szCs w:val="24"/>
      <w:lang w:eastAsia="lv-LV"/>
    </w:rPr>
  </w:style>
  <w:style w:type="paragraph" w:customStyle="1" w:styleId="NApunkts3">
    <w:name w:val="NA punkts 3"/>
    <w:basedOn w:val="Parasts"/>
    <w:qFormat/>
    <w:rsid w:val="0029352D"/>
    <w:pPr>
      <w:keepLines/>
      <w:numPr>
        <w:ilvl w:val="2"/>
        <w:numId w:val="1"/>
      </w:numPr>
      <w:spacing w:after="0" w:line="240" w:lineRule="auto"/>
      <w:jc w:val="both"/>
      <w:outlineLvl w:val="2"/>
    </w:pPr>
    <w:rPr>
      <w:rFonts w:ascii="Times New Roman" w:eastAsia="Times New Roman" w:hAnsi="Times New Roman" w:cs="Times New Roman"/>
      <w:sz w:val="24"/>
      <w:szCs w:val="24"/>
      <w:lang w:eastAsia="lv-LV"/>
    </w:rPr>
  </w:style>
  <w:style w:type="paragraph" w:customStyle="1" w:styleId="NApunkts4">
    <w:name w:val="NA punkts 4"/>
    <w:basedOn w:val="Parasts"/>
    <w:qFormat/>
    <w:rsid w:val="0029352D"/>
    <w:pPr>
      <w:keepLines/>
      <w:numPr>
        <w:ilvl w:val="3"/>
        <w:numId w:val="1"/>
      </w:numPr>
      <w:spacing w:after="0" w:line="240" w:lineRule="auto"/>
      <w:jc w:val="both"/>
      <w:outlineLvl w:val="3"/>
    </w:pPr>
    <w:rPr>
      <w:rFonts w:ascii="Times New Roman" w:eastAsia="Times New Roman" w:hAnsi="Times New Roman" w:cs="Times New Roman"/>
      <w:sz w:val="24"/>
      <w:szCs w:val="24"/>
      <w:lang w:eastAsia="lv-LV"/>
    </w:rPr>
  </w:style>
  <w:style w:type="character" w:styleId="Vietturateksts">
    <w:name w:val="Placeholder Text"/>
    <w:basedOn w:val="Noklusjumarindkopasfonts"/>
    <w:uiPriority w:val="99"/>
    <w:semiHidden/>
    <w:rsid w:val="0029352D"/>
    <w:rPr>
      <w:color w:val="808080"/>
    </w:rPr>
  </w:style>
  <w:style w:type="paragraph" w:styleId="Sarakstarindkopa">
    <w:name w:val="List Paragraph"/>
    <w:basedOn w:val="Parasts"/>
    <w:uiPriority w:val="34"/>
    <w:qFormat/>
    <w:rsid w:val="0067277C"/>
    <w:pPr>
      <w:ind w:left="720"/>
      <w:contextualSpacing/>
    </w:pPr>
  </w:style>
  <w:style w:type="table" w:customStyle="1" w:styleId="Reatabula1">
    <w:name w:val="Režģa tabula1"/>
    <w:basedOn w:val="Parastatabula"/>
    <w:next w:val="Reatabula"/>
    <w:uiPriority w:val="39"/>
    <w:rsid w:val="005A22ED"/>
    <w:pPr>
      <w:spacing w:after="0" w:line="240" w:lineRule="auto"/>
    </w:pPr>
    <w:rPr>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eatabula">
    <w:name w:val="Table Grid"/>
    <w:basedOn w:val="Parastatabula"/>
    <w:uiPriority w:val="39"/>
    <w:rsid w:val="005A22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parag">
    <w:name w:val="no-parag"/>
    <w:basedOn w:val="Noklusjumarindkopasfonts"/>
    <w:rsid w:val="00A55FA4"/>
  </w:style>
  <w:style w:type="paragraph" w:customStyle="1" w:styleId="norm">
    <w:name w:val="norm"/>
    <w:basedOn w:val="Parasts"/>
    <w:rsid w:val="00A55FA4"/>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Saraksts1">
    <w:name w:val="Saraksts1"/>
    <w:basedOn w:val="Parasts"/>
    <w:rsid w:val="00A55FA4"/>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Paraststmeklis">
    <w:name w:val="Normal (Web)"/>
    <w:basedOn w:val="Parasts"/>
    <w:uiPriority w:val="99"/>
    <w:unhideWhenUsed/>
    <w:rsid w:val="00E21700"/>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styleId="Izmantotahipersaite">
    <w:name w:val="FollowedHyperlink"/>
    <w:basedOn w:val="Noklusjumarindkopasfonts"/>
    <w:uiPriority w:val="99"/>
    <w:semiHidden/>
    <w:unhideWhenUsed/>
    <w:rsid w:val="00AA4B30"/>
    <w:rPr>
      <w:color w:val="954F72" w:themeColor="followedHyperlink"/>
      <w:u w:val="single"/>
    </w:rPr>
  </w:style>
  <w:style w:type="paragraph" w:customStyle="1" w:styleId="NAnodala">
    <w:name w:val="NA nodala"/>
    <w:basedOn w:val="Parasts"/>
    <w:next w:val="NApunkts1"/>
    <w:autoRedefine/>
    <w:qFormat/>
    <w:rsid w:val="009E4059"/>
    <w:pPr>
      <w:keepNext/>
      <w:keepLines/>
      <w:numPr>
        <w:numId w:val="8"/>
      </w:numPr>
      <w:spacing w:before="240" w:after="0" w:line="240" w:lineRule="auto"/>
      <w:outlineLvl w:val="0"/>
    </w:pPr>
    <w:rPr>
      <w:rFonts w:ascii="Times New Roman" w:eastAsia="Times New Roman" w:hAnsi="Times New Roman" w:cs="Times New Roman"/>
      <w:b/>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495284">
      <w:bodyDiv w:val="1"/>
      <w:marLeft w:val="0"/>
      <w:marRight w:val="0"/>
      <w:marTop w:val="0"/>
      <w:marBottom w:val="0"/>
      <w:divBdr>
        <w:top w:val="none" w:sz="0" w:space="0" w:color="auto"/>
        <w:left w:val="none" w:sz="0" w:space="0" w:color="auto"/>
        <w:bottom w:val="none" w:sz="0" w:space="0" w:color="auto"/>
        <w:right w:val="none" w:sz="0" w:space="0" w:color="auto"/>
      </w:divBdr>
    </w:div>
    <w:div w:id="1566989831">
      <w:bodyDiv w:val="1"/>
      <w:marLeft w:val="0"/>
      <w:marRight w:val="0"/>
      <w:marTop w:val="0"/>
      <w:marBottom w:val="0"/>
      <w:divBdr>
        <w:top w:val="none" w:sz="0" w:space="0" w:color="auto"/>
        <w:left w:val="none" w:sz="0" w:space="0" w:color="auto"/>
        <w:bottom w:val="none" w:sz="0" w:space="0" w:color="auto"/>
        <w:right w:val="none" w:sz="0" w:space="0" w:color="auto"/>
      </w:divBdr>
    </w:div>
    <w:div w:id="1859854467">
      <w:bodyDiv w:val="1"/>
      <w:marLeft w:val="0"/>
      <w:marRight w:val="0"/>
      <w:marTop w:val="0"/>
      <w:marBottom w:val="0"/>
      <w:divBdr>
        <w:top w:val="none" w:sz="0" w:space="0" w:color="auto"/>
        <w:left w:val="none" w:sz="0" w:space="0" w:color="auto"/>
        <w:bottom w:val="none" w:sz="0" w:space="0" w:color="auto"/>
        <w:right w:val="none" w:sz="0" w:space="0" w:color="auto"/>
      </w:divBdr>
      <w:divsChild>
        <w:div w:id="2088257858">
          <w:marLeft w:val="0"/>
          <w:marRight w:val="0"/>
          <w:marTop w:val="0"/>
          <w:marBottom w:val="0"/>
          <w:divBdr>
            <w:top w:val="none" w:sz="0" w:space="0" w:color="auto"/>
            <w:left w:val="none" w:sz="0" w:space="0" w:color="auto"/>
            <w:bottom w:val="none" w:sz="0" w:space="0" w:color="auto"/>
            <w:right w:val="none" w:sz="0" w:space="0" w:color="auto"/>
          </w:divBdr>
          <w:divsChild>
            <w:div w:id="855734974">
              <w:marLeft w:val="0"/>
              <w:marRight w:val="0"/>
              <w:marTop w:val="0"/>
              <w:marBottom w:val="0"/>
              <w:divBdr>
                <w:top w:val="none" w:sz="0" w:space="0" w:color="auto"/>
                <w:left w:val="none" w:sz="0" w:space="0" w:color="auto"/>
                <w:bottom w:val="none" w:sz="0" w:space="0" w:color="auto"/>
                <w:right w:val="none" w:sz="0" w:space="0" w:color="auto"/>
              </w:divBdr>
            </w:div>
          </w:divsChild>
        </w:div>
        <w:div w:id="79302490">
          <w:marLeft w:val="0"/>
          <w:marRight w:val="0"/>
          <w:marTop w:val="0"/>
          <w:marBottom w:val="0"/>
          <w:divBdr>
            <w:top w:val="none" w:sz="0" w:space="0" w:color="auto"/>
            <w:left w:val="none" w:sz="0" w:space="0" w:color="auto"/>
            <w:bottom w:val="none" w:sz="0" w:space="0" w:color="auto"/>
            <w:right w:val="none" w:sz="0" w:space="0" w:color="auto"/>
          </w:divBdr>
          <w:divsChild>
            <w:div w:id="64189326">
              <w:marLeft w:val="0"/>
              <w:marRight w:val="0"/>
              <w:marTop w:val="120"/>
              <w:marBottom w:val="0"/>
              <w:divBdr>
                <w:top w:val="none" w:sz="0" w:space="0" w:color="auto"/>
                <w:left w:val="none" w:sz="0" w:space="0" w:color="auto"/>
                <w:bottom w:val="none" w:sz="0" w:space="0" w:color="auto"/>
                <w:right w:val="none" w:sz="0" w:space="0" w:color="auto"/>
              </w:divBdr>
            </w:div>
            <w:div w:id="728502940">
              <w:marLeft w:val="0"/>
              <w:marRight w:val="0"/>
              <w:marTop w:val="0"/>
              <w:marBottom w:val="0"/>
              <w:divBdr>
                <w:top w:val="none" w:sz="0" w:space="0" w:color="auto"/>
                <w:left w:val="none" w:sz="0" w:space="0" w:color="auto"/>
                <w:bottom w:val="none" w:sz="0" w:space="0" w:color="auto"/>
                <w:right w:val="none" w:sz="0" w:space="0" w:color="auto"/>
              </w:divBdr>
            </w:div>
          </w:divsChild>
        </w:div>
        <w:div w:id="2043624996">
          <w:marLeft w:val="0"/>
          <w:marRight w:val="0"/>
          <w:marTop w:val="0"/>
          <w:marBottom w:val="0"/>
          <w:divBdr>
            <w:top w:val="none" w:sz="0" w:space="0" w:color="auto"/>
            <w:left w:val="none" w:sz="0" w:space="0" w:color="auto"/>
            <w:bottom w:val="none" w:sz="0" w:space="0" w:color="auto"/>
            <w:right w:val="none" w:sz="0" w:space="0" w:color="auto"/>
          </w:divBdr>
          <w:divsChild>
            <w:div w:id="1937790301">
              <w:marLeft w:val="0"/>
              <w:marRight w:val="0"/>
              <w:marTop w:val="120"/>
              <w:marBottom w:val="0"/>
              <w:divBdr>
                <w:top w:val="none" w:sz="0" w:space="0" w:color="auto"/>
                <w:left w:val="none" w:sz="0" w:space="0" w:color="auto"/>
                <w:bottom w:val="none" w:sz="0" w:space="0" w:color="auto"/>
                <w:right w:val="none" w:sz="0" w:space="0" w:color="auto"/>
              </w:divBdr>
            </w:div>
            <w:div w:id="1674062594">
              <w:marLeft w:val="0"/>
              <w:marRight w:val="0"/>
              <w:marTop w:val="0"/>
              <w:marBottom w:val="0"/>
              <w:divBdr>
                <w:top w:val="none" w:sz="0" w:space="0" w:color="auto"/>
                <w:left w:val="none" w:sz="0" w:space="0" w:color="auto"/>
                <w:bottom w:val="none" w:sz="0" w:space="0" w:color="auto"/>
                <w:right w:val="none" w:sz="0" w:space="0" w:color="auto"/>
              </w:divBdr>
            </w:div>
          </w:divsChild>
        </w:div>
        <w:div w:id="1110471351">
          <w:marLeft w:val="0"/>
          <w:marRight w:val="0"/>
          <w:marTop w:val="0"/>
          <w:marBottom w:val="0"/>
          <w:divBdr>
            <w:top w:val="none" w:sz="0" w:space="0" w:color="auto"/>
            <w:left w:val="none" w:sz="0" w:space="0" w:color="auto"/>
            <w:bottom w:val="none" w:sz="0" w:space="0" w:color="auto"/>
            <w:right w:val="none" w:sz="0" w:space="0" w:color="auto"/>
          </w:divBdr>
          <w:divsChild>
            <w:div w:id="313678214">
              <w:marLeft w:val="0"/>
              <w:marRight w:val="0"/>
              <w:marTop w:val="120"/>
              <w:marBottom w:val="0"/>
              <w:divBdr>
                <w:top w:val="none" w:sz="0" w:space="0" w:color="auto"/>
                <w:left w:val="none" w:sz="0" w:space="0" w:color="auto"/>
                <w:bottom w:val="none" w:sz="0" w:space="0" w:color="auto"/>
                <w:right w:val="none" w:sz="0" w:space="0" w:color="auto"/>
              </w:divBdr>
            </w:div>
            <w:div w:id="2056003281">
              <w:marLeft w:val="0"/>
              <w:marRight w:val="0"/>
              <w:marTop w:val="0"/>
              <w:marBottom w:val="0"/>
              <w:divBdr>
                <w:top w:val="none" w:sz="0" w:space="0" w:color="auto"/>
                <w:left w:val="none" w:sz="0" w:space="0" w:color="auto"/>
                <w:bottom w:val="none" w:sz="0" w:space="0" w:color="auto"/>
                <w:right w:val="none" w:sz="0" w:space="0" w:color="auto"/>
              </w:divBdr>
            </w:div>
          </w:divsChild>
        </w:div>
        <w:div w:id="1562641728">
          <w:marLeft w:val="0"/>
          <w:marRight w:val="0"/>
          <w:marTop w:val="0"/>
          <w:marBottom w:val="0"/>
          <w:divBdr>
            <w:top w:val="none" w:sz="0" w:space="0" w:color="auto"/>
            <w:left w:val="none" w:sz="0" w:space="0" w:color="auto"/>
            <w:bottom w:val="none" w:sz="0" w:space="0" w:color="auto"/>
            <w:right w:val="none" w:sz="0" w:space="0" w:color="auto"/>
          </w:divBdr>
          <w:divsChild>
            <w:div w:id="47457101">
              <w:marLeft w:val="0"/>
              <w:marRight w:val="0"/>
              <w:marTop w:val="120"/>
              <w:marBottom w:val="0"/>
              <w:divBdr>
                <w:top w:val="none" w:sz="0" w:space="0" w:color="auto"/>
                <w:left w:val="none" w:sz="0" w:space="0" w:color="auto"/>
                <w:bottom w:val="none" w:sz="0" w:space="0" w:color="auto"/>
                <w:right w:val="none" w:sz="0" w:space="0" w:color="auto"/>
              </w:divBdr>
            </w:div>
            <w:div w:id="1376781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nk.lv" TargetMode="External"/><Relationship Id="rId18" Type="http://schemas.openxmlformats.org/officeDocument/2006/relationships/hyperlink" Target="https://www.eba.europa.eu/sites/default/files/document_library/Publications/Guidelines/2022/EBA-GL-2022-06%20GL%20on%20remuneration%20CRD/Translations/1042358/GL%20on%20remuneration%20and%20pay%20gap%20benchmarking%20under%20CRD%20%28EBA%20GL%202022%2006%29_LV_COR.pdf"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bank.lv/darbibas-jomas/uzraudziba/kreditiestazu-uzraudziba/parbauzu-rezultati-un-laba-prakse/par-dazadibas-praksi-kreditiestades-valde-un-padome" TargetMode="External"/><Relationship Id="rId17" Type="http://schemas.openxmlformats.org/officeDocument/2006/relationships/hyperlink" Target="https://www.bank.lv" TargetMode="External"/><Relationship Id="rId2" Type="http://schemas.openxmlformats.org/officeDocument/2006/relationships/customXml" Target="../customXml/item2.xml"/><Relationship Id="rId16" Type="http://schemas.openxmlformats.org/officeDocument/2006/relationships/hyperlink" Target="https://www.bank.lv/ta/sabiedribas-lidzdaliba?page=1&amp;act-state=1"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ai.lv/lv/standarti" TargetMode="External"/><Relationship Id="rId5" Type="http://schemas.openxmlformats.org/officeDocument/2006/relationships/numbering" Target="numbering.xml"/><Relationship Id="rId15" Type="http://schemas.openxmlformats.org/officeDocument/2006/relationships/hyperlink" Target="http://www.bank.lv"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C93B20695F34D039CA36F89A6BEC935"/>
        <w:category>
          <w:name w:val="Vispārīgi"/>
          <w:gallery w:val="placeholder"/>
        </w:category>
        <w:types>
          <w:type w:val="bbPlcHdr"/>
        </w:types>
        <w:behaviors>
          <w:behavior w:val="content"/>
        </w:behaviors>
        <w:guid w:val="{FF88F8DD-ED10-43C1-AE4A-CAA6E5EBBD76}"/>
      </w:docPartPr>
      <w:docPartBody>
        <w:p w:rsidR="005A7F1E" w:rsidRDefault="00F64D0B" w:rsidP="00F64D0B">
          <w:pPr>
            <w:pStyle w:val="BC93B20695F34D039CA36F89A6BEC935"/>
          </w:pPr>
          <w:r w:rsidRPr="00F5647B">
            <w:rPr>
              <w:rStyle w:val="Vietturateksts"/>
              <w:b/>
              <w:szCs w:val="24"/>
            </w:rPr>
            <w:t>[Nosaukums]</w:t>
          </w:r>
        </w:p>
      </w:docPartBody>
    </w:docPart>
    <w:docPart>
      <w:docPartPr>
        <w:name w:val="87F944113B08400AB6090685BCD38B96"/>
        <w:category>
          <w:name w:val="Vispārīgi"/>
          <w:gallery w:val="placeholder"/>
        </w:category>
        <w:types>
          <w:type w:val="bbPlcHdr"/>
        </w:types>
        <w:behaviors>
          <w:behavior w:val="content"/>
        </w:behaviors>
        <w:guid w:val="{64E8189F-41D9-4DD3-B710-AB453CAAF500}"/>
      </w:docPartPr>
      <w:docPartBody>
        <w:p w:rsidR="00FC6E5F" w:rsidRDefault="00FC6E5F" w:rsidP="00FC6E5F">
          <w:pPr>
            <w:pStyle w:val="87F944113B08400AB6090685BCD38B96"/>
          </w:pPr>
          <w:r w:rsidRPr="00F75F63">
            <w:rPr>
              <w:rStyle w:val="Vietturateksts"/>
              <w:b/>
              <w:color w:val="808080" w:themeColor="background1" w:themeShade="80"/>
            </w:rPr>
            <w:t>[Nosaukums]</w:t>
          </w:r>
        </w:p>
      </w:docPartBody>
    </w:docPart>
    <w:docPart>
      <w:docPartPr>
        <w:name w:val="3F578B4115E243AB8B4AC83644DEC575"/>
        <w:category>
          <w:name w:val="Vispārīgi"/>
          <w:gallery w:val="placeholder"/>
        </w:category>
        <w:types>
          <w:type w:val="bbPlcHdr"/>
        </w:types>
        <w:behaviors>
          <w:behavior w:val="content"/>
        </w:behaviors>
        <w:guid w:val="{98A24527-4871-4EEB-85DC-2C0DC286EB88}"/>
      </w:docPartPr>
      <w:docPartBody>
        <w:p w:rsidR="00FC6E5F" w:rsidRDefault="00FC6E5F" w:rsidP="00FC6E5F">
          <w:pPr>
            <w:pStyle w:val="3F578B4115E243AB8B4AC83644DEC575"/>
          </w:pPr>
          <w:r>
            <w:rPr>
              <w:rStyle w:val="Vietturateksts"/>
              <w:b/>
              <w:color w:val="808080" w:themeColor="background1" w:themeShade="80"/>
            </w:rPr>
            <w:t>[Nosaukums]</w:t>
          </w:r>
        </w:p>
      </w:docPartBody>
    </w:docPart>
    <w:docPart>
      <w:docPartPr>
        <w:name w:val="D7F05EDFF2D14C9BBF7D37B125BBE077"/>
        <w:category>
          <w:name w:val="Vispārīgi"/>
          <w:gallery w:val="placeholder"/>
        </w:category>
        <w:types>
          <w:type w:val="bbPlcHdr"/>
        </w:types>
        <w:behaviors>
          <w:behavior w:val="content"/>
        </w:behaviors>
        <w:guid w:val="{C27F945B-1304-4DF3-8C29-E0A4DE1EBBC4}"/>
      </w:docPartPr>
      <w:docPartBody>
        <w:p w:rsidR="00FC6E5F" w:rsidRDefault="00FC6E5F" w:rsidP="00FC6E5F">
          <w:pPr>
            <w:pStyle w:val="D7F05EDFF2D14C9BBF7D37B125BBE077"/>
          </w:pPr>
          <w:r>
            <w:rPr>
              <w:rStyle w:val="Vietturateksts"/>
              <w:b/>
              <w:color w:val="808080" w:themeColor="background1" w:themeShade="80"/>
            </w:rPr>
            <w:t>[Nosaukums]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4D0B"/>
    <w:rsid w:val="00090447"/>
    <w:rsid w:val="00102A07"/>
    <w:rsid w:val="001E7FB7"/>
    <w:rsid w:val="001F542E"/>
    <w:rsid w:val="002113D3"/>
    <w:rsid w:val="00241EB9"/>
    <w:rsid w:val="00260FDA"/>
    <w:rsid w:val="00291B96"/>
    <w:rsid w:val="0029418A"/>
    <w:rsid w:val="002C31BF"/>
    <w:rsid w:val="002F7172"/>
    <w:rsid w:val="00305712"/>
    <w:rsid w:val="00344E18"/>
    <w:rsid w:val="003B5DC2"/>
    <w:rsid w:val="005A7F1E"/>
    <w:rsid w:val="00602328"/>
    <w:rsid w:val="00610613"/>
    <w:rsid w:val="006768FF"/>
    <w:rsid w:val="006902F6"/>
    <w:rsid w:val="00752E4F"/>
    <w:rsid w:val="0080675E"/>
    <w:rsid w:val="00824544"/>
    <w:rsid w:val="008B5036"/>
    <w:rsid w:val="008D3A83"/>
    <w:rsid w:val="00940A58"/>
    <w:rsid w:val="0096363F"/>
    <w:rsid w:val="00A13526"/>
    <w:rsid w:val="00A659F2"/>
    <w:rsid w:val="00A76911"/>
    <w:rsid w:val="00A962D5"/>
    <w:rsid w:val="00AA7026"/>
    <w:rsid w:val="00AD2F73"/>
    <w:rsid w:val="00AD3699"/>
    <w:rsid w:val="00BC7330"/>
    <w:rsid w:val="00C143D7"/>
    <w:rsid w:val="00C9043F"/>
    <w:rsid w:val="00CF545B"/>
    <w:rsid w:val="00D06D2A"/>
    <w:rsid w:val="00D4428F"/>
    <w:rsid w:val="00D528CD"/>
    <w:rsid w:val="00DD127D"/>
    <w:rsid w:val="00DF6CB8"/>
    <w:rsid w:val="00EB15B8"/>
    <w:rsid w:val="00F17178"/>
    <w:rsid w:val="00F55F98"/>
    <w:rsid w:val="00F64D0B"/>
    <w:rsid w:val="00F66E2B"/>
    <w:rsid w:val="00FC6E5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Vietturateksts">
    <w:name w:val="Placeholder Text"/>
    <w:basedOn w:val="Noklusjumarindkopasfonts"/>
    <w:uiPriority w:val="99"/>
    <w:semiHidden/>
    <w:rsid w:val="00FC6E5F"/>
    <w:rPr>
      <w:color w:val="808080"/>
    </w:rPr>
  </w:style>
  <w:style w:type="paragraph" w:customStyle="1" w:styleId="BC93B20695F34D039CA36F89A6BEC935">
    <w:name w:val="BC93B20695F34D039CA36F89A6BEC935"/>
    <w:rsid w:val="00F64D0B"/>
  </w:style>
  <w:style w:type="paragraph" w:customStyle="1" w:styleId="87F944113B08400AB6090685BCD38B96">
    <w:name w:val="87F944113B08400AB6090685BCD38B96"/>
    <w:rsid w:val="00FC6E5F"/>
    <w:pPr>
      <w:spacing w:line="278" w:lineRule="auto"/>
    </w:pPr>
    <w:rPr>
      <w:kern w:val="2"/>
      <w:sz w:val="24"/>
      <w:szCs w:val="24"/>
      <w14:ligatures w14:val="standardContextual"/>
    </w:rPr>
  </w:style>
  <w:style w:type="paragraph" w:customStyle="1" w:styleId="3F578B4115E243AB8B4AC83644DEC575">
    <w:name w:val="3F578B4115E243AB8B4AC83644DEC575"/>
    <w:rsid w:val="00FC6E5F"/>
    <w:pPr>
      <w:spacing w:line="278" w:lineRule="auto"/>
    </w:pPr>
    <w:rPr>
      <w:kern w:val="2"/>
      <w:sz w:val="24"/>
      <w:szCs w:val="24"/>
      <w14:ligatures w14:val="standardContextual"/>
    </w:rPr>
  </w:style>
  <w:style w:type="paragraph" w:customStyle="1" w:styleId="D7F05EDFF2D14C9BBF7D37B125BBE077">
    <w:name w:val="D7F05EDFF2D14C9BBF7D37B125BBE077"/>
    <w:rsid w:val="00FC6E5F"/>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s" ma:contentTypeID="0x0101007FD6D19EF50DD84A8D36B5F3E08A0BD6" ma:contentTypeVersion="2" ma:contentTypeDescription="Izveidot jaunu dokumentu." ma:contentTypeScope="" ma:versionID="ef2be2e9ce5af37e45b91ed0e4faeaf6">
  <xsd:schema xmlns:xsd="http://www.w3.org/2001/XMLSchema" xmlns:xs="http://www.w3.org/2001/XMLSchema" xmlns:p="http://schemas.microsoft.com/office/2006/metadata/properties" xmlns:ns2="c3839d33-06ee-4ec5-9ac8-a0b133b69dac" targetNamespace="http://schemas.microsoft.com/office/2006/metadata/properties" ma:root="true" ma:fieldsID="b79f93171441047500386356e1b253c6" ns2:_="">
    <xsd:import namespace="c3839d33-06ee-4ec5-9ac8-a0b133b69da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839d33-06ee-4ec5-9ac8-a0b133b69d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DF1749C-DC95-4F12-8C92-9DD9664146A8}">
  <ds:schemaRefs>
    <ds:schemaRef ds:uri="http://schemas.openxmlformats.org/officeDocument/2006/bibliography"/>
  </ds:schemaRefs>
</ds:datastoreItem>
</file>

<file path=customXml/itemProps2.xml><?xml version="1.0" encoding="utf-8"?>
<ds:datastoreItem xmlns:ds="http://schemas.openxmlformats.org/officeDocument/2006/customXml" ds:itemID="{733FDE6C-1D96-4A7F-9FF9-7CF8B6B5150F}">
  <ds:schemaRefs>
    <ds:schemaRef ds:uri="http://schemas.microsoft.com/sharepoint/v3/contenttype/forms"/>
  </ds:schemaRefs>
</ds:datastoreItem>
</file>

<file path=customXml/itemProps3.xml><?xml version="1.0" encoding="utf-8"?>
<ds:datastoreItem xmlns:ds="http://schemas.openxmlformats.org/officeDocument/2006/customXml" ds:itemID="{C01C99D6-2FD2-4688-BCF2-664E8B28AE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839d33-06ee-4ec5-9ac8-a0b133b69d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34247B7-3B87-4931-915D-C38A786B500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1918</TotalTime>
  <Pages>24</Pages>
  <Words>34323</Words>
  <Characters>19565</Characters>
  <Application>Microsoft Office Word</Application>
  <DocSecurity>0</DocSecurity>
  <Lines>163</Lines>
  <Paragraphs>107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Ingūna Zvane</cp:lastModifiedBy>
  <cp:revision>15</cp:revision>
  <cp:lastPrinted>2024-08-22T14:08:00Z</cp:lastPrinted>
  <dcterms:created xsi:type="dcterms:W3CDTF">2024-10-17T08:20:00Z</dcterms:created>
  <dcterms:modified xsi:type="dcterms:W3CDTF">2024-10-31T14:00:00Z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0x0101007FD6D19EF50DD84A8D36B5F3E08A0BD6</vt:lpwstr>
  </property>
</Properties>
</file>