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20D989" w14:textId="39B7BC1E" w:rsidR="0057360C" w:rsidRDefault="0057360C" w:rsidP="0057360C">
      <w:pPr>
        <w:spacing w:after="0" w:line="240" w:lineRule="auto"/>
        <w:jc w:val="center"/>
        <w:rPr>
          <w:rFonts w:ascii="Times New Roman" w:hAnsi="Times New Roman" w:cs="Times New Roman"/>
          <w:b/>
          <w:bCs/>
          <w:sz w:val="24"/>
          <w:szCs w:val="24"/>
        </w:rPr>
      </w:pPr>
      <w:r w:rsidRPr="00CA28AB">
        <w:rPr>
          <w:rFonts w:ascii="Times New Roman" w:hAnsi="Times New Roman" w:cs="Times New Roman"/>
          <w:b/>
          <w:bCs/>
          <w:sz w:val="24"/>
          <w:szCs w:val="24"/>
        </w:rPr>
        <w:t xml:space="preserve">Latvijas Bankas noteikumu projekta </w:t>
      </w:r>
      <w:r>
        <w:rPr>
          <w:rFonts w:ascii="Times New Roman" w:hAnsi="Times New Roman" w:cs="Times New Roman"/>
          <w:b/>
          <w:bCs/>
          <w:sz w:val="24"/>
          <w:szCs w:val="24"/>
        </w:rPr>
        <w:t>"</w:t>
      </w:r>
      <w:r w:rsidR="00AF035B" w:rsidRPr="006A7E24">
        <w:rPr>
          <w:rFonts w:ascii="Times New Roman" w:hAnsi="Times New Roman" w:cs="Times New Roman"/>
          <w:b/>
          <w:bCs/>
          <w:sz w:val="24"/>
          <w:szCs w:val="24"/>
        </w:rPr>
        <w:t>Pensiju izmaksu prognožu informācijas sniegšanas noteikumi</w:t>
      </w:r>
      <w:r>
        <w:rPr>
          <w:rFonts w:ascii="Times New Roman" w:hAnsi="Times New Roman" w:cs="Times New Roman"/>
          <w:b/>
          <w:bCs/>
          <w:sz w:val="24"/>
          <w:szCs w:val="24"/>
        </w:rPr>
        <w:t>"</w:t>
      </w:r>
      <w:r w:rsidRPr="00C23668">
        <w:rPr>
          <w:rFonts w:ascii="Times New Roman" w:hAnsi="Times New Roman" w:cs="Times New Roman"/>
          <w:b/>
          <w:bCs/>
          <w:sz w:val="24"/>
          <w:szCs w:val="24"/>
        </w:rPr>
        <w:t xml:space="preserve"> </w:t>
      </w:r>
      <w:r w:rsidRPr="00CA28AB">
        <w:rPr>
          <w:rFonts w:ascii="Times New Roman" w:hAnsi="Times New Roman" w:cs="Times New Roman"/>
          <w:b/>
          <w:bCs/>
          <w:sz w:val="24"/>
          <w:szCs w:val="24"/>
        </w:rPr>
        <w:t>anotācija</w:t>
      </w:r>
    </w:p>
    <w:p w14:paraId="1253CC0B" w14:textId="77777777" w:rsidR="00190DDF" w:rsidRPr="00CA28AB" w:rsidRDefault="00190DDF" w:rsidP="0057360C">
      <w:pPr>
        <w:spacing w:after="0" w:line="240" w:lineRule="auto"/>
        <w:jc w:val="center"/>
        <w:rPr>
          <w:rFonts w:ascii="Times New Roman" w:hAnsi="Times New Roman" w:cs="Times New Roman"/>
          <w:b/>
          <w:bCs/>
          <w:sz w:val="24"/>
          <w:szCs w:val="24"/>
        </w:rPr>
      </w:pPr>
    </w:p>
    <w:tbl>
      <w:tblPr>
        <w:tblStyle w:val="TableGrid"/>
        <w:tblW w:w="8359" w:type="dxa"/>
        <w:tblLook w:val="04A0" w:firstRow="1" w:lastRow="0" w:firstColumn="1" w:lastColumn="0" w:noHBand="0" w:noVBand="1"/>
      </w:tblPr>
      <w:tblGrid>
        <w:gridCol w:w="1980"/>
        <w:gridCol w:w="6379"/>
      </w:tblGrid>
      <w:tr w:rsidR="00E02C21" w:rsidRPr="007B1360" w14:paraId="2AC98F6A" w14:textId="77777777" w:rsidTr="009B620B">
        <w:tc>
          <w:tcPr>
            <w:tcW w:w="1980" w:type="dxa"/>
          </w:tcPr>
          <w:p w14:paraId="68548ECA" w14:textId="5D13C2FE" w:rsidR="004D7D20" w:rsidRPr="007B1360" w:rsidRDefault="004D7D20"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Nosaukums</w:t>
            </w:r>
          </w:p>
        </w:tc>
        <w:tc>
          <w:tcPr>
            <w:tcW w:w="6379" w:type="dxa"/>
          </w:tcPr>
          <w:p w14:paraId="0EF6BD51" w14:textId="6D0956F3" w:rsidR="004D7D20" w:rsidRPr="008305DC" w:rsidRDefault="003118D1" w:rsidP="00C22386">
            <w:pPr>
              <w:spacing w:after="120"/>
              <w:jc w:val="both"/>
              <w:rPr>
                <w:rFonts w:ascii="Times New Roman" w:hAnsi="Times New Roman" w:cs="Times New Roman"/>
                <w:sz w:val="24"/>
                <w:szCs w:val="24"/>
              </w:rPr>
            </w:pPr>
            <w:r w:rsidRPr="003118D1">
              <w:rPr>
                <w:rFonts w:ascii="Times New Roman" w:hAnsi="Times New Roman" w:cs="Times New Roman"/>
                <w:sz w:val="24"/>
                <w:szCs w:val="24"/>
              </w:rPr>
              <w:t>Pensiju izmaksu prognožu informācijas sniegšanas noteikumi</w:t>
            </w:r>
          </w:p>
        </w:tc>
      </w:tr>
      <w:tr w:rsidR="00A61684" w:rsidRPr="007B1360" w14:paraId="02230D17" w14:textId="77777777" w:rsidTr="009B620B">
        <w:tc>
          <w:tcPr>
            <w:tcW w:w="1980" w:type="dxa"/>
          </w:tcPr>
          <w:p w14:paraId="118F97D3" w14:textId="47F841DE" w:rsidR="004D7D20" w:rsidRPr="007B1360" w:rsidRDefault="004D7D20"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Dokumenta veids</w:t>
            </w:r>
          </w:p>
        </w:tc>
        <w:tc>
          <w:tcPr>
            <w:tcW w:w="6379" w:type="dxa"/>
          </w:tcPr>
          <w:p w14:paraId="4CC0239D" w14:textId="710EA1F9" w:rsidR="004D7D20" w:rsidRPr="007B1360" w:rsidRDefault="00952874" w:rsidP="00C22386">
            <w:pPr>
              <w:spacing w:after="120"/>
              <w:jc w:val="both"/>
              <w:rPr>
                <w:rFonts w:ascii="Times New Roman" w:hAnsi="Times New Roman" w:cs="Times New Roman"/>
                <w:sz w:val="24"/>
                <w:szCs w:val="24"/>
              </w:rPr>
            </w:pPr>
            <w:r w:rsidRPr="007B1360">
              <w:rPr>
                <w:rFonts w:ascii="Times New Roman" w:hAnsi="Times New Roman" w:cs="Times New Roman"/>
                <w:sz w:val="24"/>
                <w:szCs w:val="24"/>
              </w:rPr>
              <w:t>Latvijas Bankas noteikumi</w:t>
            </w:r>
          </w:p>
        </w:tc>
      </w:tr>
      <w:tr w:rsidR="00A61684" w:rsidRPr="007B1360" w14:paraId="1E36ACC8" w14:textId="77777777" w:rsidTr="009B620B">
        <w:tc>
          <w:tcPr>
            <w:tcW w:w="1980" w:type="dxa"/>
          </w:tcPr>
          <w:p w14:paraId="15B9D0AC" w14:textId="168434E5" w:rsidR="004D7D20" w:rsidRPr="007B1360" w:rsidRDefault="004D7D20"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Izdošanas pamatojums</w:t>
            </w:r>
          </w:p>
        </w:tc>
        <w:tc>
          <w:tcPr>
            <w:tcW w:w="6379" w:type="dxa"/>
          </w:tcPr>
          <w:p w14:paraId="14871B80" w14:textId="532810CC" w:rsidR="007E1BB5" w:rsidRPr="007B1360" w:rsidRDefault="003118D1" w:rsidP="00C22386">
            <w:pPr>
              <w:spacing w:after="120"/>
              <w:jc w:val="both"/>
              <w:rPr>
                <w:rFonts w:ascii="Times New Roman" w:hAnsi="Times New Roman" w:cs="Times New Roman"/>
                <w:sz w:val="24"/>
                <w:szCs w:val="24"/>
              </w:rPr>
            </w:pPr>
            <w:r>
              <w:rPr>
                <w:rFonts w:ascii="Times New Roman" w:eastAsia="Times New Roman" w:hAnsi="Times New Roman" w:cs="Times New Roman"/>
                <w:sz w:val="24"/>
                <w:szCs w:val="24"/>
                <w:lang w:eastAsia="lv-LV"/>
              </w:rPr>
              <w:t>Privāto pensiju fondu likuma 34. panta ceturtā daļa</w:t>
            </w:r>
          </w:p>
        </w:tc>
      </w:tr>
      <w:tr w:rsidR="00A61684" w:rsidRPr="007B1360" w14:paraId="46DB522F" w14:textId="77777777" w:rsidTr="009B620B">
        <w:tc>
          <w:tcPr>
            <w:tcW w:w="1980" w:type="dxa"/>
          </w:tcPr>
          <w:p w14:paraId="2B8F0582" w14:textId="51CB8878" w:rsidR="008D0C81" w:rsidRPr="007B1360" w:rsidRDefault="009E6A95" w:rsidP="00ED3376">
            <w:pPr>
              <w:jc w:val="both"/>
              <w:rPr>
                <w:rFonts w:ascii="Times New Roman" w:hAnsi="Times New Roman" w:cs="Times New Roman"/>
                <w:b/>
                <w:bCs/>
                <w:sz w:val="24"/>
                <w:szCs w:val="24"/>
              </w:rPr>
            </w:pPr>
            <w:r w:rsidRPr="007B1360">
              <w:rPr>
                <w:rFonts w:ascii="Times New Roman" w:hAnsi="Times New Roman" w:cs="Times New Roman"/>
                <w:b/>
                <w:bCs/>
                <w:sz w:val="24"/>
                <w:szCs w:val="24"/>
              </w:rPr>
              <w:t>Mērķis un būtība</w:t>
            </w:r>
          </w:p>
        </w:tc>
        <w:tc>
          <w:tcPr>
            <w:tcW w:w="6379" w:type="dxa"/>
          </w:tcPr>
          <w:p w14:paraId="35E33843" w14:textId="6048FC7E" w:rsidR="003118D1" w:rsidRPr="003118D1" w:rsidRDefault="003118D1" w:rsidP="003118D1">
            <w:pPr>
              <w:spacing w:after="120"/>
              <w:jc w:val="both"/>
              <w:rPr>
                <w:rFonts w:ascii="Times New Roman" w:hAnsi="Times New Roman" w:cs="Times New Roman"/>
                <w:sz w:val="24"/>
                <w:szCs w:val="24"/>
              </w:rPr>
            </w:pPr>
            <w:r w:rsidRPr="003118D1">
              <w:rPr>
                <w:rFonts w:ascii="Times New Roman" w:hAnsi="Times New Roman" w:cs="Times New Roman"/>
                <w:sz w:val="24"/>
                <w:szCs w:val="24"/>
              </w:rPr>
              <w:t>Noteikumu projekta "Pensiju izmaksu prognožu informācijas sniegšanas noteikumi" (turpmāk</w:t>
            </w:r>
            <w:r w:rsidR="0091059E">
              <w:rPr>
                <w:rFonts w:ascii="Times New Roman" w:hAnsi="Times New Roman" w:cs="Times New Roman"/>
                <w:sz w:val="24"/>
                <w:szCs w:val="24"/>
              </w:rPr>
              <w:t> </w:t>
            </w:r>
            <w:r w:rsidRPr="003118D1">
              <w:rPr>
                <w:rFonts w:ascii="Times New Roman" w:hAnsi="Times New Roman" w:cs="Times New Roman"/>
                <w:sz w:val="24"/>
                <w:szCs w:val="24"/>
              </w:rPr>
              <w:t>– noteikumu projekts) mērķis ir izpildīt Privāto pensiju fondu likuma 34.</w:t>
            </w:r>
            <w:r w:rsidR="0091059E">
              <w:rPr>
                <w:rFonts w:ascii="Times New Roman" w:hAnsi="Times New Roman" w:cs="Times New Roman"/>
                <w:sz w:val="24"/>
                <w:szCs w:val="24"/>
              </w:rPr>
              <w:t> </w:t>
            </w:r>
            <w:r w:rsidRPr="003118D1">
              <w:rPr>
                <w:rFonts w:ascii="Times New Roman" w:hAnsi="Times New Roman" w:cs="Times New Roman"/>
                <w:sz w:val="24"/>
                <w:szCs w:val="24"/>
              </w:rPr>
              <w:t>panta ceturtajā daļā Latvijas Bankai deleģēto pienākumu finanšu tirgus uzraudzības jomā, detalizētāk regulējot pārskatā par papildpensiju iekļaujamo informāciju par pensiju izmaksu prognozēm.</w:t>
            </w:r>
          </w:p>
          <w:p w14:paraId="68F2398E" w14:textId="05FB233C" w:rsidR="003118D1" w:rsidRPr="003118D1" w:rsidRDefault="003118D1" w:rsidP="003118D1">
            <w:pPr>
              <w:spacing w:after="120"/>
              <w:jc w:val="both"/>
              <w:rPr>
                <w:rFonts w:ascii="Times New Roman" w:hAnsi="Times New Roman" w:cs="Times New Roman"/>
                <w:sz w:val="24"/>
                <w:szCs w:val="24"/>
              </w:rPr>
            </w:pPr>
            <w:r w:rsidRPr="003118D1">
              <w:rPr>
                <w:rFonts w:ascii="Times New Roman" w:hAnsi="Times New Roman" w:cs="Times New Roman"/>
                <w:sz w:val="24"/>
                <w:szCs w:val="24"/>
              </w:rPr>
              <w:t>Pašreiz minētā mērķa sasniegšanu nodrošina Finanšu un kapitāla tirgus komisijas 2021.</w:t>
            </w:r>
            <w:r w:rsidR="0091059E">
              <w:rPr>
                <w:rFonts w:ascii="Times New Roman" w:hAnsi="Times New Roman" w:cs="Times New Roman"/>
                <w:sz w:val="24"/>
                <w:szCs w:val="24"/>
              </w:rPr>
              <w:t> </w:t>
            </w:r>
            <w:r w:rsidRPr="003118D1">
              <w:rPr>
                <w:rFonts w:ascii="Times New Roman" w:hAnsi="Times New Roman" w:cs="Times New Roman"/>
                <w:sz w:val="24"/>
                <w:szCs w:val="24"/>
              </w:rPr>
              <w:t>gada 28.</w:t>
            </w:r>
            <w:r w:rsidR="0091059E">
              <w:rPr>
                <w:rFonts w:ascii="Times New Roman" w:hAnsi="Times New Roman" w:cs="Times New Roman"/>
                <w:sz w:val="24"/>
                <w:szCs w:val="24"/>
              </w:rPr>
              <w:t> </w:t>
            </w:r>
            <w:r w:rsidRPr="003118D1">
              <w:rPr>
                <w:rFonts w:ascii="Times New Roman" w:hAnsi="Times New Roman" w:cs="Times New Roman"/>
                <w:sz w:val="24"/>
                <w:szCs w:val="24"/>
              </w:rPr>
              <w:t>decembra normatīvie noteikumi Nr.</w:t>
            </w:r>
            <w:r w:rsidR="0091059E">
              <w:rPr>
                <w:rFonts w:ascii="Times New Roman" w:hAnsi="Times New Roman" w:cs="Times New Roman"/>
                <w:sz w:val="24"/>
                <w:szCs w:val="24"/>
              </w:rPr>
              <w:t> </w:t>
            </w:r>
            <w:r w:rsidRPr="003118D1">
              <w:rPr>
                <w:rFonts w:ascii="Times New Roman" w:hAnsi="Times New Roman" w:cs="Times New Roman"/>
                <w:sz w:val="24"/>
                <w:szCs w:val="24"/>
              </w:rPr>
              <w:t>177 "Normatīvie noteikumi par kārtību, kādā privātais pensiju fonds pārskatā par papildpensiju sagatavo informāciju par pensiju izmaksu prognozēm" (turpmāk</w:t>
            </w:r>
            <w:r w:rsidR="0091059E">
              <w:rPr>
                <w:rFonts w:ascii="Times New Roman" w:hAnsi="Times New Roman" w:cs="Times New Roman"/>
                <w:sz w:val="24"/>
                <w:szCs w:val="24"/>
              </w:rPr>
              <w:t> </w:t>
            </w:r>
            <w:r w:rsidRPr="003118D1">
              <w:rPr>
                <w:rFonts w:ascii="Times New Roman" w:hAnsi="Times New Roman" w:cs="Times New Roman"/>
                <w:sz w:val="24"/>
                <w:szCs w:val="24"/>
              </w:rPr>
              <w:t>– noteikumi Nr.</w:t>
            </w:r>
            <w:r w:rsidR="0091059E">
              <w:rPr>
                <w:rFonts w:ascii="Times New Roman" w:hAnsi="Times New Roman" w:cs="Times New Roman"/>
                <w:sz w:val="24"/>
                <w:szCs w:val="24"/>
              </w:rPr>
              <w:t> </w:t>
            </w:r>
            <w:r w:rsidRPr="003118D1">
              <w:rPr>
                <w:rFonts w:ascii="Times New Roman" w:hAnsi="Times New Roman" w:cs="Times New Roman"/>
                <w:sz w:val="24"/>
                <w:szCs w:val="24"/>
              </w:rPr>
              <w:t>177), taču saskaņā ar Latvijas Bankas likuma pārejas noteikumu 3.</w:t>
            </w:r>
            <w:r w:rsidR="0091059E">
              <w:rPr>
                <w:rFonts w:ascii="Times New Roman" w:hAnsi="Times New Roman" w:cs="Times New Roman"/>
                <w:sz w:val="24"/>
                <w:szCs w:val="24"/>
              </w:rPr>
              <w:t> </w:t>
            </w:r>
            <w:r w:rsidRPr="003118D1">
              <w:rPr>
                <w:rFonts w:ascii="Times New Roman" w:hAnsi="Times New Roman" w:cs="Times New Roman"/>
                <w:sz w:val="24"/>
                <w:szCs w:val="24"/>
              </w:rPr>
              <w:t>punktu Finanšu un kapitāla tirgus komisijas līdz 2022.</w:t>
            </w:r>
            <w:r w:rsidR="0091059E">
              <w:rPr>
                <w:rFonts w:ascii="Times New Roman" w:hAnsi="Times New Roman" w:cs="Times New Roman"/>
                <w:sz w:val="24"/>
                <w:szCs w:val="24"/>
              </w:rPr>
              <w:t> </w:t>
            </w:r>
            <w:r w:rsidRPr="003118D1">
              <w:rPr>
                <w:rFonts w:ascii="Times New Roman" w:hAnsi="Times New Roman" w:cs="Times New Roman"/>
                <w:sz w:val="24"/>
                <w:szCs w:val="24"/>
              </w:rPr>
              <w:t>gada 31.</w:t>
            </w:r>
            <w:r w:rsidR="0091059E">
              <w:rPr>
                <w:rFonts w:ascii="Times New Roman" w:hAnsi="Times New Roman" w:cs="Times New Roman"/>
                <w:sz w:val="24"/>
                <w:szCs w:val="24"/>
              </w:rPr>
              <w:t> </w:t>
            </w:r>
            <w:r w:rsidRPr="003118D1">
              <w:rPr>
                <w:rFonts w:ascii="Times New Roman" w:hAnsi="Times New Roman" w:cs="Times New Roman"/>
                <w:sz w:val="24"/>
                <w:szCs w:val="24"/>
              </w:rPr>
              <w:t>decembrim izdotie ārējie normatīvie akti piemērojami līdz dienai, kad stājas spēkā attiecīgie Latvijas Bankas ārējie normatīvie akti, bet ne ilgāk kā līdz 2024.</w:t>
            </w:r>
            <w:r w:rsidR="0091059E">
              <w:rPr>
                <w:rFonts w:ascii="Times New Roman" w:hAnsi="Times New Roman" w:cs="Times New Roman"/>
                <w:sz w:val="24"/>
                <w:szCs w:val="24"/>
              </w:rPr>
              <w:t> </w:t>
            </w:r>
            <w:r w:rsidRPr="003118D1">
              <w:rPr>
                <w:rFonts w:ascii="Times New Roman" w:hAnsi="Times New Roman" w:cs="Times New Roman"/>
                <w:sz w:val="24"/>
                <w:szCs w:val="24"/>
              </w:rPr>
              <w:t>gada 31.</w:t>
            </w:r>
            <w:r w:rsidR="0091059E">
              <w:rPr>
                <w:rFonts w:ascii="Times New Roman" w:hAnsi="Times New Roman" w:cs="Times New Roman"/>
                <w:sz w:val="24"/>
                <w:szCs w:val="24"/>
              </w:rPr>
              <w:t> </w:t>
            </w:r>
            <w:r w:rsidRPr="003118D1">
              <w:rPr>
                <w:rFonts w:ascii="Times New Roman" w:hAnsi="Times New Roman" w:cs="Times New Roman"/>
                <w:sz w:val="24"/>
                <w:szCs w:val="24"/>
              </w:rPr>
              <w:t>decembrim.</w:t>
            </w:r>
          </w:p>
          <w:p w14:paraId="2F96E6E9" w14:textId="643560BA" w:rsidR="003118D1" w:rsidRPr="003118D1" w:rsidRDefault="003118D1" w:rsidP="003118D1">
            <w:pPr>
              <w:spacing w:after="120"/>
              <w:jc w:val="both"/>
              <w:rPr>
                <w:rFonts w:ascii="Times New Roman" w:hAnsi="Times New Roman" w:cs="Times New Roman"/>
                <w:sz w:val="24"/>
                <w:szCs w:val="24"/>
              </w:rPr>
            </w:pPr>
            <w:r w:rsidRPr="003118D1">
              <w:rPr>
                <w:rFonts w:ascii="Times New Roman" w:hAnsi="Times New Roman" w:cs="Times New Roman"/>
                <w:sz w:val="24"/>
                <w:szCs w:val="24"/>
              </w:rPr>
              <w:t>Ņemot vērā minēto, Latvijas Banka ir izstrādājusi noteikumu projektu, kas aizstās pašlaik spēkā esošos noteikumus Nr.</w:t>
            </w:r>
            <w:r w:rsidR="0091059E">
              <w:rPr>
                <w:rFonts w:ascii="Times New Roman" w:hAnsi="Times New Roman" w:cs="Times New Roman"/>
                <w:sz w:val="24"/>
                <w:szCs w:val="24"/>
              </w:rPr>
              <w:t> </w:t>
            </w:r>
            <w:r w:rsidRPr="003118D1">
              <w:rPr>
                <w:rFonts w:ascii="Times New Roman" w:hAnsi="Times New Roman" w:cs="Times New Roman"/>
                <w:sz w:val="24"/>
                <w:szCs w:val="24"/>
              </w:rPr>
              <w:t>177.</w:t>
            </w:r>
          </w:p>
          <w:p w14:paraId="4B2548D1" w14:textId="1843E9CB" w:rsidR="003118D1" w:rsidRPr="003118D1" w:rsidRDefault="003118D1" w:rsidP="003118D1">
            <w:pPr>
              <w:spacing w:after="120"/>
              <w:jc w:val="both"/>
              <w:rPr>
                <w:rFonts w:ascii="Times New Roman" w:hAnsi="Times New Roman" w:cs="Times New Roman"/>
                <w:sz w:val="24"/>
                <w:szCs w:val="24"/>
              </w:rPr>
            </w:pPr>
            <w:r w:rsidRPr="003118D1">
              <w:rPr>
                <w:rFonts w:ascii="Times New Roman" w:hAnsi="Times New Roman" w:cs="Times New Roman"/>
                <w:sz w:val="24"/>
                <w:szCs w:val="24"/>
              </w:rPr>
              <w:t>Noteikumu projekts satur būtiskas izmaiņas, salīdzinot ar noteikumiem Nr.</w:t>
            </w:r>
            <w:r w:rsidR="0091059E">
              <w:rPr>
                <w:rFonts w:ascii="Times New Roman" w:hAnsi="Times New Roman" w:cs="Times New Roman"/>
                <w:sz w:val="24"/>
                <w:szCs w:val="24"/>
              </w:rPr>
              <w:t> </w:t>
            </w:r>
            <w:r w:rsidRPr="003118D1">
              <w:rPr>
                <w:rFonts w:ascii="Times New Roman" w:hAnsi="Times New Roman" w:cs="Times New Roman"/>
                <w:sz w:val="24"/>
                <w:szCs w:val="24"/>
              </w:rPr>
              <w:t xml:space="preserve">177. Noteikumu </w:t>
            </w:r>
            <w:r w:rsidR="00D824A0">
              <w:rPr>
                <w:rFonts w:ascii="Times New Roman" w:hAnsi="Times New Roman" w:cs="Times New Roman"/>
                <w:sz w:val="24"/>
                <w:szCs w:val="24"/>
              </w:rPr>
              <w:t xml:space="preserve">projekta </w:t>
            </w:r>
            <w:r w:rsidRPr="003118D1">
              <w:rPr>
                <w:rFonts w:ascii="Times New Roman" w:hAnsi="Times New Roman" w:cs="Times New Roman"/>
                <w:sz w:val="24"/>
                <w:szCs w:val="24"/>
              </w:rPr>
              <w:t xml:space="preserve">izstrādes gaitā tika ņemts vērā tirgus dalībnieku ierosinājums pensiju izmaksu prognožu aprēķinam piemērot </w:t>
            </w:r>
            <w:r w:rsidRPr="0086166D">
              <w:rPr>
                <w:rFonts w:ascii="Times New Roman" w:eastAsia="Times New Roman" w:hAnsi="Times New Roman" w:cs="Times New Roman"/>
                <w:sz w:val="24"/>
              </w:rPr>
              <w:t xml:space="preserve">Komisijas </w:t>
            </w:r>
            <w:r w:rsidRPr="00957F62">
              <w:rPr>
                <w:rFonts w:ascii="Times New Roman" w:eastAsia="Times New Roman" w:hAnsi="Times New Roman" w:cs="Times New Roman"/>
                <w:sz w:val="24"/>
              </w:rPr>
              <w:t>2017.</w:t>
            </w:r>
            <w:r>
              <w:rPr>
                <w:rFonts w:ascii="Times New Roman" w:eastAsia="Times New Roman" w:hAnsi="Times New Roman" w:cs="Times New Roman"/>
                <w:sz w:val="24"/>
              </w:rPr>
              <w:t> </w:t>
            </w:r>
            <w:r w:rsidRPr="00957F62">
              <w:rPr>
                <w:rFonts w:ascii="Times New Roman" w:eastAsia="Times New Roman" w:hAnsi="Times New Roman" w:cs="Times New Roman"/>
                <w:sz w:val="24"/>
              </w:rPr>
              <w:t>gada 8.</w:t>
            </w:r>
            <w:r>
              <w:rPr>
                <w:rFonts w:ascii="Times New Roman" w:eastAsia="Times New Roman" w:hAnsi="Times New Roman" w:cs="Times New Roman"/>
                <w:sz w:val="24"/>
              </w:rPr>
              <w:t> </w:t>
            </w:r>
            <w:r w:rsidRPr="00957F62">
              <w:rPr>
                <w:rFonts w:ascii="Times New Roman" w:eastAsia="Times New Roman" w:hAnsi="Times New Roman" w:cs="Times New Roman"/>
                <w:sz w:val="24"/>
              </w:rPr>
              <w:t xml:space="preserve">marta </w:t>
            </w:r>
            <w:r w:rsidRPr="0086166D">
              <w:rPr>
                <w:rFonts w:ascii="Times New Roman" w:eastAsia="Times New Roman" w:hAnsi="Times New Roman" w:cs="Times New Roman"/>
                <w:sz w:val="24"/>
              </w:rPr>
              <w:t>deleģēt</w:t>
            </w:r>
            <w:r>
              <w:rPr>
                <w:rFonts w:ascii="Times New Roman" w:eastAsia="Times New Roman" w:hAnsi="Times New Roman" w:cs="Times New Roman"/>
                <w:sz w:val="24"/>
              </w:rPr>
              <w:t>ajā</w:t>
            </w:r>
            <w:r w:rsidRPr="0086166D">
              <w:rPr>
                <w:rFonts w:ascii="Times New Roman" w:eastAsia="Times New Roman" w:hAnsi="Times New Roman" w:cs="Times New Roman"/>
                <w:sz w:val="24"/>
              </w:rPr>
              <w:t xml:space="preserve"> regul</w:t>
            </w:r>
            <w:r>
              <w:rPr>
                <w:rFonts w:ascii="Times New Roman" w:eastAsia="Times New Roman" w:hAnsi="Times New Roman" w:cs="Times New Roman"/>
                <w:sz w:val="24"/>
              </w:rPr>
              <w:t>ā</w:t>
            </w:r>
            <w:r w:rsidRPr="0086166D">
              <w:rPr>
                <w:rFonts w:ascii="Times New Roman" w:eastAsia="Times New Roman" w:hAnsi="Times New Roman" w:cs="Times New Roman"/>
                <w:sz w:val="24"/>
              </w:rPr>
              <w:t xml:space="preserve"> (ES)</w:t>
            </w:r>
            <w:r w:rsidR="00B83DAD">
              <w:rPr>
                <w:rFonts w:ascii="Times New Roman" w:eastAsia="Times New Roman" w:hAnsi="Times New Roman" w:cs="Times New Roman"/>
                <w:sz w:val="24"/>
              </w:rPr>
              <w:t> </w:t>
            </w:r>
            <w:r w:rsidRPr="0086166D">
              <w:rPr>
                <w:rFonts w:ascii="Times New Roman" w:eastAsia="Times New Roman" w:hAnsi="Times New Roman" w:cs="Times New Roman"/>
                <w:sz w:val="24"/>
              </w:rPr>
              <w:t>2017/653</w:t>
            </w:r>
            <w:r w:rsidR="00BA1C43">
              <w:rPr>
                <w:rFonts w:ascii="Times New Roman" w:eastAsia="Times New Roman" w:hAnsi="Times New Roman" w:cs="Times New Roman"/>
                <w:sz w:val="24"/>
              </w:rPr>
              <w:t>,</w:t>
            </w:r>
            <w:r w:rsidRPr="0086166D">
              <w:rPr>
                <w:rFonts w:ascii="Times New Roman" w:eastAsia="Times New Roman" w:hAnsi="Times New Roman" w:cs="Times New Roman"/>
                <w:sz w:val="24"/>
              </w:rPr>
              <w:t xml:space="preserve"> ar ko papildina Eiropas Parlamenta un </w:t>
            </w:r>
            <w:r w:rsidR="00BA1C43">
              <w:rPr>
                <w:rFonts w:ascii="Times New Roman" w:eastAsia="Times New Roman" w:hAnsi="Times New Roman" w:cs="Times New Roman"/>
                <w:sz w:val="24"/>
              </w:rPr>
              <w:t>P</w:t>
            </w:r>
            <w:r w:rsidRPr="0086166D">
              <w:rPr>
                <w:rFonts w:ascii="Times New Roman" w:eastAsia="Times New Roman" w:hAnsi="Times New Roman" w:cs="Times New Roman"/>
                <w:sz w:val="24"/>
              </w:rPr>
              <w:t>adomes regulu (ES)</w:t>
            </w:r>
            <w:r w:rsidR="00B83DAD">
              <w:rPr>
                <w:rFonts w:ascii="Times New Roman" w:eastAsia="Times New Roman" w:hAnsi="Times New Roman" w:cs="Times New Roman"/>
                <w:sz w:val="24"/>
              </w:rPr>
              <w:t> </w:t>
            </w:r>
            <w:r w:rsidRPr="0086166D">
              <w:rPr>
                <w:rFonts w:ascii="Times New Roman" w:eastAsia="Times New Roman" w:hAnsi="Times New Roman" w:cs="Times New Roman"/>
                <w:sz w:val="24"/>
              </w:rPr>
              <w:t>1286/2014 par komplektētu privāto ieguldījumu un apdrošināšanas ieguldījumu produktu (PRIIP) pamatinformācijas dokumentiem, nosakot regulatīvos tehniskos standartus attiecībā uz pamatinformācijas dokumentu noformējumu, saturu, pārskatīšanu un pārstrādāšanu un šādu dokumentu sniegšanas prasību izpilde</w:t>
            </w:r>
            <w:r w:rsidR="005255B2">
              <w:rPr>
                <w:rFonts w:ascii="Times New Roman" w:eastAsia="Times New Roman" w:hAnsi="Times New Roman" w:cs="Times New Roman"/>
                <w:sz w:val="24"/>
              </w:rPr>
              <w:t>s</w:t>
            </w:r>
            <w:r w:rsidRPr="0086166D">
              <w:rPr>
                <w:rFonts w:ascii="Times New Roman" w:eastAsia="Times New Roman" w:hAnsi="Times New Roman" w:cs="Times New Roman"/>
                <w:sz w:val="24"/>
              </w:rPr>
              <w:t xml:space="preserve"> nosacījumiem</w:t>
            </w:r>
            <w:r w:rsidR="00BA1C43">
              <w:rPr>
                <w:rFonts w:ascii="Times New Roman" w:eastAsia="Times New Roman" w:hAnsi="Times New Roman" w:cs="Times New Roman"/>
                <w:sz w:val="24"/>
              </w:rPr>
              <w:t>,</w:t>
            </w:r>
            <w:r w:rsidRPr="003118D1">
              <w:rPr>
                <w:rFonts w:ascii="Times New Roman" w:hAnsi="Times New Roman" w:cs="Times New Roman"/>
                <w:sz w:val="24"/>
                <w:szCs w:val="24"/>
              </w:rPr>
              <w:t xml:space="preserve"> paredzētās prasības attiecībā uz darbības rezultātu scenāriju aprēķinu.</w:t>
            </w:r>
          </w:p>
          <w:p w14:paraId="70676166" w14:textId="77777777" w:rsidR="003118D1" w:rsidRPr="003118D1" w:rsidRDefault="003118D1" w:rsidP="003118D1">
            <w:pPr>
              <w:spacing w:after="120"/>
              <w:jc w:val="both"/>
              <w:rPr>
                <w:rFonts w:ascii="Times New Roman" w:hAnsi="Times New Roman" w:cs="Times New Roman"/>
                <w:sz w:val="24"/>
                <w:szCs w:val="24"/>
              </w:rPr>
            </w:pPr>
            <w:r w:rsidRPr="003118D1">
              <w:rPr>
                <w:rFonts w:ascii="Times New Roman" w:hAnsi="Times New Roman" w:cs="Times New Roman"/>
                <w:sz w:val="24"/>
                <w:szCs w:val="24"/>
              </w:rPr>
              <w:t>Noteikumu projekts nodrošina, ka informācijas sagatavošana par pensiju izmaksu prognozēm attiecībā uz prognozēto uzkrāto papildpensiju uzkrāšanas perioda beigās tiek gatavota pēc vienotiem principiem un gan privātie pensiju fondi, gan katrs pensiju plāna dalībnieks savlaicīgi tiek informēts par pensiju izmaksu prognozēs izmantojamajiem rādītājiem un to iekļaušanas pamatprincipiem.</w:t>
            </w:r>
          </w:p>
          <w:p w14:paraId="49108056" w14:textId="77777777" w:rsidR="003118D1" w:rsidRPr="003118D1" w:rsidRDefault="003118D1" w:rsidP="003118D1">
            <w:pPr>
              <w:spacing w:after="120"/>
              <w:jc w:val="both"/>
              <w:rPr>
                <w:rFonts w:ascii="Times New Roman" w:hAnsi="Times New Roman" w:cs="Times New Roman"/>
                <w:sz w:val="24"/>
                <w:szCs w:val="24"/>
              </w:rPr>
            </w:pPr>
            <w:r w:rsidRPr="003118D1">
              <w:rPr>
                <w:rFonts w:ascii="Times New Roman" w:hAnsi="Times New Roman" w:cs="Times New Roman"/>
                <w:sz w:val="24"/>
                <w:szCs w:val="24"/>
              </w:rPr>
              <w:lastRenderedPageBreak/>
              <w:t xml:space="preserve">Noteikumu projekts pēc apstiprināšanas attieksies uz Latvijā licencētajiem privātajiem pensiju fondiem un citu dalībvalstu pensiju fondiem, kuri ir tiesīgi sniegt pakalpojumus Latvijā un kuri ir noslēguši kolektīvās dalības līgumu ar darba devēju par šā darba devēja darbinieku dalību attiecīgajā pensiju plānā. </w:t>
            </w:r>
          </w:p>
          <w:p w14:paraId="28D32265" w14:textId="1280E288" w:rsidR="00BB1B0C" w:rsidRPr="00F00503" w:rsidRDefault="003118D1" w:rsidP="003118D1">
            <w:pPr>
              <w:spacing w:after="120"/>
              <w:jc w:val="both"/>
              <w:rPr>
                <w:rFonts w:ascii="Times New Roman" w:hAnsi="Times New Roman" w:cs="Times New Roman"/>
                <w:sz w:val="24"/>
                <w:szCs w:val="24"/>
                <w:highlight w:val="yellow"/>
              </w:rPr>
            </w:pPr>
            <w:r w:rsidRPr="003118D1">
              <w:rPr>
                <w:rFonts w:ascii="Times New Roman" w:hAnsi="Times New Roman" w:cs="Times New Roman"/>
                <w:sz w:val="24"/>
                <w:szCs w:val="24"/>
              </w:rPr>
              <w:t>Latvijas Banka aicinās noteikumus piemērot ikvienu pensiju fondu, kurš saskaņā ar Privāto pensiju fondu likuma 33.</w:t>
            </w:r>
            <w:r w:rsidR="0091059E">
              <w:rPr>
                <w:rFonts w:ascii="Times New Roman" w:hAnsi="Times New Roman" w:cs="Times New Roman"/>
                <w:sz w:val="24"/>
                <w:szCs w:val="24"/>
              </w:rPr>
              <w:t> </w:t>
            </w:r>
            <w:r w:rsidRPr="003118D1">
              <w:rPr>
                <w:rFonts w:ascii="Times New Roman" w:hAnsi="Times New Roman" w:cs="Times New Roman"/>
                <w:sz w:val="24"/>
                <w:szCs w:val="24"/>
              </w:rPr>
              <w:t>panta ceturtajā daļā noteikto vismaz reizi gadā sagatavo katram pensiju plāna dalībniekam pārskatu par attiecīgo pārskata periodu.</w:t>
            </w:r>
          </w:p>
        </w:tc>
      </w:tr>
      <w:tr w:rsidR="00A61684" w:rsidRPr="007B1360" w14:paraId="7FF36E12" w14:textId="77777777" w:rsidTr="009B620B">
        <w:tc>
          <w:tcPr>
            <w:tcW w:w="1980" w:type="dxa"/>
          </w:tcPr>
          <w:p w14:paraId="1EC190F5" w14:textId="77777777" w:rsidR="001A2F7D" w:rsidRPr="007B1360" w:rsidRDefault="009E6A95" w:rsidP="00ED3376">
            <w:pPr>
              <w:jc w:val="both"/>
              <w:rPr>
                <w:rFonts w:ascii="Times New Roman" w:hAnsi="Times New Roman" w:cs="Times New Roman"/>
                <w:b/>
                <w:bCs/>
                <w:sz w:val="24"/>
                <w:szCs w:val="24"/>
              </w:rPr>
            </w:pPr>
            <w:r w:rsidRPr="007B1360">
              <w:rPr>
                <w:rFonts w:ascii="Times New Roman" w:hAnsi="Times New Roman" w:cs="Times New Roman"/>
                <w:b/>
                <w:bCs/>
                <w:sz w:val="24"/>
                <w:szCs w:val="24"/>
              </w:rPr>
              <w:lastRenderedPageBreak/>
              <w:t>Leģitīmais mērķis</w:t>
            </w:r>
          </w:p>
          <w:p w14:paraId="486EBB70" w14:textId="319C36F1" w:rsidR="00851C5D" w:rsidRPr="007B1360" w:rsidRDefault="00851C5D" w:rsidP="00494F09">
            <w:pPr>
              <w:jc w:val="both"/>
              <w:rPr>
                <w:rFonts w:ascii="Times New Roman" w:hAnsi="Times New Roman" w:cs="Times New Roman"/>
                <w:sz w:val="24"/>
                <w:szCs w:val="24"/>
              </w:rPr>
            </w:pPr>
          </w:p>
        </w:tc>
        <w:tc>
          <w:tcPr>
            <w:tcW w:w="6379" w:type="dxa"/>
          </w:tcPr>
          <w:p w14:paraId="46AF654C" w14:textId="77777777" w:rsidR="003118D1" w:rsidRPr="003118D1" w:rsidRDefault="003118D1" w:rsidP="003118D1">
            <w:pPr>
              <w:spacing w:after="120"/>
              <w:jc w:val="both"/>
              <w:rPr>
                <w:rFonts w:ascii="Times New Roman" w:eastAsia="Times New Roman" w:hAnsi="Times New Roman" w:cs="Times New Roman"/>
                <w:sz w:val="24"/>
                <w:szCs w:val="24"/>
                <w:lang w:eastAsia="lv-LV"/>
              </w:rPr>
            </w:pPr>
            <w:r w:rsidRPr="003118D1">
              <w:rPr>
                <w:rFonts w:ascii="Times New Roman" w:eastAsia="Times New Roman" w:hAnsi="Times New Roman" w:cs="Times New Roman"/>
                <w:sz w:val="24"/>
                <w:szCs w:val="24"/>
                <w:lang w:eastAsia="lv-LV"/>
              </w:rPr>
              <w:t xml:space="preserve">Noteikumu projekta leģitīmais mērķis ir citu personu tiesību aizsardzība un sabiedrības labklājības nodrošināšana. </w:t>
            </w:r>
          </w:p>
          <w:p w14:paraId="51CDE7A1" w14:textId="77777777" w:rsidR="003118D1" w:rsidRPr="003118D1" w:rsidRDefault="003118D1" w:rsidP="003118D1">
            <w:pPr>
              <w:spacing w:after="120"/>
              <w:jc w:val="both"/>
              <w:rPr>
                <w:rFonts w:ascii="Times New Roman" w:eastAsia="Times New Roman" w:hAnsi="Times New Roman" w:cs="Times New Roman"/>
                <w:sz w:val="24"/>
                <w:szCs w:val="24"/>
                <w:lang w:eastAsia="lv-LV"/>
              </w:rPr>
            </w:pPr>
            <w:r w:rsidRPr="003118D1">
              <w:rPr>
                <w:rFonts w:ascii="Times New Roman" w:eastAsia="Times New Roman" w:hAnsi="Times New Roman" w:cs="Times New Roman"/>
                <w:sz w:val="24"/>
                <w:szCs w:val="24"/>
                <w:lang w:eastAsia="lv-LV"/>
              </w:rPr>
              <w:t>Šo pamattiesību aizsardzību Latvijas Banka īsteno, nodrošinot finanšu tirgus uzraudzību, kurai ir vitāla nozīme finanšu sistēmas un ekonomiskajā attīstībā, iespējami pilnīgākajā veidā, lai veicinātu sabiedrības uzticēšanos finanšu tirgum un Latvijas Bankai kā konkrēto finanšu tirgus dalībnieku uzraugam, kas nodrošina konkrēto finanšu tirgus dalībnieku tiesisku un sabiedrības interesēm atbilstošu darbību.</w:t>
            </w:r>
          </w:p>
          <w:p w14:paraId="633BEF37" w14:textId="77777777" w:rsidR="003118D1" w:rsidRPr="003118D1" w:rsidRDefault="003118D1" w:rsidP="003118D1">
            <w:pPr>
              <w:spacing w:after="120"/>
              <w:jc w:val="both"/>
              <w:rPr>
                <w:rFonts w:ascii="Times New Roman" w:eastAsia="Times New Roman" w:hAnsi="Times New Roman" w:cs="Times New Roman"/>
                <w:sz w:val="24"/>
                <w:szCs w:val="24"/>
                <w:lang w:eastAsia="lv-LV"/>
              </w:rPr>
            </w:pPr>
            <w:r w:rsidRPr="003118D1">
              <w:rPr>
                <w:rFonts w:ascii="Times New Roman" w:eastAsia="Times New Roman" w:hAnsi="Times New Roman" w:cs="Times New Roman"/>
                <w:sz w:val="24"/>
                <w:szCs w:val="24"/>
                <w:lang w:eastAsia="lv-LV"/>
              </w:rPr>
              <w:t>Indivīdam kā finanšu tirgus sistēmas daļai ir būtiski apzināties un saņemt to aizsardzības līmeni, kuru tam nodrošina finanšu tirgus uzraugs jeb Latvijas Banka, un attiecīgi Latvijas Banka finanšu tirgus uzrauga lomā ir atbildīga par tādu pasākumu veikšanu, kas aizsargā indivīda pamattiesības. Respektīvi, indivīds ir tiesīgs paļauties uz finanšu sistēmas taisnīgu uzraudzību, pretējā gadījumā indivīdam zūd uzticība finanšu sistēmai un motivācija būt par šīs sistēmas dalībnieku.</w:t>
            </w:r>
          </w:p>
          <w:p w14:paraId="0D55081F" w14:textId="1AC138B0" w:rsidR="003118D1" w:rsidRPr="003118D1" w:rsidRDefault="003118D1" w:rsidP="003118D1">
            <w:pPr>
              <w:spacing w:after="120"/>
              <w:jc w:val="both"/>
              <w:rPr>
                <w:rFonts w:ascii="Times New Roman" w:eastAsia="Times New Roman" w:hAnsi="Times New Roman" w:cs="Times New Roman"/>
                <w:sz w:val="24"/>
                <w:szCs w:val="24"/>
                <w:lang w:eastAsia="lv-LV"/>
              </w:rPr>
            </w:pPr>
            <w:r w:rsidRPr="003118D1">
              <w:rPr>
                <w:rFonts w:ascii="Times New Roman" w:eastAsia="Times New Roman" w:hAnsi="Times New Roman" w:cs="Times New Roman"/>
                <w:sz w:val="24"/>
                <w:szCs w:val="24"/>
                <w:lang w:eastAsia="lv-LV"/>
              </w:rPr>
              <w:t>Nosakot tirgus dalībniekiem vienotas prasības pensiju izmaksu prognožu sagatavošanai un veicot prasību ievērošanas pārbaudes, Latvijas Banka nodrošina tai Latvijas Bankas likumā noteikto pienākumu</w:t>
            </w:r>
            <w:r w:rsidR="0091059E">
              <w:rPr>
                <w:rFonts w:ascii="Times New Roman" w:eastAsia="Times New Roman" w:hAnsi="Times New Roman" w:cs="Times New Roman"/>
                <w:sz w:val="24"/>
                <w:szCs w:val="24"/>
                <w:lang w:eastAsia="lv-LV"/>
              </w:rPr>
              <w:t> </w:t>
            </w:r>
            <w:r w:rsidRPr="003118D1">
              <w:rPr>
                <w:rFonts w:ascii="Times New Roman" w:eastAsia="Times New Roman" w:hAnsi="Times New Roman" w:cs="Times New Roman"/>
                <w:sz w:val="24"/>
                <w:szCs w:val="24"/>
                <w:lang w:eastAsia="lv-LV"/>
              </w:rPr>
              <w:t>– veicināt ieguldītāju un noguldītāju interešu aizsardzību un finanšu tirgus ilgtspējīgu attīstību un stabilitāti</w:t>
            </w:r>
            <w:r w:rsidR="0091059E">
              <w:rPr>
                <w:rFonts w:ascii="Times New Roman" w:eastAsia="Times New Roman" w:hAnsi="Times New Roman" w:cs="Times New Roman"/>
                <w:sz w:val="24"/>
                <w:szCs w:val="24"/>
                <w:lang w:eastAsia="lv-LV"/>
              </w:rPr>
              <w:t> </w:t>
            </w:r>
            <w:r w:rsidRPr="003118D1">
              <w:rPr>
                <w:rFonts w:ascii="Times New Roman" w:eastAsia="Times New Roman" w:hAnsi="Times New Roman" w:cs="Times New Roman"/>
                <w:sz w:val="24"/>
                <w:szCs w:val="24"/>
                <w:lang w:eastAsia="lv-LV"/>
              </w:rPr>
              <w:t>– izpildi. Vienlaikus Latvijas Banka izpilda arī Privāto pensiju fondu likuma 34.</w:t>
            </w:r>
            <w:r>
              <w:rPr>
                <w:rFonts w:ascii="Times New Roman" w:eastAsia="Times New Roman" w:hAnsi="Times New Roman" w:cs="Times New Roman"/>
                <w:sz w:val="24"/>
                <w:szCs w:val="24"/>
                <w:lang w:eastAsia="lv-LV"/>
              </w:rPr>
              <w:t> </w:t>
            </w:r>
            <w:r w:rsidRPr="003118D1">
              <w:rPr>
                <w:rFonts w:ascii="Times New Roman" w:eastAsia="Times New Roman" w:hAnsi="Times New Roman" w:cs="Times New Roman"/>
                <w:sz w:val="24"/>
                <w:szCs w:val="24"/>
                <w:lang w:eastAsia="lv-LV"/>
              </w:rPr>
              <w:t>panta ceturtajā daļā tai tieši ietverto pienākumu noteikt kārtību, kādā sagatavojama informācija par pensiju izmaksu prognozēm.</w:t>
            </w:r>
          </w:p>
          <w:p w14:paraId="12253966" w14:textId="5ADE074A" w:rsidR="003118D1" w:rsidRPr="003118D1" w:rsidRDefault="003118D1" w:rsidP="003118D1">
            <w:pPr>
              <w:spacing w:after="120"/>
              <w:jc w:val="both"/>
              <w:rPr>
                <w:rFonts w:ascii="Times New Roman" w:eastAsia="Times New Roman" w:hAnsi="Times New Roman" w:cs="Times New Roman"/>
                <w:sz w:val="24"/>
                <w:szCs w:val="24"/>
                <w:lang w:eastAsia="lv-LV"/>
              </w:rPr>
            </w:pPr>
            <w:r w:rsidRPr="003118D1">
              <w:rPr>
                <w:rFonts w:ascii="Times New Roman" w:eastAsia="Times New Roman" w:hAnsi="Times New Roman" w:cs="Times New Roman"/>
                <w:sz w:val="24"/>
                <w:szCs w:val="24"/>
                <w:lang w:eastAsia="lv-LV"/>
              </w:rPr>
              <w:t>Savukārt leģitīmais mērķis</w:t>
            </w:r>
            <w:r w:rsidR="0091059E">
              <w:rPr>
                <w:rFonts w:ascii="Times New Roman" w:eastAsia="Times New Roman" w:hAnsi="Times New Roman" w:cs="Times New Roman"/>
                <w:sz w:val="24"/>
                <w:szCs w:val="24"/>
                <w:lang w:eastAsia="lv-LV"/>
              </w:rPr>
              <w:t> </w:t>
            </w:r>
            <w:r w:rsidRPr="003118D1">
              <w:rPr>
                <w:rFonts w:ascii="Times New Roman" w:eastAsia="Times New Roman" w:hAnsi="Times New Roman" w:cs="Times New Roman"/>
                <w:sz w:val="24"/>
                <w:szCs w:val="24"/>
                <w:lang w:eastAsia="lv-LV"/>
              </w:rPr>
              <w:t>– citu personu tiesību aizsardzība</w:t>
            </w:r>
            <w:r w:rsidR="0091059E">
              <w:rPr>
                <w:rFonts w:ascii="Times New Roman" w:eastAsia="Times New Roman" w:hAnsi="Times New Roman" w:cs="Times New Roman"/>
                <w:sz w:val="24"/>
                <w:szCs w:val="24"/>
                <w:lang w:eastAsia="lv-LV"/>
              </w:rPr>
              <w:t> </w:t>
            </w:r>
            <w:r w:rsidRPr="003118D1">
              <w:rPr>
                <w:rFonts w:ascii="Times New Roman" w:eastAsia="Times New Roman" w:hAnsi="Times New Roman" w:cs="Times New Roman"/>
                <w:sz w:val="24"/>
                <w:szCs w:val="24"/>
                <w:lang w:eastAsia="lv-LV"/>
              </w:rPr>
              <w:t xml:space="preserve">– tiek sasniegts, nodrošinot sabiedrību ar tai nepieciešamo informāciju, lai tā varētu pieņemt izsvērtus lēmumus, pamatojoties uz pieejamo informāciju par prognozēto uzkrāto papildpensiju, kas sagatavota vienkāršā un saprotamā valodā, ietverot paskaidrojumus un izmantojot vizualizācijas iespējas, lai pensiju plāna dalībnieks varētu viegli saprast prognožu būtību, kā arī tās būtu nepārprotamas. </w:t>
            </w:r>
          </w:p>
          <w:p w14:paraId="5B199845" w14:textId="3917B102" w:rsidR="009E6A95" w:rsidRPr="00C710EB" w:rsidRDefault="003118D1" w:rsidP="003118D1">
            <w:pPr>
              <w:spacing w:after="120"/>
              <w:jc w:val="both"/>
              <w:rPr>
                <w:rFonts w:ascii="Times New Roman" w:hAnsi="Times New Roman" w:cs="Times New Roman"/>
                <w:color w:val="FF0000"/>
                <w:sz w:val="24"/>
                <w:szCs w:val="24"/>
                <w:highlight w:val="yellow"/>
              </w:rPr>
            </w:pPr>
            <w:r w:rsidRPr="003118D1">
              <w:rPr>
                <w:rFonts w:ascii="Times New Roman" w:eastAsia="Times New Roman" w:hAnsi="Times New Roman" w:cs="Times New Roman"/>
                <w:sz w:val="24"/>
                <w:szCs w:val="24"/>
                <w:lang w:eastAsia="lv-LV"/>
              </w:rPr>
              <w:t>Noteikumu projekts ir nepieciešams, lai nodrošinātu tirgus dalībnieku un pensiju plānu dalībnieku vienotu izpratni par pensiju izmaksu prognožu sagatavošanu.</w:t>
            </w:r>
          </w:p>
        </w:tc>
      </w:tr>
      <w:tr w:rsidR="00A61684" w:rsidRPr="007B1360" w14:paraId="1F6AF38A" w14:textId="77777777" w:rsidTr="009B620B">
        <w:trPr>
          <w:trHeight w:val="557"/>
        </w:trPr>
        <w:tc>
          <w:tcPr>
            <w:tcW w:w="1980" w:type="dxa"/>
          </w:tcPr>
          <w:p w14:paraId="4BE09150" w14:textId="77777777" w:rsidR="001A2F7D" w:rsidRPr="007B1360" w:rsidRDefault="009E6A95" w:rsidP="001A2F7D">
            <w:pPr>
              <w:jc w:val="both"/>
              <w:rPr>
                <w:rFonts w:ascii="Times New Roman" w:hAnsi="Times New Roman" w:cs="Times New Roman"/>
                <w:sz w:val="24"/>
                <w:szCs w:val="24"/>
              </w:rPr>
            </w:pPr>
            <w:r w:rsidRPr="00163E05">
              <w:rPr>
                <w:rFonts w:ascii="Times New Roman" w:hAnsi="Times New Roman" w:cs="Times New Roman"/>
                <w:b/>
                <w:bCs/>
                <w:sz w:val="24"/>
                <w:szCs w:val="24"/>
              </w:rPr>
              <w:lastRenderedPageBreak/>
              <w:t>Samērīgums</w:t>
            </w:r>
          </w:p>
          <w:p w14:paraId="5B2AC1B8" w14:textId="0CC4E8FB" w:rsidR="009B6162" w:rsidRPr="007B1360" w:rsidRDefault="009B6162" w:rsidP="009B6162">
            <w:pPr>
              <w:jc w:val="both"/>
              <w:rPr>
                <w:rFonts w:ascii="Times New Roman" w:hAnsi="Times New Roman" w:cs="Times New Roman"/>
                <w:color w:val="FF0000"/>
                <w:sz w:val="24"/>
                <w:szCs w:val="24"/>
              </w:rPr>
            </w:pPr>
          </w:p>
        </w:tc>
        <w:tc>
          <w:tcPr>
            <w:tcW w:w="6379" w:type="dxa"/>
          </w:tcPr>
          <w:p w14:paraId="0E464D0E" w14:textId="322A1C13" w:rsidR="003118D1" w:rsidRPr="003118D1" w:rsidRDefault="003118D1" w:rsidP="003118D1">
            <w:pPr>
              <w:spacing w:after="120"/>
              <w:jc w:val="both"/>
              <w:rPr>
                <w:rFonts w:ascii="Times New Roman" w:hAnsi="Times New Roman" w:cs="Times New Roman"/>
                <w:sz w:val="24"/>
                <w:szCs w:val="24"/>
              </w:rPr>
            </w:pPr>
            <w:r w:rsidRPr="003118D1">
              <w:rPr>
                <w:rFonts w:ascii="Times New Roman" w:hAnsi="Times New Roman" w:cs="Times New Roman"/>
                <w:sz w:val="24"/>
                <w:szCs w:val="24"/>
              </w:rPr>
              <w:t>Saskaņā ar Privāto pensiju fondu likuma 34.</w:t>
            </w:r>
            <w:r>
              <w:rPr>
                <w:rFonts w:ascii="Times New Roman" w:hAnsi="Times New Roman" w:cs="Times New Roman"/>
                <w:sz w:val="24"/>
                <w:szCs w:val="24"/>
              </w:rPr>
              <w:t> </w:t>
            </w:r>
            <w:r w:rsidRPr="003118D1">
              <w:rPr>
                <w:rFonts w:ascii="Times New Roman" w:hAnsi="Times New Roman" w:cs="Times New Roman"/>
                <w:sz w:val="24"/>
                <w:szCs w:val="24"/>
              </w:rPr>
              <w:t xml:space="preserve">panta ceturtajā daļā noteikto privātajam pensiju fondam, kas ir noslēdzis kolektīvās dalības līgumu ar darba devēju par šā darba devēja darbinieku dalību attiecīgajā pensiju plānā, ir pienākums sagatavot pārskatu par papildpensiju, kurā jāiekļauj informācija par pensiju izmaksu prognozēm. Nosakot pensiju fondiem vienotus pensiju izmaksu prognožu sagatavošanas pamatprincipus, tiek nodrošināta vienota tirgus dalībnieku izpratne un pieeja regulējošo prasību interpretācijai un piemērošanai. </w:t>
            </w:r>
          </w:p>
          <w:p w14:paraId="3A06CFAD" w14:textId="77777777" w:rsidR="003118D1" w:rsidRPr="003118D1" w:rsidRDefault="003118D1" w:rsidP="003118D1">
            <w:pPr>
              <w:spacing w:after="120"/>
              <w:jc w:val="both"/>
              <w:rPr>
                <w:rFonts w:ascii="Times New Roman" w:hAnsi="Times New Roman" w:cs="Times New Roman"/>
                <w:sz w:val="24"/>
                <w:szCs w:val="24"/>
              </w:rPr>
            </w:pPr>
            <w:r w:rsidRPr="003118D1">
              <w:rPr>
                <w:rFonts w:ascii="Times New Roman" w:hAnsi="Times New Roman" w:cs="Times New Roman"/>
                <w:sz w:val="24"/>
                <w:szCs w:val="24"/>
              </w:rPr>
              <w:t>Līdz ar to atbilstošākais veids, kā noteikt tirgus dalībniekiem vienotas prasības pensiju izmaksu prognožu sagatavošanai, ir izdot tiem saistošus noteikumus. Citas alternatīvas jautājuma noregulēšanai un vienotu prasību noteikšanai nebūtu efektīvas un nesasniegtu izvirzīto mērķi, jo nenodrošinātu vienveidīgu regulējuma piemērošanu.</w:t>
            </w:r>
          </w:p>
          <w:p w14:paraId="325A0587" w14:textId="77777777" w:rsidR="003118D1" w:rsidRPr="003118D1" w:rsidRDefault="003118D1" w:rsidP="003118D1">
            <w:pPr>
              <w:spacing w:after="120"/>
              <w:jc w:val="both"/>
              <w:rPr>
                <w:rFonts w:ascii="Times New Roman" w:hAnsi="Times New Roman" w:cs="Times New Roman"/>
                <w:sz w:val="24"/>
                <w:szCs w:val="24"/>
              </w:rPr>
            </w:pPr>
            <w:r w:rsidRPr="003118D1">
              <w:rPr>
                <w:rFonts w:ascii="Times New Roman" w:hAnsi="Times New Roman" w:cs="Times New Roman"/>
                <w:sz w:val="24"/>
                <w:szCs w:val="24"/>
              </w:rPr>
              <w:t>Izraugoties piemērotāko līdzekli leģitīmā mērķa sasniegšanai, Latvijas Banka izvērtēja, ka nebūtu atbilstoši izdot, piemēram, zemāka ranga normatīvos aktus, kuri nebūtu tirgus dalībniekam juridiski saistoši. Turklāt noteikumu projekta izstrādi pilnvarojošās normas skaidri norāda uz noteikumu izstrādi.</w:t>
            </w:r>
          </w:p>
          <w:p w14:paraId="12569A52" w14:textId="4292D22D" w:rsidR="00851C5D" w:rsidRPr="007B1360" w:rsidRDefault="003118D1" w:rsidP="003118D1">
            <w:pPr>
              <w:spacing w:after="120"/>
              <w:jc w:val="both"/>
              <w:rPr>
                <w:rFonts w:ascii="Times New Roman" w:hAnsi="Times New Roman" w:cs="Times New Roman"/>
                <w:sz w:val="24"/>
                <w:szCs w:val="24"/>
              </w:rPr>
            </w:pPr>
            <w:r w:rsidRPr="003118D1">
              <w:rPr>
                <w:rFonts w:ascii="Times New Roman" w:hAnsi="Times New Roman" w:cs="Times New Roman"/>
                <w:sz w:val="24"/>
                <w:szCs w:val="24"/>
              </w:rPr>
              <w:t>Respektīvi, normatīvais akts kopumā un tajā ietvertās tiesību normas atbilst samērīguma principam, jo, pirmkārt, ar noteikumu projekta ieviešanu tiek sasniegts leģitīmais mērķis (citu personu tiesību aizsardzība un sabiedrības labklājības nodrošināšana). Otrkārt, nav iespējams pēc būtības nodrošināt sabiedrības informētību, saņemot vienotu informāciju, ar citiem līdzekļiem, kā arī nepastāv tādi alternatīvi līdzekļi, kas sasniegtu leģitīmo mērķi tādā pašā kvalitātē. Treškārt, sabiedrības labums no normatīvā akta prasību piemērošanas ir lielāks par nelielu papildu slogu un resursu ieguldījumu, kas konkrētajam tirgus dalībniekam varētu rasties ar uzliktajiem pienākumiem.</w:t>
            </w:r>
          </w:p>
        </w:tc>
      </w:tr>
      <w:tr w:rsidR="00A61684" w:rsidRPr="007B1360" w14:paraId="73006DC9" w14:textId="77777777" w:rsidTr="009B620B">
        <w:tc>
          <w:tcPr>
            <w:tcW w:w="1980" w:type="dxa"/>
          </w:tcPr>
          <w:p w14:paraId="57036A8D" w14:textId="75F5C14E" w:rsidR="00ED3376" w:rsidRPr="007B1360" w:rsidRDefault="009E6A95"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Spēkā stāšanās</w:t>
            </w:r>
          </w:p>
        </w:tc>
        <w:tc>
          <w:tcPr>
            <w:tcW w:w="6379" w:type="dxa"/>
          </w:tcPr>
          <w:p w14:paraId="391B9A6F" w14:textId="144FF631" w:rsidR="00D34E4F" w:rsidRPr="007B1360" w:rsidRDefault="003118D1" w:rsidP="00C22386">
            <w:pPr>
              <w:spacing w:after="120"/>
              <w:jc w:val="both"/>
              <w:rPr>
                <w:rFonts w:ascii="Times New Roman" w:hAnsi="Times New Roman" w:cs="Times New Roman"/>
                <w:sz w:val="24"/>
                <w:szCs w:val="24"/>
              </w:rPr>
            </w:pPr>
            <w:r w:rsidRPr="00E7052B">
              <w:rPr>
                <w:rFonts w:ascii="Times New Roman" w:eastAsia="Times New Roman" w:hAnsi="Times New Roman" w:cs="Times New Roman"/>
                <w:sz w:val="24"/>
                <w:szCs w:val="24"/>
                <w:lang w:eastAsia="lv-LV"/>
              </w:rPr>
              <w:t>Noteikumi stājas spēkā</w:t>
            </w:r>
            <w:r>
              <w:rPr>
                <w:rFonts w:ascii="Times New Roman" w:eastAsia="Times New Roman" w:hAnsi="Times New Roman" w:cs="Times New Roman"/>
                <w:sz w:val="24"/>
                <w:szCs w:val="24"/>
                <w:lang w:eastAsia="lv-LV"/>
              </w:rPr>
              <w:t xml:space="preserve"> 2025. gada 1. janvārī</w:t>
            </w:r>
            <w:r w:rsidRPr="00E7052B">
              <w:rPr>
                <w:rFonts w:ascii="Times New Roman" w:eastAsia="Times New Roman" w:hAnsi="Times New Roman" w:cs="Times New Roman"/>
                <w:sz w:val="24"/>
                <w:szCs w:val="24"/>
                <w:lang w:eastAsia="lv-LV"/>
              </w:rPr>
              <w:t>.</w:t>
            </w:r>
          </w:p>
        </w:tc>
      </w:tr>
      <w:tr w:rsidR="00A61684" w:rsidRPr="007B1360" w14:paraId="3E1DDE9F" w14:textId="77777777" w:rsidTr="009B620B">
        <w:tc>
          <w:tcPr>
            <w:tcW w:w="1980" w:type="dxa"/>
          </w:tcPr>
          <w:p w14:paraId="5FBEDEFD" w14:textId="3E1395CD" w:rsidR="00ED3376" w:rsidRPr="007B1360" w:rsidRDefault="009E6A95" w:rsidP="00855326">
            <w:pPr>
              <w:rPr>
                <w:rFonts w:ascii="Times New Roman" w:hAnsi="Times New Roman" w:cs="Times New Roman"/>
                <w:b/>
                <w:bCs/>
                <w:sz w:val="24"/>
                <w:szCs w:val="24"/>
              </w:rPr>
            </w:pPr>
            <w:r w:rsidRPr="007B1360">
              <w:rPr>
                <w:rFonts w:ascii="Times New Roman" w:hAnsi="Times New Roman" w:cs="Times New Roman"/>
                <w:b/>
                <w:bCs/>
                <w:sz w:val="24"/>
                <w:szCs w:val="24"/>
              </w:rPr>
              <w:t>Ietekme uz Latvijas Bankas budžetu</w:t>
            </w:r>
          </w:p>
        </w:tc>
        <w:tc>
          <w:tcPr>
            <w:tcW w:w="6379" w:type="dxa"/>
            <w:shd w:val="clear" w:color="auto" w:fill="auto"/>
          </w:tcPr>
          <w:p w14:paraId="387D687A" w14:textId="65537675" w:rsidR="009E6A95" w:rsidRPr="007B1360" w:rsidRDefault="00952874" w:rsidP="00C22386">
            <w:pPr>
              <w:spacing w:after="120"/>
              <w:jc w:val="both"/>
              <w:rPr>
                <w:rFonts w:ascii="Times New Roman" w:hAnsi="Times New Roman" w:cs="Times New Roman"/>
                <w:sz w:val="24"/>
                <w:szCs w:val="24"/>
              </w:rPr>
            </w:pPr>
            <w:r w:rsidRPr="007B1360">
              <w:rPr>
                <w:rFonts w:ascii="Times New Roman" w:hAnsi="Times New Roman" w:cs="Times New Roman"/>
                <w:sz w:val="24"/>
                <w:szCs w:val="24"/>
              </w:rPr>
              <w:t>Noteikumu izdošana nerada ietekmi uz Latvijas Bankas budžetu.</w:t>
            </w:r>
          </w:p>
        </w:tc>
      </w:tr>
      <w:tr w:rsidR="00A61684" w:rsidRPr="007B1360" w14:paraId="4266A97A" w14:textId="77777777" w:rsidTr="009B620B">
        <w:tc>
          <w:tcPr>
            <w:tcW w:w="1980" w:type="dxa"/>
          </w:tcPr>
          <w:p w14:paraId="2C58F0AD" w14:textId="7C66ADC8" w:rsidR="001A2F7D" w:rsidRPr="007B1360" w:rsidRDefault="0099611F" w:rsidP="00855326">
            <w:pPr>
              <w:rPr>
                <w:rFonts w:ascii="Times New Roman" w:hAnsi="Times New Roman" w:cs="Times New Roman"/>
                <w:b/>
                <w:bCs/>
                <w:color w:val="FF0000"/>
                <w:sz w:val="24"/>
                <w:szCs w:val="24"/>
              </w:rPr>
            </w:pPr>
            <w:r w:rsidRPr="007B1360">
              <w:rPr>
                <w:rFonts w:ascii="Times New Roman" w:hAnsi="Times New Roman" w:cs="Times New Roman"/>
                <w:b/>
                <w:bCs/>
                <w:sz w:val="24"/>
                <w:szCs w:val="24"/>
              </w:rPr>
              <w:t>Administratīvā sloga un izmaksu novērtējums (tirgus dalībniekiem)</w:t>
            </w:r>
          </w:p>
        </w:tc>
        <w:tc>
          <w:tcPr>
            <w:tcW w:w="6379" w:type="dxa"/>
          </w:tcPr>
          <w:p w14:paraId="6B15E7B3" w14:textId="6A0B8661" w:rsidR="009E6A95" w:rsidRPr="007B1360" w:rsidRDefault="003118D1" w:rsidP="00C22386">
            <w:pPr>
              <w:spacing w:after="120"/>
              <w:jc w:val="both"/>
              <w:rPr>
                <w:rFonts w:ascii="Times New Roman" w:hAnsi="Times New Roman" w:cs="Times New Roman"/>
                <w:color w:val="FF0000"/>
                <w:sz w:val="24"/>
                <w:szCs w:val="24"/>
                <w:lang w:eastAsia="lv-LV"/>
              </w:rPr>
            </w:pPr>
            <w:r w:rsidRPr="00E7052B">
              <w:rPr>
                <w:rFonts w:ascii="Times New Roman" w:eastAsia="Times New Roman" w:hAnsi="Times New Roman" w:cs="Times New Roman"/>
                <w:sz w:val="24"/>
                <w:szCs w:val="24"/>
                <w:lang w:eastAsia="lv-LV"/>
              </w:rPr>
              <w:t>Noteikumu projektā ietverto prasību izdošana jaunā redakcijā</w:t>
            </w:r>
            <w:r>
              <w:rPr>
                <w:rFonts w:ascii="Times New Roman" w:eastAsia="Times New Roman" w:hAnsi="Times New Roman" w:cs="Times New Roman"/>
                <w:sz w:val="24"/>
                <w:szCs w:val="24"/>
                <w:lang w:eastAsia="lv-LV"/>
              </w:rPr>
              <w:t xml:space="preserve">, </w:t>
            </w:r>
            <w:r w:rsidRPr="00911FF5">
              <w:rPr>
                <w:rFonts w:ascii="Times New Roman" w:eastAsia="Times New Roman" w:hAnsi="Times New Roman" w:cs="Times New Roman"/>
                <w:sz w:val="24"/>
                <w:szCs w:val="24"/>
                <w:lang w:eastAsia="lv-LV"/>
              </w:rPr>
              <w:t>jo ir mainījies šādu noteikumu izdošanas tiesiskais pamats,</w:t>
            </w:r>
            <w:r w:rsidRPr="00E7052B">
              <w:rPr>
                <w:rFonts w:ascii="Times New Roman" w:eastAsia="Times New Roman" w:hAnsi="Times New Roman" w:cs="Times New Roman"/>
                <w:sz w:val="24"/>
                <w:szCs w:val="24"/>
                <w:lang w:eastAsia="lv-LV"/>
              </w:rPr>
              <w:t xml:space="preserve"> nerada papildu administratīvo slogu tirgus dalībniekiem, uz kuriem ir attiecināmas noteikumu projekta prasības.</w:t>
            </w:r>
          </w:p>
        </w:tc>
      </w:tr>
      <w:tr w:rsidR="00A61684" w:rsidRPr="007B1360" w14:paraId="78453D7D" w14:textId="77777777" w:rsidTr="009B620B">
        <w:tc>
          <w:tcPr>
            <w:tcW w:w="1980" w:type="dxa"/>
          </w:tcPr>
          <w:p w14:paraId="5AF60CCD" w14:textId="23B3F531" w:rsidR="00ED3376" w:rsidRPr="007B1360" w:rsidRDefault="009E6A95" w:rsidP="00855326">
            <w:pPr>
              <w:rPr>
                <w:rFonts w:ascii="Times New Roman" w:hAnsi="Times New Roman" w:cs="Times New Roman"/>
                <w:b/>
                <w:bCs/>
                <w:color w:val="FF0000"/>
                <w:sz w:val="24"/>
                <w:szCs w:val="24"/>
              </w:rPr>
            </w:pPr>
            <w:r w:rsidRPr="007B1360">
              <w:rPr>
                <w:rFonts w:ascii="Times New Roman" w:hAnsi="Times New Roman" w:cs="Times New Roman"/>
                <w:b/>
                <w:bCs/>
                <w:sz w:val="24"/>
                <w:szCs w:val="24"/>
              </w:rPr>
              <w:t>Saistītie dokumenti</w:t>
            </w:r>
          </w:p>
        </w:tc>
        <w:tc>
          <w:tcPr>
            <w:tcW w:w="6379" w:type="dxa"/>
          </w:tcPr>
          <w:p w14:paraId="14D25789" w14:textId="77777777" w:rsidR="003118D1" w:rsidRPr="004B1DE5" w:rsidRDefault="003118D1" w:rsidP="003118D1">
            <w:pPr>
              <w:spacing w:after="120"/>
              <w:jc w:val="both"/>
              <w:rPr>
                <w:rFonts w:ascii="Times New Roman" w:eastAsia="Times New Roman" w:hAnsi="Times New Roman" w:cs="Times New Roman"/>
                <w:sz w:val="24"/>
                <w:szCs w:val="24"/>
                <w:lang w:eastAsia="lv-LV"/>
              </w:rPr>
            </w:pPr>
            <w:r w:rsidRPr="004B1DE5">
              <w:rPr>
                <w:rFonts w:ascii="Times New Roman" w:eastAsia="Times New Roman" w:hAnsi="Times New Roman" w:cs="Times New Roman"/>
                <w:sz w:val="24"/>
                <w:szCs w:val="24"/>
                <w:lang w:eastAsia="lv-LV"/>
              </w:rPr>
              <w:t>Ar noteikumu projektu saistītie dokumenti:</w:t>
            </w:r>
          </w:p>
          <w:p w14:paraId="6474E408" w14:textId="77777777" w:rsidR="003118D1" w:rsidRPr="003D21B9" w:rsidRDefault="003118D1" w:rsidP="003118D1">
            <w:pPr>
              <w:spacing w:after="120"/>
              <w:jc w:val="both"/>
              <w:rPr>
                <w:rFonts w:ascii="Times New Roman" w:eastAsia="Times New Roman" w:hAnsi="Times New Roman" w:cs="Times New Roman"/>
                <w:sz w:val="24"/>
                <w:szCs w:val="24"/>
                <w:lang w:eastAsia="lv-LV"/>
              </w:rPr>
            </w:pPr>
            <w:r w:rsidRPr="004B1DE5">
              <w:rPr>
                <w:rFonts w:ascii="Times New Roman" w:eastAsia="Times New Roman" w:hAnsi="Times New Roman" w:cs="Times New Roman"/>
                <w:sz w:val="24"/>
                <w:szCs w:val="24"/>
                <w:lang w:eastAsia="lv-LV"/>
              </w:rPr>
              <w:t>1</w:t>
            </w:r>
            <w:r w:rsidRPr="003D21B9">
              <w:rPr>
                <w:rFonts w:ascii="Times New Roman" w:eastAsia="Times New Roman" w:hAnsi="Times New Roman" w:cs="Times New Roman"/>
                <w:sz w:val="24"/>
                <w:szCs w:val="24"/>
                <w:lang w:eastAsia="lv-LV"/>
              </w:rPr>
              <w:t>) Privāto pensiju fondu likums;</w:t>
            </w:r>
          </w:p>
          <w:p w14:paraId="735CE8C3" w14:textId="77777777" w:rsidR="003118D1" w:rsidRDefault="003118D1" w:rsidP="003118D1">
            <w:pPr>
              <w:spacing w:after="120"/>
              <w:jc w:val="both"/>
              <w:rPr>
                <w:rFonts w:ascii="Times New Roman" w:eastAsia="Times New Roman" w:hAnsi="Times New Roman" w:cs="Times New Roman"/>
                <w:sz w:val="24"/>
                <w:szCs w:val="24"/>
                <w:lang w:eastAsia="lv-LV"/>
              </w:rPr>
            </w:pPr>
            <w:r w:rsidRPr="003D21B9">
              <w:rPr>
                <w:rFonts w:ascii="Times New Roman" w:eastAsia="Times New Roman" w:hAnsi="Times New Roman" w:cs="Times New Roman"/>
                <w:sz w:val="24"/>
                <w:szCs w:val="24"/>
                <w:lang w:eastAsia="lv-LV"/>
              </w:rPr>
              <w:t xml:space="preserve">2) </w:t>
            </w:r>
            <w:r>
              <w:rPr>
                <w:rFonts w:ascii="Times New Roman" w:eastAsia="Times New Roman" w:hAnsi="Times New Roman" w:cs="Times New Roman"/>
                <w:sz w:val="24"/>
                <w:szCs w:val="24"/>
                <w:lang w:eastAsia="lv-LV"/>
              </w:rPr>
              <w:t>n</w:t>
            </w:r>
            <w:r w:rsidRPr="003D21B9">
              <w:rPr>
                <w:rFonts w:ascii="Times New Roman" w:eastAsia="Times New Roman" w:hAnsi="Times New Roman" w:cs="Times New Roman"/>
                <w:sz w:val="24"/>
                <w:szCs w:val="24"/>
                <w:lang w:eastAsia="lv-LV"/>
              </w:rPr>
              <w:t>oteikumi Nr. 177</w:t>
            </w:r>
            <w:r>
              <w:rPr>
                <w:rFonts w:ascii="Times New Roman" w:eastAsia="Times New Roman" w:hAnsi="Times New Roman" w:cs="Times New Roman"/>
                <w:sz w:val="24"/>
                <w:szCs w:val="24"/>
                <w:lang w:eastAsia="lv-LV"/>
              </w:rPr>
              <w:t>;</w:t>
            </w:r>
          </w:p>
          <w:p w14:paraId="2C55F282" w14:textId="2C43FE30" w:rsidR="004B1DE5" w:rsidRPr="00B62FBC" w:rsidRDefault="003118D1" w:rsidP="003118D1">
            <w:pPr>
              <w:spacing w:after="1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 </w:t>
            </w:r>
            <w:r w:rsidRPr="0086166D">
              <w:rPr>
                <w:rFonts w:ascii="Times New Roman" w:eastAsia="Times New Roman" w:hAnsi="Times New Roman" w:cs="Times New Roman"/>
                <w:sz w:val="24"/>
              </w:rPr>
              <w:t xml:space="preserve">Komisijas </w:t>
            </w:r>
            <w:r w:rsidRPr="00957F62">
              <w:rPr>
                <w:rFonts w:ascii="Times New Roman" w:eastAsia="Times New Roman" w:hAnsi="Times New Roman" w:cs="Times New Roman"/>
                <w:sz w:val="24"/>
              </w:rPr>
              <w:t>2017.</w:t>
            </w:r>
            <w:r>
              <w:rPr>
                <w:rFonts w:ascii="Times New Roman" w:eastAsia="Times New Roman" w:hAnsi="Times New Roman" w:cs="Times New Roman"/>
                <w:sz w:val="24"/>
              </w:rPr>
              <w:t> </w:t>
            </w:r>
            <w:r w:rsidRPr="00957F62">
              <w:rPr>
                <w:rFonts w:ascii="Times New Roman" w:eastAsia="Times New Roman" w:hAnsi="Times New Roman" w:cs="Times New Roman"/>
                <w:sz w:val="24"/>
              </w:rPr>
              <w:t>gada 8.</w:t>
            </w:r>
            <w:r>
              <w:rPr>
                <w:rFonts w:ascii="Times New Roman" w:eastAsia="Times New Roman" w:hAnsi="Times New Roman" w:cs="Times New Roman"/>
                <w:sz w:val="24"/>
              </w:rPr>
              <w:t> </w:t>
            </w:r>
            <w:r w:rsidRPr="00957F62">
              <w:rPr>
                <w:rFonts w:ascii="Times New Roman" w:eastAsia="Times New Roman" w:hAnsi="Times New Roman" w:cs="Times New Roman"/>
                <w:sz w:val="24"/>
              </w:rPr>
              <w:t xml:space="preserve">marta </w:t>
            </w:r>
            <w:r w:rsidRPr="0086166D">
              <w:rPr>
                <w:rFonts w:ascii="Times New Roman" w:eastAsia="Times New Roman" w:hAnsi="Times New Roman" w:cs="Times New Roman"/>
                <w:sz w:val="24"/>
              </w:rPr>
              <w:t>deleģēt</w:t>
            </w:r>
            <w:r>
              <w:rPr>
                <w:rFonts w:ascii="Times New Roman" w:eastAsia="Times New Roman" w:hAnsi="Times New Roman" w:cs="Times New Roman"/>
                <w:sz w:val="24"/>
              </w:rPr>
              <w:t>ā</w:t>
            </w:r>
            <w:r w:rsidRPr="0086166D">
              <w:rPr>
                <w:rFonts w:ascii="Times New Roman" w:eastAsia="Times New Roman" w:hAnsi="Times New Roman" w:cs="Times New Roman"/>
                <w:sz w:val="24"/>
              </w:rPr>
              <w:t xml:space="preserve"> regul</w:t>
            </w:r>
            <w:r>
              <w:rPr>
                <w:rFonts w:ascii="Times New Roman" w:eastAsia="Times New Roman" w:hAnsi="Times New Roman" w:cs="Times New Roman"/>
                <w:sz w:val="24"/>
              </w:rPr>
              <w:t>a</w:t>
            </w:r>
            <w:r w:rsidRPr="0086166D">
              <w:rPr>
                <w:rFonts w:ascii="Times New Roman" w:eastAsia="Times New Roman" w:hAnsi="Times New Roman" w:cs="Times New Roman"/>
                <w:sz w:val="24"/>
              </w:rPr>
              <w:t xml:space="preserve"> (ES)</w:t>
            </w:r>
            <w:r w:rsidR="003E67CA">
              <w:rPr>
                <w:rFonts w:ascii="Times New Roman" w:eastAsia="Times New Roman" w:hAnsi="Times New Roman" w:cs="Times New Roman"/>
                <w:sz w:val="24"/>
              </w:rPr>
              <w:t> </w:t>
            </w:r>
            <w:r w:rsidRPr="0086166D">
              <w:rPr>
                <w:rFonts w:ascii="Times New Roman" w:eastAsia="Times New Roman" w:hAnsi="Times New Roman" w:cs="Times New Roman"/>
                <w:sz w:val="24"/>
              </w:rPr>
              <w:t>2017/653</w:t>
            </w:r>
            <w:r w:rsidR="003E67CA">
              <w:rPr>
                <w:rFonts w:ascii="Times New Roman" w:eastAsia="Times New Roman" w:hAnsi="Times New Roman" w:cs="Times New Roman"/>
                <w:sz w:val="24"/>
              </w:rPr>
              <w:t>,</w:t>
            </w:r>
            <w:r w:rsidRPr="0086166D">
              <w:rPr>
                <w:rFonts w:ascii="Times New Roman" w:eastAsia="Times New Roman" w:hAnsi="Times New Roman" w:cs="Times New Roman"/>
                <w:sz w:val="24"/>
              </w:rPr>
              <w:t xml:space="preserve"> ar ko papildina Eiropas Parlamenta un </w:t>
            </w:r>
            <w:r w:rsidR="003E67CA">
              <w:rPr>
                <w:rFonts w:ascii="Times New Roman" w:eastAsia="Times New Roman" w:hAnsi="Times New Roman" w:cs="Times New Roman"/>
                <w:sz w:val="24"/>
              </w:rPr>
              <w:t>P</w:t>
            </w:r>
            <w:r w:rsidRPr="0086166D">
              <w:rPr>
                <w:rFonts w:ascii="Times New Roman" w:eastAsia="Times New Roman" w:hAnsi="Times New Roman" w:cs="Times New Roman"/>
                <w:sz w:val="24"/>
              </w:rPr>
              <w:t>adomes regulu (ES)</w:t>
            </w:r>
            <w:r w:rsidR="003E67CA">
              <w:rPr>
                <w:rFonts w:ascii="Times New Roman" w:eastAsia="Times New Roman" w:hAnsi="Times New Roman" w:cs="Times New Roman"/>
                <w:sz w:val="24"/>
              </w:rPr>
              <w:t> </w:t>
            </w:r>
            <w:r w:rsidRPr="0086166D">
              <w:rPr>
                <w:rFonts w:ascii="Times New Roman" w:eastAsia="Times New Roman" w:hAnsi="Times New Roman" w:cs="Times New Roman"/>
                <w:sz w:val="24"/>
              </w:rPr>
              <w:t xml:space="preserve">1286/2014 par komplektētu privāto ieguldījumu un </w:t>
            </w:r>
            <w:r w:rsidRPr="0086166D">
              <w:rPr>
                <w:rFonts w:ascii="Times New Roman" w:eastAsia="Times New Roman" w:hAnsi="Times New Roman" w:cs="Times New Roman"/>
                <w:sz w:val="24"/>
              </w:rPr>
              <w:lastRenderedPageBreak/>
              <w:t>apdrošināšanas ieguldījumu produktu (PRIIP) pamatinformācijas dokumentiem, nosakot regulatīvos tehniskos standartus attiecībā uz pamatinformācijas dokumentu noformējumu, saturu, pārskatīšanu un pārstrādāšanu un šādu dokumentu sniegšanas prasību izpilde</w:t>
            </w:r>
            <w:r w:rsidR="003E67CA">
              <w:rPr>
                <w:rFonts w:ascii="Times New Roman" w:eastAsia="Times New Roman" w:hAnsi="Times New Roman" w:cs="Times New Roman"/>
                <w:sz w:val="24"/>
              </w:rPr>
              <w:t>s</w:t>
            </w:r>
            <w:r w:rsidRPr="0086166D">
              <w:rPr>
                <w:rFonts w:ascii="Times New Roman" w:eastAsia="Times New Roman" w:hAnsi="Times New Roman" w:cs="Times New Roman"/>
                <w:sz w:val="24"/>
              </w:rPr>
              <w:t xml:space="preserve"> nosacījumiem</w:t>
            </w:r>
            <w:r>
              <w:rPr>
                <w:rFonts w:ascii="Times New Roman" w:eastAsia="Times New Roman" w:hAnsi="Times New Roman" w:cs="Times New Roman"/>
                <w:sz w:val="24"/>
                <w:szCs w:val="24"/>
                <w:lang w:eastAsia="lv-LV"/>
              </w:rPr>
              <w:t>.</w:t>
            </w:r>
          </w:p>
        </w:tc>
      </w:tr>
      <w:tr w:rsidR="00A61684" w:rsidRPr="007B1360" w14:paraId="6E8D0230" w14:textId="77777777" w:rsidTr="009B620B">
        <w:tc>
          <w:tcPr>
            <w:tcW w:w="1980" w:type="dxa"/>
          </w:tcPr>
          <w:p w14:paraId="36731D0A" w14:textId="167D4F7E" w:rsidR="00ED3376" w:rsidRPr="007B1360" w:rsidRDefault="009E6A95"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lastRenderedPageBreak/>
              <w:t>Saskaņošana ar Eiropas Centrālo banku</w:t>
            </w:r>
          </w:p>
        </w:tc>
        <w:tc>
          <w:tcPr>
            <w:tcW w:w="6379" w:type="dxa"/>
          </w:tcPr>
          <w:p w14:paraId="792DD68E" w14:textId="610A1BA8" w:rsidR="009E6A95" w:rsidRPr="007B1360" w:rsidRDefault="0057360C" w:rsidP="00C22386">
            <w:pPr>
              <w:spacing w:after="120"/>
              <w:jc w:val="both"/>
              <w:rPr>
                <w:rFonts w:ascii="Times New Roman" w:hAnsi="Times New Roman" w:cs="Times New Roman"/>
                <w:sz w:val="24"/>
                <w:szCs w:val="24"/>
              </w:rPr>
            </w:pPr>
            <w:r w:rsidRPr="00E7052B">
              <w:rPr>
                <w:rFonts w:ascii="Times New Roman" w:eastAsia="Times New Roman" w:hAnsi="Times New Roman" w:cs="Times New Roman"/>
                <w:sz w:val="24"/>
                <w:szCs w:val="24"/>
                <w:lang w:eastAsia="lv-LV"/>
              </w:rPr>
              <w:t>Noteikumu projektu nav nepieciešams saskaņot ar Eiropas Centrālo banku.</w:t>
            </w:r>
          </w:p>
        </w:tc>
      </w:tr>
      <w:tr w:rsidR="00A61684" w:rsidRPr="007B1360" w14:paraId="48DDCC66" w14:textId="77777777" w:rsidTr="009B620B">
        <w:tc>
          <w:tcPr>
            <w:tcW w:w="1980" w:type="dxa"/>
          </w:tcPr>
          <w:p w14:paraId="58FC4ACD" w14:textId="4767453D" w:rsidR="00ED3376" w:rsidRPr="007B1360" w:rsidRDefault="009E6A95" w:rsidP="00855326">
            <w:pPr>
              <w:rPr>
                <w:rFonts w:ascii="Times New Roman" w:hAnsi="Times New Roman" w:cs="Times New Roman"/>
                <w:b/>
                <w:bCs/>
                <w:sz w:val="24"/>
                <w:szCs w:val="24"/>
              </w:rPr>
            </w:pPr>
            <w:r w:rsidRPr="007B1360">
              <w:rPr>
                <w:rFonts w:ascii="Times New Roman" w:hAnsi="Times New Roman" w:cs="Times New Roman"/>
                <w:b/>
                <w:bCs/>
                <w:sz w:val="24"/>
                <w:szCs w:val="24"/>
              </w:rPr>
              <w:t>Saskaņošana ar citām publiskām un privātām personām</w:t>
            </w:r>
          </w:p>
        </w:tc>
        <w:tc>
          <w:tcPr>
            <w:tcW w:w="6379" w:type="dxa"/>
          </w:tcPr>
          <w:p w14:paraId="39D21799" w14:textId="3719E22A" w:rsidR="0041157E" w:rsidRPr="00327536" w:rsidRDefault="0041157E" w:rsidP="0041157E">
            <w:pPr>
              <w:spacing w:after="120"/>
              <w:jc w:val="both"/>
              <w:rPr>
                <w:rFonts w:ascii="Times New Roman" w:eastAsia="Times New Roman" w:hAnsi="Times New Roman" w:cs="Times New Roman"/>
                <w:sz w:val="24"/>
                <w:szCs w:val="24"/>
                <w:lang w:eastAsia="lv-LV"/>
              </w:rPr>
            </w:pPr>
            <w:r w:rsidRPr="00327536">
              <w:rPr>
                <w:rFonts w:ascii="Times New Roman" w:eastAsia="Times New Roman" w:hAnsi="Times New Roman" w:cs="Times New Roman"/>
                <w:sz w:val="24"/>
                <w:szCs w:val="24"/>
                <w:lang w:eastAsia="lv-LV"/>
              </w:rPr>
              <w:t xml:space="preserve">Noteikumu projekts </w:t>
            </w:r>
            <w:r>
              <w:rPr>
                <w:rFonts w:ascii="Times New Roman" w:eastAsia="Times New Roman" w:hAnsi="Times New Roman" w:cs="Times New Roman"/>
                <w:sz w:val="24"/>
                <w:szCs w:val="24"/>
                <w:lang w:eastAsia="lv-LV"/>
              </w:rPr>
              <w:t>2024. gada 1</w:t>
            </w:r>
            <w:r w:rsidR="00AF035B">
              <w:rPr>
                <w:rFonts w:ascii="Times New Roman" w:eastAsia="Times New Roman" w:hAnsi="Times New Roman" w:cs="Times New Roman"/>
                <w:sz w:val="24"/>
                <w:szCs w:val="24"/>
                <w:lang w:eastAsia="lv-LV"/>
              </w:rPr>
              <w:t>0</w:t>
            </w:r>
            <w:r>
              <w:rPr>
                <w:rFonts w:ascii="Times New Roman" w:eastAsia="Times New Roman" w:hAnsi="Times New Roman" w:cs="Times New Roman"/>
                <w:sz w:val="24"/>
                <w:szCs w:val="24"/>
                <w:lang w:eastAsia="lv-LV"/>
              </w:rPr>
              <w:t xml:space="preserve">. jūlijā </w:t>
            </w:r>
            <w:r w:rsidRPr="00327536">
              <w:rPr>
                <w:rFonts w:ascii="Times New Roman" w:eastAsia="Times New Roman" w:hAnsi="Times New Roman" w:cs="Times New Roman"/>
                <w:sz w:val="24"/>
                <w:szCs w:val="24"/>
                <w:lang w:eastAsia="lv-LV"/>
              </w:rPr>
              <w:t>tik</w:t>
            </w:r>
            <w:r>
              <w:rPr>
                <w:rFonts w:ascii="Times New Roman" w:eastAsia="Times New Roman" w:hAnsi="Times New Roman" w:cs="Times New Roman"/>
                <w:sz w:val="24"/>
                <w:szCs w:val="24"/>
                <w:lang w:eastAsia="lv-LV"/>
              </w:rPr>
              <w:t>a</w:t>
            </w:r>
            <w:r w:rsidRPr="00327536">
              <w:rPr>
                <w:rFonts w:ascii="Times New Roman" w:eastAsia="Times New Roman" w:hAnsi="Times New Roman" w:cs="Times New Roman"/>
                <w:sz w:val="24"/>
                <w:szCs w:val="24"/>
                <w:lang w:eastAsia="lv-LV"/>
              </w:rPr>
              <w:t xml:space="preserve"> publicēts Latvijas Bankas tīmekļvietnes www.bank.lv </w:t>
            </w:r>
            <w:r w:rsidR="00481987">
              <w:rPr>
                <w:rFonts w:ascii="Times New Roman" w:eastAsia="Calibri" w:hAnsi="Times New Roman" w:cs="Times New Roman"/>
                <w:sz w:val="24"/>
                <w:szCs w:val="24"/>
              </w:rPr>
              <w:t>sadaļas "Tiesību akti" apakš</w:t>
            </w:r>
            <w:r w:rsidR="00481987" w:rsidRPr="00F00503">
              <w:rPr>
                <w:rFonts w:ascii="Times New Roman" w:eastAsia="Calibri" w:hAnsi="Times New Roman" w:cs="Times New Roman"/>
                <w:sz w:val="24"/>
                <w:szCs w:val="24"/>
              </w:rPr>
              <w:t>sadaļā</w:t>
            </w:r>
            <w:r w:rsidRPr="00327536">
              <w:rPr>
                <w:rFonts w:ascii="Times New Roman" w:eastAsia="Times New Roman" w:hAnsi="Times New Roman" w:cs="Times New Roman"/>
                <w:sz w:val="24"/>
                <w:szCs w:val="24"/>
                <w:lang w:eastAsia="lv-LV"/>
              </w:rPr>
              <w:t xml:space="preserve"> "Sabiedrības līdzdalība", un par to </w:t>
            </w:r>
            <w:r w:rsidR="003E67CA">
              <w:rPr>
                <w:rFonts w:ascii="Times New Roman" w:eastAsia="Times New Roman" w:hAnsi="Times New Roman" w:cs="Times New Roman"/>
                <w:sz w:val="24"/>
                <w:szCs w:val="24"/>
                <w:lang w:eastAsia="lv-LV"/>
              </w:rPr>
              <w:t xml:space="preserve">līdz </w:t>
            </w:r>
            <w:r w:rsidR="003E67CA" w:rsidRPr="00B00336">
              <w:rPr>
                <w:rFonts w:ascii="Times New Roman" w:eastAsia="Times New Roman" w:hAnsi="Times New Roman" w:cs="Times New Roman"/>
                <w:sz w:val="24"/>
                <w:szCs w:val="24"/>
                <w:lang w:eastAsia="lv-LV"/>
              </w:rPr>
              <w:t>202</w:t>
            </w:r>
            <w:r w:rsidR="003E67CA">
              <w:rPr>
                <w:rFonts w:ascii="Times New Roman" w:eastAsia="Times New Roman" w:hAnsi="Times New Roman" w:cs="Times New Roman"/>
                <w:sz w:val="24"/>
                <w:szCs w:val="24"/>
                <w:lang w:eastAsia="lv-LV"/>
              </w:rPr>
              <w:t>4</w:t>
            </w:r>
            <w:r w:rsidR="003E67CA" w:rsidRPr="00B00336">
              <w:rPr>
                <w:rFonts w:ascii="Times New Roman" w:eastAsia="Times New Roman" w:hAnsi="Times New Roman" w:cs="Times New Roman"/>
                <w:sz w:val="24"/>
                <w:szCs w:val="24"/>
                <w:lang w:eastAsia="lv-LV"/>
              </w:rPr>
              <w:t>.</w:t>
            </w:r>
            <w:r w:rsidR="003E67CA">
              <w:rPr>
                <w:rFonts w:ascii="Times New Roman" w:eastAsia="Times New Roman" w:hAnsi="Times New Roman" w:cs="Times New Roman"/>
                <w:sz w:val="24"/>
                <w:szCs w:val="24"/>
                <w:lang w:eastAsia="lv-LV"/>
              </w:rPr>
              <w:t> </w:t>
            </w:r>
            <w:r w:rsidRPr="00B00336">
              <w:rPr>
                <w:rFonts w:ascii="Times New Roman" w:eastAsia="Times New Roman" w:hAnsi="Times New Roman" w:cs="Times New Roman"/>
                <w:sz w:val="24"/>
                <w:szCs w:val="24"/>
                <w:lang w:eastAsia="lv-LV"/>
              </w:rPr>
              <w:t xml:space="preserve">gada </w:t>
            </w:r>
            <w:r w:rsidR="00AF035B">
              <w:rPr>
                <w:rFonts w:ascii="Times New Roman" w:eastAsia="Times New Roman" w:hAnsi="Times New Roman" w:cs="Times New Roman"/>
                <w:sz w:val="24"/>
                <w:szCs w:val="24"/>
                <w:lang w:eastAsia="lv-LV"/>
              </w:rPr>
              <w:t>24</w:t>
            </w:r>
            <w:r>
              <w:rPr>
                <w:rFonts w:ascii="Times New Roman" w:eastAsia="Times New Roman" w:hAnsi="Times New Roman" w:cs="Times New Roman"/>
                <w:sz w:val="24"/>
                <w:szCs w:val="24"/>
                <w:lang w:eastAsia="lv-LV"/>
              </w:rPr>
              <w:t>. </w:t>
            </w:r>
            <w:r w:rsidR="003E67CA">
              <w:rPr>
                <w:rFonts w:ascii="Times New Roman" w:eastAsia="Times New Roman" w:hAnsi="Times New Roman" w:cs="Times New Roman"/>
                <w:sz w:val="24"/>
                <w:szCs w:val="24"/>
                <w:lang w:eastAsia="lv-LV"/>
              </w:rPr>
              <w:t>jūlijam</w:t>
            </w:r>
            <w:r w:rsidR="003E67CA" w:rsidRPr="00327536">
              <w:rPr>
                <w:rFonts w:ascii="Times New Roman" w:eastAsia="Times New Roman" w:hAnsi="Times New Roman" w:cs="Times New Roman"/>
                <w:sz w:val="24"/>
                <w:szCs w:val="24"/>
                <w:lang w:eastAsia="lv-LV"/>
              </w:rPr>
              <w:t xml:space="preserve"> </w:t>
            </w:r>
            <w:r w:rsidRPr="00327536">
              <w:rPr>
                <w:rFonts w:ascii="Times New Roman" w:eastAsia="Times New Roman" w:hAnsi="Times New Roman" w:cs="Times New Roman"/>
                <w:sz w:val="24"/>
                <w:szCs w:val="24"/>
                <w:lang w:eastAsia="lv-LV"/>
              </w:rPr>
              <w:t>b</w:t>
            </w:r>
            <w:r>
              <w:rPr>
                <w:rFonts w:ascii="Times New Roman" w:eastAsia="Times New Roman" w:hAnsi="Times New Roman" w:cs="Times New Roman"/>
                <w:sz w:val="24"/>
                <w:szCs w:val="24"/>
                <w:lang w:eastAsia="lv-LV"/>
              </w:rPr>
              <w:t>ija</w:t>
            </w:r>
            <w:r w:rsidRPr="00327536">
              <w:rPr>
                <w:rFonts w:ascii="Times New Roman" w:eastAsia="Times New Roman" w:hAnsi="Times New Roman" w:cs="Times New Roman"/>
                <w:sz w:val="24"/>
                <w:szCs w:val="24"/>
                <w:lang w:eastAsia="lv-LV"/>
              </w:rPr>
              <w:t xml:space="preserve"> iespējama sabiedrības līdzdalība. </w:t>
            </w:r>
          </w:p>
          <w:p w14:paraId="7EFEE788" w14:textId="77777777" w:rsidR="00C0271D" w:rsidRDefault="00F00503" w:rsidP="00F00503">
            <w:pPr>
              <w:spacing w:after="120"/>
              <w:jc w:val="both"/>
              <w:rPr>
                <w:rFonts w:ascii="Times New Roman" w:eastAsia="Calibri" w:hAnsi="Times New Roman" w:cs="Times New Roman"/>
                <w:sz w:val="24"/>
                <w:szCs w:val="24"/>
              </w:rPr>
            </w:pPr>
            <w:r w:rsidRPr="00F00503">
              <w:rPr>
                <w:rFonts w:ascii="Times New Roman" w:eastAsia="Calibri" w:hAnsi="Times New Roman" w:cs="Times New Roman"/>
                <w:sz w:val="24"/>
                <w:szCs w:val="24"/>
              </w:rPr>
              <w:t>Vienlaikus par noteikumu projektu un notiekošo sabiedrības līdzdalību individuāli tik</w:t>
            </w:r>
            <w:r w:rsidR="0041157E">
              <w:rPr>
                <w:rFonts w:ascii="Times New Roman" w:eastAsia="Calibri" w:hAnsi="Times New Roman" w:cs="Times New Roman"/>
                <w:sz w:val="24"/>
                <w:szCs w:val="24"/>
              </w:rPr>
              <w:t>a</w:t>
            </w:r>
            <w:r w:rsidRPr="00F00503">
              <w:rPr>
                <w:rFonts w:ascii="Times New Roman" w:eastAsia="Calibri" w:hAnsi="Times New Roman" w:cs="Times New Roman"/>
                <w:sz w:val="24"/>
                <w:szCs w:val="24"/>
              </w:rPr>
              <w:t xml:space="preserve"> informēta </w:t>
            </w:r>
            <w:r w:rsidRPr="00163E05">
              <w:rPr>
                <w:rFonts w:ascii="Times New Roman" w:eastAsia="Calibri" w:hAnsi="Times New Roman" w:cs="Times New Roman"/>
                <w:sz w:val="24"/>
                <w:szCs w:val="24"/>
              </w:rPr>
              <w:t>Latvijas Finanšu nozares asociācija.</w:t>
            </w:r>
          </w:p>
          <w:p w14:paraId="61CE77FB" w14:textId="7FB5A425" w:rsidR="00F324FE" w:rsidRPr="00F324FE" w:rsidRDefault="00F324FE" w:rsidP="00F00503">
            <w:pPr>
              <w:spacing w:after="120"/>
              <w:jc w:val="both"/>
              <w:rPr>
                <w:rFonts w:ascii="Times New Roman" w:hAnsi="Times New Roman" w:cs="Times New Roman"/>
                <w:sz w:val="24"/>
                <w:szCs w:val="24"/>
              </w:rPr>
            </w:pPr>
            <w:r w:rsidRPr="00F324FE">
              <w:rPr>
                <w:rStyle w:val="ui-provider"/>
                <w:rFonts w:ascii="Times New Roman" w:hAnsi="Times New Roman" w:cs="Times New Roman"/>
                <w:sz w:val="24"/>
                <w:szCs w:val="24"/>
              </w:rPr>
              <w:t>Pēc sabiedrības līdzdalībai noteiktā termiņa beigām un atkārtot</w:t>
            </w:r>
            <w:r w:rsidR="00DB62BD">
              <w:rPr>
                <w:rStyle w:val="ui-provider"/>
                <w:rFonts w:ascii="Times New Roman" w:hAnsi="Times New Roman" w:cs="Times New Roman"/>
                <w:sz w:val="24"/>
                <w:szCs w:val="24"/>
              </w:rPr>
              <w:t>as</w:t>
            </w:r>
            <w:r w:rsidRPr="00F324FE">
              <w:rPr>
                <w:rStyle w:val="ui-provider"/>
                <w:rFonts w:ascii="Times New Roman" w:hAnsi="Times New Roman" w:cs="Times New Roman"/>
                <w:sz w:val="24"/>
                <w:szCs w:val="24"/>
              </w:rPr>
              <w:t xml:space="preserve"> izskatīšan</w:t>
            </w:r>
            <w:r w:rsidR="00DB62BD">
              <w:rPr>
                <w:rStyle w:val="ui-provider"/>
                <w:rFonts w:ascii="Times New Roman" w:hAnsi="Times New Roman" w:cs="Times New Roman"/>
                <w:sz w:val="24"/>
                <w:szCs w:val="24"/>
              </w:rPr>
              <w:t>as</w:t>
            </w:r>
            <w:r w:rsidRPr="00F324FE">
              <w:rPr>
                <w:rStyle w:val="ui-provider"/>
                <w:rFonts w:ascii="Times New Roman" w:hAnsi="Times New Roman" w:cs="Times New Roman"/>
                <w:sz w:val="24"/>
                <w:szCs w:val="24"/>
              </w:rPr>
              <w:t xml:space="preserve"> Latvijas Bankas uzraudzības komitejas sēdē noteikumu projekts tiks iesniegts izskatīšanai Latvijas Bankas konsultatīvās finanšu tirgus padomes sēdē.</w:t>
            </w:r>
          </w:p>
        </w:tc>
      </w:tr>
      <w:tr w:rsidR="00FC38CB" w:rsidRPr="007B1360" w14:paraId="69C6D010" w14:textId="77777777" w:rsidTr="009B620B">
        <w:tc>
          <w:tcPr>
            <w:tcW w:w="1980" w:type="dxa"/>
          </w:tcPr>
          <w:p w14:paraId="19ED627F" w14:textId="0049A799" w:rsidR="00ED3376" w:rsidRPr="007B1360" w:rsidRDefault="00FC38CB" w:rsidP="00FC38CB">
            <w:pPr>
              <w:jc w:val="both"/>
              <w:rPr>
                <w:rFonts w:ascii="Times New Roman" w:hAnsi="Times New Roman" w:cs="Times New Roman"/>
                <w:sz w:val="24"/>
                <w:szCs w:val="24"/>
              </w:rPr>
            </w:pPr>
            <w:r w:rsidRPr="007B1360">
              <w:rPr>
                <w:rFonts w:ascii="Times New Roman" w:eastAsia="Times New Roman" w:hAnsi="Times New Roman" w:cs="Times New Roman"/>
                <w:b/>
                <w:bCs/>
                <w:sz w:val="24"/>
                <w:szCs w:val="24"/>
                <w:lang w:eastAsia="lv-LV"/>
              </w:rPr>
              <w:t>Saskaņošanas</w:t>
            </w:r>
            <w:r w:rsidRPr="007B1360">
              <w:rPr>
                <w:rFonts w:ascii="Times New Roman" w:eastAsia="Times New Roman" w:hAnsi="Times New Roman" w:cs="Times New Roman"/>
                <w:sz w:val="24"/>
                <w:szCs w:val="24"/>
                <w:lang w:eastAsia="lv-LV"/>
              </w:rPr>
              <w:t xml:space="preserve"> </w:t>
            </w:r>
            <w:r w:rsidRPr="007B1360">
              <w:rPr>
                <w:rFonts w:ascii="Times New Roman" w:eastAsia="Times New Roman" w:hAnsi="Times New Roman" w:cs="Times New Roman"/>
                <w:b/>
                <w:bCs/>
                <w:sz w:val="24"/>
                <w:szCs w:val="24"/>
                <w:lang w:eastAsia="lv-LV"/>
              </w:rPr>
              <w:t>rezultāti</w:t>
            </w:r>
          </w:p>
        </w:tc>
        <w:tc>
          <w:tcPr>
            <w:tcW w:w="6379" w:type="dxa"/>
          </w:tcPr>
          <w:p w14:paraId="42E86DBD" w14:textId="2D7AEBE2" w:rsidR="0078600A" w:rsidRPr="007B1360" w:rsidRDefault="0041157E" w:rsidP="00DB0246">
            <w:pPr>
              <w:spacing w:after="120"/>
              <w:jc w:val="both"/>
              <w:rPr>
                <w:rFonts w:ascii="Times New Roman" w:hAnsi="Times New Roman" w:cs="Times New Roman"/>
                <w:sz w:val="24"/>
                <w:szCs w:val="24"/>
              </w:rPr>
            </w:pPr>
            <w:r w:rsidRPr="00591E81">
              <w:rPr>
                <w:rFonts w:ascii="Times New Roman" w:eastAsia="Times New Roman" w:hAnsi="Times New Roman" w:cs="Times New Roman"/>
                <w:sz w:val="24"/>
                <w:szCs w:val="24"/>
                <w:lang w:eastAsia="lv-LV"/>
              </w:rPr>
              <w:t xml:space="preserve">Sabiedrības līdzdalības rezultātā </w:t>
            </w:r>
            <w:r w:rsidR="00AF035B">
              <w:rPr>
                <w:rFonts w:ascii="Times New Roman" w:eastAsia="Times New Roman" w:hAnsi="Times New Roman" w:cs="Times New Roman"/>
                <w:sz w:val="24"/>
                <w:szCs w:val="24"/>
                <w:lang w:eastAsia="lv-LV"/>
              </w:rPr>
              <w:t xml:space="preserve">par noteikumu projektu </w:t>
            </w:r>
            <w:r w:rsidR="00990586">
              <w:rPr>
                <w:rFonts w:ascii="Times New Roman" w:eastAsia="Times New Roman" w:hAnsi="Times New Roman" w:cs="Times New Roman"/>
                <w:sz w:val="24"/>
                <w:szCs w:val="24"/>
                <w:lang w:eastAsia="lv-LV"/>
              </w:rPr>
              <w:t>tika</w:t>
            </w:r>
            <w:r w:rsidR="00AF035B">
              <w:rPr>
                <w:rFonts w:ascii="Times New Roman" w:eastAsia="Times New Roman" w:hAnsi="Times New Roman" w:cs="Times New Roman"/>
                <w:sz w:val="24"/>
                <w:szCs w:val="24"/>
                <w:lang w:eastAsia="lv-LV"/>
              </w:rPr>
              <w:t xml:space="preserve"> saņemti priekšlikumi un iebildumi no </w:t>
            </w:r>
            <w:r w:rsidRPr="00B00336">
              <w:rPr>
                <w:rFonts w:ascii="Times New Roman" w:eastAsia="Times New Roman" w:hAnsi="Times New Roman" w:cs="Times New Roman"/>
                <w:sz w:val="24"/>
                <w:szCs w:val="24"/>
                <w:lang w:eastAsia="lv-LV"/>
              </w:rPr>
              <w:t>Latvijas Finanšu nozares asociācija</w:t>
            </w:r>
            <w:r w:rsidR="00AF035B">
              <w:rPr>
                <w:rFonts w:ascii="Times New Roman" w:eastAsia="Times New Roman" w:hAnsi="Times New Roman" w:cs="Times New Roman"/>
                <w:sz w:val="24"/>
                <w:szCs w:val="24"/>
                <w:lang w:eastAsia="lv-LV"/>
              </w:rPr>
              <w:t>s. To apkopojums pievienots anotācijas pielikumā.</w:t>
            </w:r>
          </w:p>
        </w:tc>
      </w:tr>
    </w:tbl>
    <w:p w14:paraId="70BC86BD" w14:textId="77777777" w:rsidR="006952E1" w:rsidRDefault="006952E1" w:rsidP="00163E05">
      <w:pPr>
        <w:spacing w:after="0" w:line="240" w:lineRule="auto"/>
        <w:jc w:val="right"/>
        <w:rPr>
          <w:rFonts w:ascii="Times New Roman" w:hAnsi="Times New Roman" w:cs="Times New Roman"/>
          <w:color w:val="000000" w:themeColor="text1"/>
          <w:sz w:val="24"/>
          <w:szCs w:val="24"/>
        </w:rPr>
      </w:pPr>
    </w:p>
    <w:p w14:paraId="1B80D3C9" w14:textId="3849919F" w:rsidR="00272B3D" w:rsidRDefault="00272B3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B4DAE6F" w14:textId="77777777" w:rsidR="00272B3D" w:rsidRDefault="00272B3D" w:rsidP="00272B3D">
      <w:pPr>
        <w:spacing w:after="0" w:line="240" w:lineRule="auto"/>
        <w:rPr>
          <w:rFonts w:ascii="Times New Roman" w:hAnsi="Times New Roman" w:cs="Times New Roman"/>
          <w:color w:val="000000" w:themeColor="text1"/>
          <w:sz w:val="24"/>
          <w:szCs w:val="24"/>
        </w:rPr>
        <w:sectPr w:rsidR="00272B3D" w:rsidSect="00163E05">
          <w:headerReference w:type="default" r:id="rId11"/>
          <w:footerReference w:type="default" r:id="rId12"/>
          <w:pgSz w:w="11906" w:h="16838"/>
          <w:pgMar w:top="1440" w:right="1800" w:bottom="1440" w:left="1800" w:header="708" w:footer="708" w:gutter="0"/>
          <w:cols w:space="708"/>
          <w:titlePg/>
          <w:docGrid w:linePitch="360"/>
        </w:sectPr>
      </w:pPr>
    </w:p>
    <w:p w14:paraId="0B0DD5C1" w14:textId="77777777" w:rsidR="00D756DA" w:rsidRPr="0020694F" w:rsidRDefault="00D756DA" w:rsidP="0020694F">
      <w:pPr>
        <w:spacing w:after="0"/>
        <w:jc w:val="right"/>
        <w:rPr>
          <w:rFonts w:ascii="Times New Roman" w:eastAsia="Calibri" w:hAnsi="Times New Roman" w:cs="Times New Roman"/>
          <w:sz w:val="24"/>
          <w:szCs w:val="24"/>
        </w:rPr>
      </w:pPr>
      <w:r w:rsidRPr="0020694F">
        <w:rPr>
          <w:rFonts w:ascii="Times New Roman" w:eastAsia="Calibri" w:hAnsi="Times New Roman" w:cs="Times New Roman"/>
          <w:sz w:val="24"/>
          <w:szCs w:val="24"/>
        </w:rPr>
        <w:lastRenderedPageBreak/>
        <w:t>Pielikums</w:t>
      </w:r>
    </w:p>
    <w:p w14:paraId="4574C759" w14:textId="2CCE0B88" w:rsidR="00D756DA" w:rsidRDefault="00D756DA" w:rsidP="00D756DA">
      <w:pPr>
        <w:spacing w:after="0"/>
        <w:jc w:val="right"/>
        <w:rPr>
          <w:rFonts w:ascii="Times New Roman" w:eastAsia="Calibri" w:hAnsi="Times New Roman" w:cs="Times New Roman"/>
          <w:sz w:val="24"/>
          <w:szCs w:val="24"/>
        </w:rPr>
      </w:pPr>
      <w:r w:rsidRPr="0020694F">
        <w:rPr>
          <w:rFonts w:ascii="Times New Roman" w:eastAsia="Calibri" w:hAnsi="Times New Roman" w:cs="Times New Roman"/>
          <w:sz w:val="24"/>
          <w:szCs w:val="24"/>
        </w:rPr>
        <w:t>Latvijas Bankas noteikumu projekta anotācijai</w:t>
      </w:r>
    </w:p>
    <w:p w14:paraId="0842A1A4" w14:textId="77777777" w:rsidR="00D756DA" w:rsidRDefault="00D756DA" w:rsidP="0020694F">
      <w:pPr>
        <w:spacing w:after="0"/>
        <w:jc w:val="right"/>
        <w:rPr>
          <w:rFonts w:ascii="Times New Roman" w:eastAsia="Calibri" w:hAnsi="Times New Roman" w:cs="Times New Roman"/>
          <w:b/>
          <w:bCs/>
          <w:sz w:val="24"/>
          <w:szCs w:val="24"/>
        </w:rPr>
      </w:pPr>
    </w:p>
    <w:p w14:paraId="5E29A31A" w14:textId="053E7018" w:rsidR="00272B3D" w:rsidRDefault="00D756DA" w:rsidP="00272B3D">
      <w:pPr>
        <w:jc w:val="center"/>
        <w:rPr>
          <w:rFonts w:ascii="Times New Roman" w:eastAsia="Calibri" w:hAnsi="Times New Roman" w:cs="Times New Roman"/>
          <w:b/>
          <w:bCs/>
          <w:sz w:val="24"/>
          <w:szCs w:val="24"/>
        </w:rPr>
      </w:pPr>
      <w:r w:rsidRPr="00D756DA">
        <w:rPr>
          <w:rFonts w:ascii="Times New Roman" w:eastAsia="Calibri" w:hAnsi="Times New Roman" w:cs="Times New Roman"/>
          <w:b/>
          <w:bCs/>
          <w:sz w:val="24"/>
          <w:szCs w:val="24"/>
        </w:rPr>
        <w:t xml:space="preserve">Sabiedrības līdzdalības </w:t>
      </w:r>
      <w:r w:rsidR="00D6542B">
        <w:rPr>
          <w:rFonts w:ascii="Times New Roman" w:eastAsia="Calibri" w:hAnsi="Times New Roman" w:cs="Times New Roman"/>
          <w:b/>
          <w:bCs/>
          <w:sz w:val="24"/>
          <w:szCs w:val="24"/>
        </w:rPr>
        <w:t>gaitā</w:t>
      </w:r>
      <w:r w:rsidR="00D6542B" w:rsidRPr="00D756DA">
        <w:rPr>
          <w:rFonts w:ascii="Times New Roman" w:eastAsia="Calibri" w:hAnsi="Times New Roman" w:cs="Times New Roman"/>
          <w:b/>
          <w:bCs/>
          <w:sz w:val="24"/>
          <w:szCs w:val="24"/>
        </w:rPr>
        <w:t xml:space="preserve"> </w:t>
      </w:r>
      <w:r w:rsidRPr="00D756DA">
        <w:rPr>
          <w:rFonts w:ascii="Times New Roman" w:eastAsia="Calibri" w:hAnsi="Times New Roman" w:cs="Times New Roman"/>
          <w:b/>
          <w:bCs/>
          <w:sz w:val="24"/>
          <w:szCs w:val="24"/>
        </w:rPr>
        <w:t xml:space="preserve">saņemto priekšlikumu </w:t>
      </w:r>
      <w:r w:rsidR="00272B3D">
        <w:rPr>
          <w:rFonts w:ascii="Times New Roman" w:eastAsia="Calibri" w:hAnsi="Times New Roman" w:cs="Times New Roman"/>
          <w:b/>
          <w:bCs/>
          <w:sz w:val="24"/>
          <w:szCs w:val="24"/>
        </w:rPr>
        <w:t xml:space="preserve">par </w:t>
      </w:r>
      <w:r w:rsidR="00272B3D" w:rsidRPr="0090260A">
        <w:rPr>
          <w:rFonts w:ascii="Times New Roman" w:eastAsia="Calibri" w:hAnsi="Times New Roman" w:cs="Times New Roman"/>
          <w:b/>
          <w:bCs/>
          <w:sz w:val="24"/>
          <w:szCs w:val="24"/>
        </w:rPr>
        <w:t>Latvijas Bankas noteikumu projekt</w:t>
      </w:r>
      <w:r w:rsidR="00272B3D">
        <w:rPr>
          <w:rFonts w:ascii="Times New Roman" w:eastAsia="Calibri" w:hAnsi="Times New Roman" w:cs="Times New Roman"/>
          <w:b/>
          <w:bCs/>
          <w:sz w:val="24"/>
          <w:szCs w:val="24"/>
        </w:rPr>
        <w:t>u</w:t>
      </w:r>
      <w:r w:rsidR="00272B3D" w:rsidRPr="0090260A">
        <w:rPr>
          <w:rFonts w:ascii="Times New Roman" w:eastAsia="Calibri" w:hAnsi="Times New Roman" w:cs="Times New Roman"/>
          <w:b/>
          <w:bCs/>
          <w:sz w:val="24"/>
          <w:szCs w:val="24"/>
        </w:rPr>
        <w:t xml:space="preserve"> "</w:t>
      </w:r>
      <w:r w:rsidR="00AF035B" w:rsidRPr="006A7E24">
        <w:rPr>
          <w:rFonts w:ascii="Times New Roman" w:hAnsi="Times New Roman" w:cs="Times New Roman"/>
          <w:b/>
          <w:bCs/>
          <w:sz w:val="24"/>
          <w:szCs w:val="24"/>
        </w:rPr>
        <w:t>Pensiju izmaksu prognožu informācijas sniegšanas noteikumi</w:t>
      </w:r>
      <w:r w:rsidR="00272B3D" w:rsidRPr="0090260A">
        <w:rPr>
          <w:rFonts w:ascii="Times New Roman" w:eastAsia="Calibri" w:hAnsi="Times New Roman" w:cs="Times New Roman"/>
          <w:b/>
          <w:bCs/>
          <w:sz w:val="24"/>
          <w:szCs w:val="24"/>
        </w:rPr>
        <w:t>"</w:t>
      </w:r>
      <w:r>
        <w:rPr>
          <w:rFonts w:ascii="Times New Roman" w:eastAsia="Calibri" w:hAnsi="Times New Roman" w:cs="Times New Roman"/>
          <w:b/>
          <w:bCs/>
          <w:sz w:val="24"/>
          <w:szCs w:val="24"/>
        </w:rPr>
        <w:t xml:space="preserve"> apkopojums</w:t>
      </w:r>
    </w:p>
    <w:tbl>
      <w:tblPr>
        <w:tblStyle w:val="TableGrid"/>
        <w:tblW w:w="0" w:type="auto"/>
        <w:tblLook w:val="04A0" w:firstRow="1" w:lastRow="0" w:firstColumn="1" w:lastColumn="0" w:noHBand="0" w:noVBand="1"/>
      </w:tblPr>
      <w:tblGrid>
        <w:gridCol w:w="1063"/>
        <w:gridCol w:w="4396"/>
        <w:gridCol w:w="4354"/>
        <w:gridCol w:w="4135"/>
      </w:tblGrid>
      <w:tr w:rsidR="00D756DA" w:rsidRPr="00D756DA" w14:paraId="5D048FD1" w14:textId="77777777" w:rsidTr="0020694F">
        <w:tc>
          <w:tcPr>
            <w:tcW w:w="943" w:type="dxa"/>
          </w:tcPr>
          <w:p w14:paraId="2643FDE8" w14:textId="31E5294A" w:rsidR="00D756DA" w:rsidRPr="0020694F" w:rsidRDefault="00D756DA" w:rsidP="003D6DD3">
            <w:pPr>
              <w:jc w:val="center"/>
              <w:rPr>
                <w:rFonts w:ascii="Times New Roman" w:hAnsi="Times New Roman" w:cs="Times New Roman"/>
                <w:b/>
                <w:bCs/>
                <w:sz w:val="24"/>
                <w:szCs w:val="24"/>
              </w:rPr>
            </w:pPr>
            <w:r w:rsidRPr="00772972">
              <w:rPr>
                <w:rFonts w:ascii="Times New Roman" w:hAnsi="Times New Roman" w:cs="Times New Roman"/>
                <w:b/>
                <w:bCs/>
                <w:sz w:val="24"/>
                <w:szCs w:val="24"/>
              </w:rPr>
              <w:t>Nr.</w:t>
            </w:r>
            <w:r w:rsidR="00D91805">
              <w:rPr>
                <w:rFonts w:ascii="Times New Roman" w:hAnsi="Times New Roman" w:cs="Times New Roman"/>
                <w:b/>
                <w:bCs/>
                <w:sz w:val="24"/>
                <w:szCs w:val="24"/>
              </w:rPr>
              <w:t> </w:t>
            </w:r>
            <w:r w:rsidRPr="00772972">
              <w:rPr>
                <w:rFonts w:ascii="Times New Roman" w:hAnsi="Times New Roman" w:cs="Times New Roman"/>
                <w:b/>
                <w:bCs/>
                <w:sz w:val="24"/>
                <w:szCs w:val="24"/>
              </w:rPr>
              <w:t>p.</w:t>
            </w:r>
            <w:r w:rsidR="00D91805">
              <w:rPr>
                <w:rFonts w:ascii="Times New Roman" w:hAnsi="Times New Roman" w:cs="Times New Roman"/>
                <w:b/>
                <w:bCs/>
                <w:sz w:val="24"/>
                <w:szCs w:val="24"/>
              </w:rPr>
              <w:t> </w:t>
            </w:r>
            <w:r w:rsidRPr="00772972">
              <w:rPr>
                <w:rFonts w:ascii="Times New Roman" w:hAnsi="Times New Roman" w:cs="Times New Roman"/>
                <w:b/>
                <w:bCs/>
                <w:sz w:val="24"/>
                <w:szCs w:val="24"/>
              </w:rPr>
              <w:t>k.</w:t>
            </w:r>
          </w:p>
        </w:tc>
        <w:tc>
          <w:tcPr>
            <w:tcW w:w="4439" w:type="dxa"/>
          </w:tcPr>
          <w:p w14:paraId="7E6300EC" w14:textId="2680F494" w:rsidR="00D756DA" w:rsidRPr="0020694F" w:rsidRDefault="00D756DA" w:rsidP="003D6DD3">
            <w:pPr>
              <w:jc w:val="center"/>
              <w:rPr>
                <w:rFonts w:ascii="Times New Roman" w:hAnsi="Times New Roman" w:cs="Times New Roman"/>
                <w:b/>
                <w:bCs/>
                <w:sz w:val="24"/>
                <w:szCs w:val="24"/>
              </w:rPr>
            </w:pPr>
            <w:r w:rsidRPr="0020694F">
              <w:rPr>
                <w:rFonts w:ascii="Times New Roman" w:hAnsi="Times New Roman" w:cs="Times New Roman"/>
                <w:b/>
                <w:bCs/>
                <w:sz w:val="24"/>
                <w:szCs w:val="24"/>
              </w:rPr>
              <w:t>Sabiedrības līdzdalībai nodotā projekta redakcija (konkrēta punkta redakcija)</w:t>
            </w:r>
          </w:p>
        </w:tc>
        <w:tc>
          <w:tcPr>
            <w:tcW w:w="4394" w:type="dxa"/>
          </w:tcPr>
          <w:p w14:paraId="37274DD4" w14:textId="3C33AB88" w:rsidR="00D756DA" w:rsidRPr="0020694F" w:rsidRDefault="00D756DA" w:rsidP="003D6DD3">
            <w:pPr>
              <w:jc w:val="center"/>
              <w:rPr>
                <w:rFonts w:ascii="Times New Roman" w:hAnsi="Times New Roman" w:cs="Times New Roman"/>
                <w:b/>
                <w:bCs/>
                <w:sz w:val="24"/>
                <w:szCs w:val="24"/>
              </w:rPr>
            </w:pPr>
            <w:r w:rsidRPr="0020694F">
              <w:rPr>
                <w:rFonts w:ascii="Times New Roman" w:hAnsi="Times New Roman" w:cs="Times New Roman"/>
                <w:b/>
                <w:bCs/>
                <w:sz w:val="24"/>
                <w:szCs w:val="24"/>
              </w:rPr>
              <w:t>Izteiktais iebildums (priekšlikums) par projekta konkrēto punktu, norādot sabiedrības pārstāvi</w:t>
            </w:r>
          </w:p>
        </w:tc>
        <w:tc>
          <w:tcPr>
            <w:tcW w:w="4172" w:type="dxa"/>
          </w:tcPr>
          <w:p w14:paraId="79E18DA9" w14:textId="25484B1D" w:rsidR="00D756DA" w:rsidRPr="0020694F" w:rsidRDefault="00D756DA" w:rsidP="003D6DD3">
            <w:pPr>
              <w:jc w:val="center"/>
              <w:rPr>
                <w:rFonts w:ascii="Times New Roman" w:hAnsi="Times New Roman" w:cs="Times New Roman"/>
                <w:b/>
                <w:bCs/>
                <w:sz w:val="24"/>
                <w:szCs w:val="24"/>
              </w:rPr>
            </w:pPr>
            <w:r w:rsidRPr="0020694F">
              <w:rPr>
                <w:rFonts w:ascii="Times New Roman" w:hAnsi="Times New Roman" w:cs="Times New Roman"/>
                <w:b/>
                <w:bCs/>
                <w:sz w:val="24"/>
                <w:szCs w:val="24"/>
              </w:rPr>
              <w:t>Latvijas Bankas viedoklis par izteikto iebildumu (priekšlikumu) un norāde, vai tas ņemts vērā</w:t>
            </w:r>
          </w:p>
        </w:tc>
      </w:tr>
      <w:tr w:rsidR="00D756DA" w14:paraId="6E56CB33" w14:textId="77777777" w:rsidTr="0020694F">
        <w:tc>
          <w:tcPr>
            <w:tcW w:w="943" w:type="dxa"/>
          </w:tcPr>
          <w:p w14:paraId="0CEB42B7" w14:textId="3877A135" w:rsidR="00D756DA" w:rsidRPr="00E23FFB" w:rsidRDefault="00772972" w:rsidP="003D6DD3">
            <w:pPr>
              <w:jc w:val="both"/>
              <w:outlineLvl w:val="0"/>
              <w:rPr>
                <w:rFonts w:ascii="Times New Roman" w:eastAsia="Times New Roman" w:hAnsi="Times New Roman" w:cs="Times New Roman"/>
                <w:sz w:val="24"/>
                <w:szCs w:val="24"/>
                <w:lang w:eastAsia="lv-LV"/>
              </w:rPr>
            </w:pPr>
            <w:r w:rsidRPr="00E23FFB">
              <w:rPr>
                <w:rFonts w:ascii="Times New Roman" w:eastAsia="Times New Roman" w:hAnsi="Times New Roman" w:cs="Times New Roman"/>
                <w:sz w:val="24"/>
                <w:szCs w:val="24"/>
                <w:lang w:eastAsia="lv-LV"/>
              </w:rPr>
              <w:t>1.</w:t>
            </w:r>
          </w:p>
        </w:tc>
        <w:tc>
          <w:tcPr>
            <w:tcW w:w="4439" w:type="dxa"/>
          </w:tcPr>
          <w:p w14:paraId="23346F0B" w14:textId="3F6DBAD3" w:rsidR="00D756DA" w:rsidRPr="000023C5" w:rsidRDefault="004C1527" w:rsidP="003F4248">
            <w:pPr>
              <w:rPr>
                <w:rFonts w:ascii="Times New Roman" w:hAnsi="Times New Roman" w:cs="Times New Roman"/>
                <w:sz w:val="24"/>
                <w:szCs w:val="24"/>
              </w:rPr>
            </w:pPr>
            <w:r>
              <w:rPr>
                <w:rFonts w:ascii="Times New Roman" w:hAnsi="Times New Roman" w:cs="Times New Roman"/>
                <w:sz w:val="24"/>
                <w:szCs w:val="24"/>
              </w:rPr>
              <w:t>Not</w:t>
            </w:r>
            <w:r w:rsidR="003E67CA">
              <w:rPr>
                <w:rFonts w:ascii="Times New Roman" w:hAnsi="Times New Roman" w:cs="Times New Roman"/>
                <w:sz w:val="24"/>
                <w:szCs w:val="24"/>
              </w:rPr>
              <w:t>e</w:t>
            </w:r>
            <w:r>
              <w:rPr>
                <w:rFonts w:ascii="Times New Roman" w:hAnsi="Times New Roman" w:cs="Times New Roman"/>
                <w:sz w:val="24"/>
                <w:szCs w:val="24"/>
              </w:rPr>
              <w:t>ikumu projekts kopumā</w:t>
            </w:r>
          </w:p>
        </w:tc>
        <w:tc>
          <w:tcPr>
            <w:tcW w:w="4394" w:type="dxa"/>
          </w:tcPr>
          <w:p w14:paraId="329DAF2F" w14:textId="7D6647D2" w:rsidR="004C1527" w:rsidRPr="004C1527" w:rsidRDefault="004C1527" w:rsidP="003D6DD3">
            <w:pPr>
              <w:jc w:val="both"/>
              <w:rPr>
                <w:rFonts w:ascii="Times New Roman" w:eastAsia="Aptos" w:hAnsi="Times New Roman" w:cs="Times New Roman"/>
                <w:sz w:val="24"/>
                <w:szCs w:val="24"/>
                <w14:ligatures w14:val="standardContextual"/>
              </w:rPr>
            </w:pPr>
            <w:r w:rsidRPr="004C1527">
              <w:rPr>
                <w:rFonts w:ascii="Times New Roman" w:eastAsia="Aptos" w:hAnsi="Times New Roman" w:cs="Times New Roman"/>
                <w:sz w:val="24"/>
                <w:szCs w:val="24"/>
                <w14:ligatures w14:val="standardContextual"/>
              </w:rPr>
              <w:t>Pievēršam uzmanību, ka vēsturiskais ienesīgums negarantē ienesīgumu nākotnē. Pēc būtības šis modelis ir balstīts uz tik daudz pieņēmumiem un vienkāršojumiem, ka nepiedāvā nekādu papildus vērtību klientam, jo mēģina projicēt 20 gadu vecu informāciju uz nākotni, darot to klientam praktiski neiespējami izskaidrojamā veidā. Šim nav vērtības atbilstoši finanšu teorijai un matemātikas pamatprincipiem, kā arī tas patērē lielus līdzekļus, lai šie visi pieņēmumi tiktu ilgtermiņā uzturēti.</w:t>
            </w:r>
          </w:p>
          <w:p w14:paraId="6656779D" w14:textId="77777777" w:rsidR="004C1527" w:rsidRPr="004C1527" w:rsidRDefault="004C1527" w:rsidP="004C1527">
            <w:pPr>
              <w:ind w:firstLine="527"/>
              <w:jc w:val="both"/>
              <w:rPr>
                <w:rFonts w:ascii="Times New Roman" w:eastAsia="Aptos" w:hAnsi="Times New Roman" w:cs="Times New Roman"/>
                <w:sz w:val="24"/>
                <w:szCs w:val="24"/>
                <w14:ligatures w14:val="standardContextual"/>
              </w:rPr>
            </w:pPr>
          </w:p>
          <w:p w14:paraId="1E379E33" w14:textId="77777777" w:rsidR="004C1527" w:rsidRPr="004C1527" w:rsidRDefault="004C1527" w:rsidP="003D6DD3">
            <w:pPr>
              <w:jc w:val="both"/>
              <w:rPr>
                <w:rFonts w:ascii="Times New Roman" w:eastAsia="Aptos" w:hAnsi="Times New Roman" w:cs="Times New Roman"/>
                <w:sz w:val="24"/>
                <w:szCs w:val="24"/>
                <w14:ligatures w14:val="standardContextual"/>
              </w:rPr>
            </w:pPr>
            <w:r w:rsidRPr="004C1527">
              <w:rPr>
                <w:rFonts w:ascii="Times New Roman" w:eastAsia="Aptos" w:hAnsi="Times New Roman" w:cs="Times New Roman"/>
                <w:sz w:val="24"/>
                <w:szCs w:val="24"/>
                <w14:ligatures w14:val="standardContextual"/>
              </w:rPr>
              <w:t>Aicinām apsvērt norādīt klientam vēsturisko ienesīgumu atsevišķi un vienkāršotu nākotnes ienesīguma prognozi, kas veidota balstoties uz vienoti noteiktu ienesīgumu Augsta un Zemāka riska ieguldījumiem un šo ieguldījumu proporciju mērķa portfelī.</w:t>
            </w:r>
          </w:p>
          <w:p w14:paraId="713F665D" w14:textId="77777777" w:rsidR="00D756DA" w:rsidRPr="00E23FFB" w:rsidRDefault="00D756DA" w:rsidP="004C1527">
            <w:pPr>
              <w:rPr>
                <w:rFonts w:ascii="Times New Roman" w:hAnsi="Times New Roman" w:cs="Times New Roman"/>
                <w:sz w:val="24"/>
                <w:szCs w:val="24"/>
              </w:rPr>
            </w:pPr>
          </w:p>
        </w:tc>
        <w:tc>
          <w:tcPr>
            <w:tcW w:w="4172" w:type="dxa"/>
          </w:tcPr>
          <w:p w14:paraId="751302CC" w14:textId="77777777" w:rsidR="00D756DA" w:rsidRPr="00093390" w:rsidRDefault="00093390" w:rsidP="003F4248">
            <w:pPr>
              <w:rPr>
                <w:rFonts w:ascii="Times New Roman" w:hAnsi="Times New Roman" w:cs="Times New Roman"/>
                <w:b/>
                <w:bCs/>
                <w:sz w:val="24"/>
                <w:szCs w:val="24"/>
              </w:rPr>
            </w:pPr>
            <w:r w:rsidRPr="00093390">
              <w:rPr>
                <w:rFonts w:ascii="Times New Roman" w:hAnsi="Times New Roman" w:cs="Times New Roman"/>
                <w:b/>
                <w:bCs/>
                <w:sz w:val="24"/>
                <w:szCs w:val="24"/>
              </w:rPr>
              <w:t>Ņemts vērā.</w:t>
            </w:r>
          </w:p>
          <w:p w14:paraId="6FA4FA4E" w14:textId="77777777" w:rsidR="00D91805" w:rsidRPr="00093390" w:rsidRDefault="00D91805" w:rsidP="003F4248">
            <w:pPr>
              <w:rPr>
                <w:rFonts w:ascii="Times New Roman" w:hAnsi="Times New Roman" w:cs="Times New Roman"/>
                <w:b/>
                <w:bCs/>
                <w:sz w:val="24"/>
                <w:szCs w:val="24"/>
              </w:rPr>
            </w:pPr>
          </w:p>
          <w:p w14:paraId="755F47D0" w14:textId="560FE972" w:rsidR="00093390" w:rsidRDefault="00093390" w:rsidP="003D6DD3">
            <w:pPr>
              <w:jc w:val="both"/>
              <w:rPr>
                <w:rFonts w:ascii="Times New Roman" w:hAnsi="Times New Roman" w:cs="Times New Roman"/>
                <w:sz w:val="24"/>
                <w:szCs w:val="24"/>
              </w:rPr>
            </w:pPr>
            <w:r>
              <w:rPr>
                <w:rFonts w:ascii="Times New Roman" w:hAnsi="Times New Roman" w:cs="Times New Roman"/>
                <w:sz w:val="24"/>
                <w:szCs w:val="24"/>
              </w:rPr>
              <w:t>Pamatojoties uz sabiedrības līdzdalības gaitā no Latvijas Finanšu nozares asociācijas saņemtajiem iebildumiem par noteikumu projektu kopumā, tika organizētas tikšanās, lai uzklausītu tirgus dalībnieku iebildumu būtību un diskutēt</w:t>
            </w:r>
            <w:r w:rsidR="0059249F">
              <w:rPr>
                <w:rFonts w:ascii="Times New Roman" w:hAnsi="Times New Roman" w:cs="Times New Roman"/>
                <w:sz w:val="24"/>
                <w:szCs w:val="24"/>
              </w:rPr>
              <w:t>u</w:t>
            </w:r>
            <w:r>
              <w:rPr>
                <w:rFonts w:ascii="Times New Roman" w:hAnsi="Times New Roman" w:cs="Times New Roman"/>
                <w:sz w:val="24"/>
                <w:szCs w:val="24"/>
              </w:rPr>
              <w:t xml:space="preserve"> par priekšlikumiem situācijas risinājumam. Latvijas Banka ņēma vērā tirgus dalībnieku argumentus un pārstrādāja noteikumu projektu</w:t>
            </w:r>
            <w:r w:rsidR="003E67CA">
              <w:rPr>
                <w:rFonts w:ascii="Times New Roman" w:hAnsi="Times New Roman" w:cs="Times New Roman"/>
                <w:sz w:val="24"/>
                <w:szCs w:val="24"/>
              </w:rPr>
              <w:t>,</w:t>
            </w:r>
            <w:r>
              <w:rPr>
                <w:rFonts w:ascii="Times New Roman" w:hAnsi="Times New Roman" w:cs="Times New Roman"/>
                <w:sz w:val="24"/>
                <w:szCs w:val="24"/>
              </w:rPr>
              <w:t xml:space="preserve"> iekļaujot prasību, ka pensiju izmaksu prognožu aprēķinam </w:t>
            </w:r>
            <w:r w:rsidR="00450105">
              <w:rPr>
                <w:rFonts w:ascii="Times New Roman" w:hAnsi="Times New Roman" w:cs="Times New Roman"/>
                <w:sz w:val="24"/>
                <w:szCs w:val="24"/>
              </w:rPr>
              <w:t>piemēro</w:t>
            </w:r>
            <w:r>
              <w:rPr>
                <w:rFonts w:ascii="Times New Roman" w:hAnsi="Times New Roman" w:cs="Times New Roman"/>
                <w:sz w:val="24"/>
                <w:szCs w:val="24"/>
              </w:rPr>
              <w:t xml:space="preserve"> </w:t>
            </w:r>
            <w:r w:rsidR="00990586" w:rsidRPr="0086166D">
              <w:rPr>
                <w:rFonts w:ascii="Times New Roman" w:eastAsia="Times New Roman" w:hAnsi="Times New Roman" w:cs="Times New Roman"/>
                <w:sz w:val="24"/>
              </w:rPr>
              <w:t xml:space="preserve">Komisijas </w:t>
            </w:r>
            <w:r w:rsidR="00990586" w:rsidRPr="00957F62">
              <w:rPr>
                <w:rFonts w:ascii="Times New Roman" w:eastAsia="Times New Roman" w:hAnsi="Times New Roman" w:cs="Times New Roman"/>
                <w:sz w:val="24"/>
              </w:rPr>
              <w:t>2017.</w:t>
            </w:r>
            <w:r w:rsidR="00990586">
              <w:rPr>
                <w:rFonts w:ascii="Times New Roman" w:eastAsia="Times New Roman" w:hAnsi="Times New Roman" w:cs="Times New Roman"/>
                <w:sz w:val="24"/>
              </w:rPr>
              <w:t> </w:t>
            </w:r>
            <w:r w:rsidR="00990586" w:rsidRPr="00957F62">
              <w:rPr>
                <w:rFonts w:ascii="Times New Roman" w:eastAsia="Times New Roman" w:hAnsi="Times New Roman" w:cs="Times New Roman"/>
                <w:sz w:val="24"/>
              </w:rPr>
              <w:t>gada 8.</w:t>
            </w:r>
            <w:r w:rsidR="00990586">
              <w:rPr>
                <w:rFonts w:ascii="Times New Roman" w:eastAsia="Times New Roman" w:hAnsi="Times New Roman" w:cs="Times New Roman"/>
                <w:sz w:val="24"/>
              </w:rPr>
              <w:t> </w:t>
            </w:r>
            <w:r w:rsidR="00990586" w:rsidRPr="00957F62">
              <w:rPr>
                <w:rFonts w:ascii="Times New Roman" w:eastAsia="Times New Roman" w:hAnsi="Times New Roman" w:cs="Times New Roman"/>
                <w:sz w:val="24"/>
              </w:rPr>
              <w:t xml:space="preserve">marta </w:t>
            </w:r>
            <w:r w:rsidR="00990586" w:rsidRPr="0086166D">
              <w:rPr>
                <w:rFonts w:ascii="Times New Roman" w:eastAsia="Times New Roman" w:hAnsi="Times New Roman" w:cs="Times New Roman"/>
                <w:sz w:val="24"/>
              </w:rPr>
              <w:t>deleģēt</w:t>
            </w:r>
            <w:r w:rsidR="00990586">
              <w:rPr>
                <w:rFonts w:ascii="Times New Roman" w:eastAsia="Times New Roman" w:hAnsi="Times New Roman" w:cs="Times New Roman"/>
                <w:sz w:val="24"/>
              </w:rPr>
              <w:t>ajā</w:t>
            </w:r>
            <w:r w:rsidR="00990586" w:rsidRPr="0086166D">
              <w:rPr>
                <w:rFonts w:ascii="Times New Roman" w:eastAsia="Times New Roman" w:hAnsi="Times New Roman" w:cs="Times New Roman"/>
                <w:sz w:val="24"/>
              </w:rPr>
              <w:t xml:space="preserve"> regul</w:t>
            </w:r>
            <w:r w:rsidR="00990586">
              <w:rPr>
                <w:rFonts w:ascii="Times New Roman" w:eastAsia="Times New Roman" w:hAnsi="Times New Roman" w:cs="Times New Roman"/>
                <w:sz w:val="24"/>
              </w:rPr>
              <w:t>ā</w:t>
            </w:r>
            <w:r w:rsidR="00990586" w:rsidRPr="0086166D">
              <w:rPr>
                <w:rFonts w:ascii="Times New Roman" w:eastAsia="Times New Roman" w:hAnsi="Times New Roman" w:cs="Times New Roman"/>
                <w:sz w:val="24"/>
              </w:rPr>
              <w:t xml:space="preserve"> (ES)</w:t>
            </w:r>
            <w:r w:rsidR="00990586">
              <w:rPr>
                <w:rFonts w:ascii="Times New Roman" w:eastAsia="Times New Roman" w:hAnsi="Times New Roman" w:cs="Times New Roman"/>
                <w:sz w:val="24"/>
              </w:rPr>
              <w:t> </w:t>
            </w:r>
            <w:r w:rsidR="00990586" w:rsidRPr="0086166D">
              <w:rPr>
                <w:rFonts w:ascii="Times New Roman" w:eastAsia="Times New Roman" w:hAnsi="Times New Roman" w:cs="Times New Roman"/>
                <w:sz w:val="24"/>
              </w:rPr>
              <w:t>2017/653</w:t>
            </w:r>
            <w:r w:rsidR="00990586">
              <w:rPr>
                <w:rFonts w:ascii="Times New Roman" w:eastAsia="Times New Roman" w:hAnsi="Times New Roman" w:cs="Times New Roman"/>
                <w:sz w:val="24"/>
              </w:rPr>
              <w:t>,</w:t>
            </w:r>
            <w:r w:rsidR="00990586" w:rsidRPr="0086166D">
              <w:rPr>
                <w:rFonts w:ascii="Times New Roman" w:eastAsia="Times New Roman" w:hAnsi="Times New Roman" w:cs="Times New Roman"/>
                <w:sz w:val="24"/>
              </w:rPr>
              <w:t xml:space="preserve"> ar ko papildina Eiropas Parlamenta un </w:t>
            </w:r>
            <w:r w:rsidR="00990586">
              <w:rPr>
                <w:rFonts w:ascii="Times New Roman" w:eastAsia="Times New Roman" w:hAnsi="Times New Roman" w:cs="Times New Roman"/>
                <w:sz w:val="24"/>
              </w:rPr>
              <w:t>P</w:t>
            </w:r>
            <w:r w:rsidR="00990586" w:rsidRPr="0086166D">
              <w:rPr>
                <w:rFonts w:ascii="Times New Roman" w:eastAsia="Times New Roman" w:hAnsi="Times New Roman" w:cs="Times New Roman"/>
                <w:sz w:val="24"/>
              </w:rPr>
              <w:t>adomes regulu (ES)</w:t>
            </w:r>
            <w:r w:rsidR="00990586">
              <w:rPr>
                <w:rFonts w:ascii="Times New Roman" w:eastAsia="Times New Roman" w:hAnsi="Times New Roman" w:cs="Times New Roman"/>
                <w:sz w:val="24"/>
              </w:rPr>
              <w:t> </w:t>
            </w:r>
            <w:r w:rsidR="00990586" w:rsidRPr="0086166D">
              <w:rPr>
                <w:rFonts w:ascii="Times New Roman" w:eastAsia="Times New Roman" w:hAnsi="Times New Roman" w:cs="Times New Roman"/>
                <w:sz w:val="24"/>
              </w:rPr>
              <w:t xml:space="preserve">1286/2014 par komplektētu privāto ieguldījumu un apdrošināšanas ieguldījumu produktu (PRIIP) pamatinformācijas dokumentiem, </w:t>
            </w:r>
            <w:r w:rsidR="00990586" w:rsidRPr="0086166D">
              <w:rPr>
                <w:rFonts w:ascii="Times New Roman" w:eastAsia="Times New Roman" w:hAnsi="Times New Roman" w:cs="Times New Roman"/>
                <w:sz w:val="24"/>
              </w:rPr>
              <w:lastRenderedPageBreak/>
              <w:t xml:space="preserve">nosakot regulatīvos tehniskos standartus attiecībā uz pamatinformācijas dokumentu </w:t>
            </w:r>
            <w:r w:rsidR="00990586" w:rsidRPr="00990586">
              <w:rPr>
                <w:rFonts w:ascii="Times New Roman" w:eastAsia="Times New Roman" w:hAnsi="Times New Roman" w:cs="Times New Roman"/>
                <w:sz w:val="24"/>
              </w:rPr>
              <w:t xml:space="preserve">noformējumu, saturu, pārskatīšanu un pārstrādāšanu un šādu dokumentu sniegšanas prasību izpildes nosacījumiem (turpmāk – </w:t>
            </w:r>
            <w:r w:rsidRPr="00990586">
              <w:rPr>
                <w:rFonts w:ascii="Times New Roman" w:hAnsi="Times New Roman" w:cs="Times New Roman"/>
                <w:sz w:val="24"/>
                <w:szCs w:val="24"/>
              </w:rPr>
              <w:t>PRIIPs regul</w:t>
            </w:r>
            <w:r w:rsidR="00990586" w:rsidRPr="00990586">
              <w:rPr>
                <w:rFonts w:ascii="Times New Roman" w:hAnsi="Times New Roman" w:cs="Times New Roman"/>
                <w:sz w:val="24"/>
                <w:szCs w:val="24"/>
              </w:rPr>
              <w:t>a)</w:t>
            </w:r>
            <w:r>
              <w:rPr>
                <w:rFonts w:ascii="Times New Roman" w:hAnsi="Times New Roman" w:cs="Times New Roman"/>
                <w:sz w:val="24"/>
                <w:szCs w:val="24"/>
              </w:rPr>
              <w:t xml:space="preserve"> noteiktās prasības prognožu scenāriju aprēķiniem.</w:t>
            </w:r>
          </w:p>
          <w:p w14:paraId="5A78FB8A" w14:textId="1B3FB7E6" w:rsidR="00093390" w:rsidRPr="000023C5" w:rsidRDefault="00093390" w:rsidP="003F4248">
            <w:pPr>
              <w:rPr>
                <w:rFonts w:ascii="Times New Roman" w:hAnsi="Times New Roman" w:cs="Times New Roman"/>
                <w:sz w:val="24"/>
                <w:szCs w:val="24"/>
              </w:rPr>
            </w:pPr>
          </w:p>
        </w:tc>
      </w:tr>
      <w:tr w:rsidR="00AF035B" w14:paraId="1D826934" w14:textId="77777777" w:rsidTr="0020694F">
        <w:tc>
          <w:tcPr>
            <w:tcW w:w="943" w:type="dxa"/>
          </w:tcPr>
          <w:p w14:paraId="34831043" w14:textId="7FE5C81A" w:rsidR="00AF035B" w:rsidRPr="00E23FFB" w:rsidRDefault="00E23FFB" w:rsidP="003D6DD3">
            <w:pPr>
              <w:jc w:val="both"/>
              <w:outlineLvl w:val="0"/>
              <w:rPr>
                <w:rFonts w:ascii="Times New Roman" w:eastAsia="Times New Roman" w:hAnsi="Times New Roman" w:cs="Times New Roman"/>
                <w:sz w:val="24"/>
                <w:szCs w:val="24"/>
                <w:lang w:eastAsia="lv-LV"/>
              </w:rPr>
            </w:pPr>
            <w:r w:rsidRPr="00E23FFB">
              <w:rPr>
                <w:rFonts w:ascii="Times New Roman" w:eastAsia="Times New Roman" w:hAnsi="Times New Roman" w:cs="Times New Roman"/>
                <w:sz w:val="24"/>
                <w:szCs w:val="24"/>
                <w:lang w:eastAsia="lv-LV"/>
              </w:rPr>
              <w:lastRenderedPageBreak/>
              <w:t>2.</w:t>
            </w:r>
          </w:p>
        </w:tc>
        <w:tc>
          <w:tcPr>
            <w:tcW w:w="4439" w:type="dxa"/>
          </w:tcPr>
          <w:p w14:paraId="2313B17C" w14:textId="1A7B23F2" w:rsidR="00AF035B" w:rsidRPr="000023C5" w:rsidRDefault="004C1527" w:rsidP="003F4248">
            <w:pPr>
              <w:rPr>
                <w:rFonts w:ascii="Times New Roman" w:hAnsi="Times New Roman" w:cs="Times New Roman"/>
                <w:sz w:val="24"/>
                <w:szCs w:val="24"/>
              </w:rPr>
            </w:pPr>
            <w:r>
              <w:rPr>
                <w:rFonts w:ascii="Times New Roman" w:hAnsi="Times New Roman" w:cs="Times New Roman"/>
                <w:sz w:val="24"/>
                <w:szCs w:val="24"/>
              </w:rPr>
              <w:t>Noteikumu projekts kopumā</w:t>
            </w:r>
          </w:p>
        </w:tc>
        <w:tc>
          <w:tcPr>
            <w:tcW w:w="4394" w:type="dxa"/>
          </w:tcPr>
          <w:p w14:paraId="2DD9432D" w14:textId="77777777" w:rsidR="004C1527" w:rsidRPr="004C1527" w:rsidRDefault="004C1527" w:rsidP="003D6DD3">
            <w:pPr>
              <w:jc w:val="both"/>
              <w:rPr>
                <w:rFonts w:ascii="Times New Roman" w:eastAsia="Times New Roman" w:hAnsi="Times New Roman" w:cs="Times New Roman"/>
                <w:sz w:val="24"/>
                <w:szCs w:val="24"/>
                <w:lang w:eastAsia="lv-LV"/>
              </w:rPr>
            </w:pPr>
            <w:r w:rsidRPr="004C1527">
              <w:rPr>
                <w:rFonts w:ascii="Times New Roman" w:eastAsia="Times New Roman" w:hAnsi="Times New Roman" w:cs="Times New Roman"/>
                <w:sz w:val="24"/>
                <w:szCs w:val="24"/>
                <w:lang w:eastAsia="lv-LV"/>
              </w:rPr>
              <w:t xml:space="preserve">Pievēršam uzmanību, ka noteikumu projektā ietvertais regulējums ir ļoti sarežģīts, jo matemātiskas darbības tiek aprakstītas balstoties uz regulējuma sagatavotāja pieeju/redzējumu, kas nebūt nav pašsaprotama. </w:t>
            </w:r>
          </w:p>
          <w:p w14:paraId="02F2E467" w14:textId="77777777" w:rsidR="004C1527" w:rsidRPr="004C1527" w:rsidRDefault="004C1527" w:rsidP="003D6DD3">
            <w:pPr>
              <w:jc w:val="both"/>
              <w:rPr>
                <w:rFonts w:ascii="Times New Roman" w:eastAsia="Times New Roman" w:hAnsi="Times New Roman" w:cs="Times New Roman"/>
                <w:sz w:val="24"/>
                <w:szCs w:val="24"/>
                <w:lang w:eastAsia="lv-LV"/>
              </w:rPr>
            </w:pPr>
          </w:p>
          <w:p w14:paraId="458C9F0A" w14:textId="2944F006" w:rsidR="00AF035B" w:rsidRDefault="004C1527" w:rsidP="003D6DD3">
            <w:pPr>
              <w:jc w:val="both"/>
              <w:rPr>
                <w:rFonts w:ascii="Times New Roman" w:eastAsia="Times New Roman" w:hAnsi="Times New Roman" w:cs="Times New Roman"/>
                <w:sz w:val="24"/>
                <w:szCs w:val="24"/>
                <w:lang w:eastAsia="lv-LV"/>
              </w:rPr>
            </w:pPr>
            <w:r w:rsidRPr="004C1527">
              <w:rPr>
                <w:rFonts w:ascii="Times New Roman" w:eastAsia="Times New Roman" w:hAnsi="Times New Roman" w:cs="Times New Roman"/>
                <w:sz w:val="24"/>
                <w:szCs w:val="24"/>
                <w:lang w:eastAsia="lv-LV"/>
              </w:rPr>
              <w:t xml:space="preserve">Ja tiek saglabāts šāds koncepts ar sarežģītu aprēķinu, tad noteikti būtu nepieciešams, lai regulējumā kā neatņemamu noteikumu saturu pievieno, piemēram, izklājlapas (resp. </w:t>
            </w:r>
            <w:proofErr w:type="spellStart"/>
            <w:r w:rsidRPr="004C1527">
              <w:rPr>
                <w:rFonts w:ascii="Times New Roman" w:eastAsia="Times New Roman" w:hAnsi="Times New Roman" w:cs="Times New Roman"/>
                <w:sz w:val="24"/>
                <w:szCs w:val="24"/>
                <w:lang w:eastAsia="lv-LV"/>
              </w:rPr>
              <w:t>excel</w:t>
            </w:r>
            <w:proofErr w:type="spellEnd"/>
            <w:r w:rsidRPr="004C1527">
              <w:rPr>
                <w:rFonts w:ascii="Times New Roman" w:eastAsia="Times New Roman" w:hAnsi="Times New Roman" w:cs="Times New Roman"/>
                <w:sz w:val="24"/>
                <w:szCs w:val="24"/>
                <w:lang w:eastAsia="lv-LV"/>
              </w:rPr>
              <w:t>) modeli (piemēru pielikumā), kas parāda, kā aprakstītais mehānisms ir jāpiemēro ar tipiskākajiem konkrētiem piemēriem.</w:t>
            </w:r>
          </w:p>
        </w:tc>
        <w:tc>
          <w:tcPr>
            <w:tcW w:w="4172" w:type="dxa"/>
          </w:tcPr>
          <w:p w14:paraId="3B527BB1" w14:textId="77777777" w:rsidR="00AF035B" w:rsidRPr="00093390" w:rsidRDefault="00093390" w:rsidP="003F4248">
            <w:pPr>
              <w:rPr>
                <w:rFonts w:ascii="Times New Roman" w:hAnsi="Times New Roman" w:cs="Times New Roman"/>
                <w:b/>
                <w:bCs/>
                <w:sz w:val="24"/>
                <w:szCs w:val="24"/>
              </w:rPr>
            </w:pPr>
            <w:r w:rsidRPr="00093390">
              <w:rPr>
                <w:rFonts w:ascii="Times New Roman" w:hAnsi="Times New Roman" w:cs="Times New Roman"/>
                <w:b/>
                <w:bCs/>
                <w:sz w:val="24"/>
                <w:szCs w:val="24"/>
              </w:rPr>
              <w:t>Ņemts vērā.</w:t>
            </w:r>
          </w:p>
          <w:p w14:paraId="15C17793" w14:textId="77777777" w:rsidR="00BA1C43" w:rsidRPr="00093390" w:rsidRDefault="00BA1C43" w:rsidP="003F4248">
            <w:pPr>
              <w:rPr>
                <w:rFonts w:ascii="Times New Roman" w:hAnsi="Times New Roman" w:cs="Times New Roman"/>
                <w:b/>
                <w:bCs/>
                <w:sz w:val="24"/>
                <w:szCs w:val="24"/>
              </w:rPr>
            </w:pPr>
          </w:p>
          <w:p w14:paraId="3EBE16ED" w14:textId="123D57B3" w:rsidR="00093390" w:rsidRPr="000023C5" w:rsidRDefault="00093390" w:rsidP="003F4248">
            <w:pPr>
              <w:rPr>
                <w:rFonts w:ascii="Times New Roman" w:hAnsi="Times New Roman" w:cs="Times New Roman"/>
                <w:sz w:val="24"/>
                <w:szCs w:val="24"/>
              </w:rPr>
            </w:pPr>
            <w:r>
              <w:rPr>
                <w:rFonts w:ascii="Times New Roman" w:hAnsi="Times New Roman" w:cs="Times New Roman"/>
                <w:sz w:val="24"/>
                <w:szCs w:val="24"/>
              </w:rPr>
              <w:t>Skatīt Latvijas Bankas komentāru anotācijas pielikuma 1.</w:t>
            </w:r>
            <w:r w:rsidR="0091059E">
              <w:rPr>
                <w:rFonts w:ascii="Times New Roman" w:hAnsi="Times New Roman" w:cs="Times New Roman"/>
                <w:sz w:val="24"/>
                <w:szCs w:val="24"/>
              </w:rPr>
              <w:t> </w:t>
            </w:r>
            <w:r>
              <w:rPr>
                <w:rFonts w:ascii="Times New Roman" w:hAnsi="Times New Roman" w:cs="Times New Roman"/>
                <w:sz w:val="24"/>
                <w:szCs w:val="24"/>
              </w:rPr>
              <w:t>punktā.</w:t>
            </w:r>
          </w:p>
        </w:tc>
      </w:tr>
      <w:tr w:rsidR="00AF035B" w14:paraId="1FA41903" w14:textId="77777777" w:rsidTr="0020694F">
        <w:tc>
          <w:tcPr>
            <w:tcW w:w="943" w:type="dxa"/>
          </w:tcPr>
          <w:p w14:paraId="666394A1" w14:textId="3C38F588" w:rsidR="00AF035B" w:rsidRPr="00E23FFB" w:rsidRDefault="00E23FFB" w:rsidP="003D6DD3">
            <w:pPr>
              <w:jc w:val="both"/>
              <w:outlineLvl w:val="0"/>
              <w:rPr>
                <w:rFonts w:ascii="Times New Roman" w:eastAsia="Times New Roman" w:hAnsi="Times New Roman" w:cs="Times New Roman"/>
                <w:sz w:val="24"/>
                <w:szCs w:val="24"/>
                <w:lang w:eastAsia="lv-LV"/>
              </w:rPr>
            </w:pPr>
            <w:r w:rsidRPr="00E23FFB">
              <w:rPr>
                <w:rFonts w:ascii="Times New Roman" w:eastAsia="Times New Roman" w:hAnsi="Times New Roman" w:cs="Times New Roman"/>
                <w:sz w:val="24"/>
                <w:szCs w:val="24"/>
                <w:lang w:eastAsia="lv-LV"/>
              </w:rPr>
              <w:t>3.</w:t>
            </w:r>
          </w:p>
        </w:tc>
        <w:tc>
          <w:tcPr>
            <w:tcW w:w="4439" w:type="dxa"/>
          </w:tcPr>
          <w:p w14:paraId="1549DE06" w14:textId="0F03244A" w:rsidR="00AF035B" w:rsidRPr="000023C5" w:rsidRDefault="004C1527" w:rsidP="003F4248">
            <w:pPr>
              <w:rPr>
                <w:rFonts w:ascii="Times New Roman" w:hAnsi="Times New Roman" w:cs="Times New Roman"/>
                <w:sz w:val="24"/>
                <w:szCs w:val="24"/>
              </w:rPr>
            </w:pPr>
            <w:r>
              <w:rPr>
                <w:rFonts w:ascii="Times New Roman" w:hAnsi="Times New Roman" w:cs="Times New Roman"/>
                <w:sz w:val="24"/>
                <w:szCs w:val="24"/>
              </w:rPr>
              <w:t>Noteikumu projekts kopumā</w:t>
            </w:r>
          </w:p>
        </w:tc>
        <w:tc>
          <w:tcPr>
            <w:tcW w:w="4394" w:type="dxa"/>
          </w:tcPr>
          <w:p w14:paraId="4DD7577B" w14:textId="1393B68D" w:rsidR="00AF035B" w:rsidRPr="00E23FFB" w:rsidRDefault="004C1527" w:rsidP="003D6DD3">
            <w:pPr>
              <w:jc w:val="both"/>
              <w:rPr>
                <w:rFonts w:ascii="Times New Roman" w:eastAsia="Times New Roman" w:hAnsi="Times New Roman" w:cs="Times New Roman"/>
                <w:sz w:val="24"/>
                <w:szCs w:val="24"/>
                <w:lang w:eastAsia="lv-LV"/>
              </w:rPr>
            </w:pPr>
            <w:r w:rsidRPr="00E23FFB">
              <w:rPr>
                <w:rFonts w:ascii="Times New Roman" w:eastAsia="Aptos" w:hAnsi="Times New Roman" w:cs="Times New Roman"/>
                <w:sz w:val="24"/>
                <w:szCs w:val="24"/>
                <w14:ligatures w14:val="standardContextual"/>
              </w:rPr>
              <w:t xml:space="preserve">Pievēršam uzmanību, ka piedāvātais regulējuma projekts un piedāvātie atskaites indeksi neņem vērā Ilgtspējīgu ieguldījumu specifiku, saliktos finanšu instrumentus un </w:t>
            </w:r>
            <w:r w:rsidRPr="00E23FFB">
              <w:rPr>
                <w:rFonts w:ascii="Times New Roman" w:eastAsia="Aptos" w:hAnsi="Times New Roman" w:cs="Times New Roman"/>
                <w:sz w:val="24"/>
                <w:szCs w:val="24"/>
                <w14:ligatures w14:val="standardContextual"/>
              </w:rPr>
              <w:lastRenderedPageBreak/>
              <w:t>HTM (</w:t>
            </w:r>
            <w:r w:rsidR="00D91805">
              <w:rPr>
                <w:rFonts w:ascii="Times New Roman" w:eastAsia="Aptos" w:hAnsi="Times New Roman" w:cs="Times New Roman"/>
                <w:i/>
                <w:iCs/>
                <w:sz w:val="24"/>
                <w:szCs w:val="24"/>
                <w14:ligatures w14:val="standardContextual"/>
              </w:rPr>
              <w:t>"</w:t>
            </w:r>
            <w:r w:rsidRPr="00E23FFB">
              <w:rPr>
                <w:rFonts w:ascii="Times New Roman" w:eastAsia="Aptos" w:hAnsi="Times New Roman" w:cs="Times New Roman"/>
                <w:i/>
                <w:iCs/>
                <w:sz w:val="24"/>
                <w:szCs w:val="24"/>
                <w14:ligatures w14:val="standardContextual"/>
              </w:rPr>
              <w:t xml:space="preserve">Held to </w:t>
            </w:r>
            <w:proofErr w:type="spellStart"/>
            <w:r w:rsidRPr="00E23FFB">
              <w:rPr>
                <w:rFonts w:ascii="Times New Roman" w:eastAsia="Aptos" w:hAnsi="Times New Roman" w:cs="Times New Roman"/>
                <w:i/>
                <w:iCs/>
                <w:sz w:val="24"/>
                <w:szCs w:val="24"/>
                <w14:ligatures w14:val="standardContextual"/>
              </w:rPr>
              <w:t>maturity</w:t>
            </w:r>
            <w:proofErr w:type="spellEnd"/>
            <w:r w:rsidR="00D91805">
              <w:rPr>
                <w:rFonts w:ascii="Times New Roman" w:eastAsia="Aptos" w:hAnsi="Times New Roman" w:cs="Times New Roman"/>
                <w:i/>
                <w:iCs/>
                <w:sz w:val="24"/>
                <w:szCs w:val="24"/>
                <w14:ligatures w14:val="standardContextual"/>
              </w:rPr>
              <w:t>"</w:t>
            </w:r>
            <w:r w:rsidRPr="00E23FFB">
              <w:rPr>
                <w:rFonts w:ascii="Times New Roman" w:eastAsia="Aptos" w:hAnsi="Times New Roman" w:cs="Times New Roman"/>
                <w:sz w:val="24"/>
                <w:szCs w:val="24"/>
                <w14:ligatures w14:val="standardContextual"/>
              </w:rPr>
              <w:t>) portfeļa novērtējuma specifiku</w:t>
            </w:r>
            <w:r w:rsidR="005255B2">
              <w:rPr>
                <w:rFonts w:ascii="Times New Roman" w:eastAsia="Aptos" w:hAnsi="Times New Roman" w:cs="Times New Roman"/>
                <w:sz w:val="24"/>
                <w:szCs w:val="24"/>
                <w14:ligatures w14:val="standardContextual"/>
              </w:rPr>
              <w:t>.</w:t>
            </w:r>
          </w:p>
        </w:tc>
        <w:tc>
          <w:tcPr>
            <w:tcW w:w="4172" w:type="dxa"/>
          </w:tcPr>
          <w:p w14:paraId="2719C73A" w14:textId="77777777" w:rsidR="00093390" w:rsidRPr="00093390" w:rsidRDefault="00093390" w:rsidP="00093390">
            <w:pPr>
              <w:rPr>
                <w:rFonts w:ascii="Times New Roman" w:hAnsi="Times New Roman" w:cs="Times New Roman"/>
                <w:b/>
                <w:bCs/>
                <w:sz w:val="24"/>
                <w:szCs w:val="24"/>
              </w:rPr>
            </w:pPr>
            <w:r w:rsidRPr="00093390">
              <w:rPr>
                <w:rFonts w:ascii="Times New Roman" w:hAnsi="Times New Roman" w:cs="Times New Roman"/>
                <w:b/>
                <w:bCs/>
                <w:sz w:val="24"/>
                <w:szCs w:val="24"/>
              </w:rPr>
              <w:lastRenderedPageBreak/>
              <w:t>Ņemts vērā.</w:t>
            </w:r>
          </w:p>
          <w:p w14:paraId="7CCF6044" w14:textId="77777777" w:rsidR="00BA1C43" w:rsidRPr="00093390" w:rsidRDefault="00BA1C43" w:rsidP="00093390">
            <w:pPr>
              <w:rPr>
                <w:rFonts w:ascii="Times New Roman" w:hAnsi="Times New Roman" w:cs="Times New Roman"/>
                <w:b/>
                <w:bCs/>
                <w:sz w:val="24"/>
                <w:szCs w:val="24"/>
              </w:rPr>
            </w:pPr>
          </w:p>
          <w:p w14:paraId="5943F894" w14:textId="3BFDCA0E" w:rsidR="00AF035B" w:rsidRPr="000023C5" w:rsidRDefault="00093390" w:rsidP="003D6DD3">
            <w:pPr>
              <w:jc w:val="both"/>
              <w:rPr>
                <w:rFonts w:ascii="Times New Roman" w:hAnsi="Times New Roman" w:cs="Times New Roman"/>
                <w:sz w:val="24"/>
                <w:szCs w:val="24"/>
              </w:rPr>
            </w:pPr>
            <w:r>
              <w:rPr>
                <w:rFonts w:ascii="Times New Roman" w:hAnsi="Times New Roman" w:cs="Times New Roman"/>
                <w:sz w:val="24"/>
                <w:szCs w:val="24"/>
              </w:rPr>
              <w:t>Skatīt Latvijas Bankas komentāru anotācijas pielikuma 1.</w:t>
            </w:r>
            <w:r w:rsidR="0091059E">
              <w:rPr>
                <w:rFonts w:ascii="Times New Roman" w:hAnsi="Times New Roman" w:cs="Times New Roman"/>
                <w:sz w:val="24"/>
                <w:szCs w:val="24"/>
              </w:rPr>
              <w:t> </w:t>
            </w:r>
            <w:r>
              <w:rPr>
                <w:rFonts w:ascii="Times New Roman" w:hAnsi="Times New Roman" w:cs="Times New Roman"/>
                <w:sz w:val="24"/>
                <w:szCs w:val="24"/>
              </w:rPr>
              <w:t>punktā.</w:t>
            </w:r>
          </w:p>
        </w:tc>
      </w:tr>
      <w:tr w:rsidR="00AF035B" w14:paraId="51C191F4" w14:textId="77777777" w:rsidTr="0020694F">
        <w:tc>
          <w:tcPr>
            <w:tcW w:w="943" w:type="dxa"/>
          </w:tcPr>
          <w:p w14:paraId="10FC75A1" w14:textId="43A56D0E" w:rsidR="00AF035B" w:rsidRPr="00B276C5" w:rsidRDefault="00B276C5" w:rsidP="003D6DD3">
            <w:pPr>
              <w:jc w:val="both"/>
              <w:outlineLvl w:val="0"/>
              <w:rPr>
                <w:rFonts w:ascii="Times New Roman" w:eastAsia="Times New Roman" w:hAnsi="Times New Roman" w:cs="Times New Roman"/>
                <w:sz w:val="24"/>
                <w:szCs w:val="24"/>
                <w:lang w:eastAsia="lv-LV"/>
              </w:rPr>
            </w:pPr>
            <w:r w:rsidRPr="00B276C5">
              <w:rPr>
                <w:rFonts w:ascii="Times New Roman" w:eastAsia="Times New Roman" w:hAnsi="Times New Roman" w:cs="Times New Roman"/>
                <w:sz w:val="24"/>
                <w:szCs w:val="24"/>
                <w:lang w:eastAsia="lv-LV"/>
              </w:rPr>
              <w:t>4.</w:t>
            </w:r>
          </w:p>
        </w:tc>
        <w:tc>
          <w:tcPr>
            <w:tcW w:w="4439" w:type="dxa"/>
          </w:tcPr>
          <w:p w14:paraId="40395111" w14:textId="53445386" w:rsidR="00AF035B" w:rsidRPr="00B276C5" w:rsidRDefault="00E23FFB" w:rsidP="003D6DD3">
            <w:pPr>
              <w:jc w:val="both"/>
              <w:rPr>
                <w:rFonts w:ascii="Times New Roman" w:hAnsi="Times New Roman" w:cs="Times New Roman"/>
                <w:sz w:val="24"/>
                <w:szCs w:val="24"/>
              </w:rPr>
            </w:pPr>
            <w:r w:rsidRPr="00E23FFB">
              <w:rPr>
                <w:rFonts w:ascii="Times New Roman" w:eastAsia="Aptos" w:hAnsi="Times New Roman" w:cs="Times New Roman"/>
                <w:sz w:val="24"/>
                <w:szCs w:val="24"/>
                <w14:ligatures w14:val="standardContextual"/>
              </w:rPr>
              <w:t xml:space="preserve">4. Informāciju par pensiju izmaksu prognozēm sagatavo vienkāršā un plašam pensiju plāna dalībnieku lokam saprotamā valodā, ietverot paskaidrojumus un izmantojot vizualizācijas iespējas, lai pensiju plāna dalībnieks varētu prognozes viegli saprast un tās būtu nepārprotamas. Pensiju izmaksu prognožu aprēķinu sagatavo par stāvokli </w:t>
            </w:r>
            <w:r w:rsidRPr="00E23FFB">
              <w:rPr>
                <w:rFonts w:ascii="Times New Roman" w:eastAsia="Aptos" w:hAnsi="Times New Roman" w:cs="Times New Roman"/>
                <w:sz w:val="24"/>
                <w:szCs w:val="24"/>
                <w:u w:val="single"/>
                <w14:ligatures w14:val="standardContextual"/>
              </w:rPr>
              <w:t>pārskata gada pēdējās darba dienas beigās</w:t>
            </w:r>
            <w:r w:rsidRPr="00E23FFB">
              <w:rPr>
                <w:rFonts w:ascii="Times New Roman" w:eastAsia="Aptos" w:hAnsi="Times New Roman" w:cs="Times New Roman"/>
                <w:sz w:val="24"/>
                <w:szCs w:val="24"/>
                <w14:ligatures w14:val="standardContextual"/>
              </w:rPr>
              <w:t>.</w:t>
            </w:r>
          </w:p>
        </w:tc>
        <w:tc>
          <w:tcPr>
            <w:tcW w:w="4394" w:type="dxa"/>
          </w:tcPr>
          <w:p w14:paraId="64EE4B9A" w14:textId="31C03485" w:rsidR="00E23FFB" w:rsidRPr="00E23FFB" w:rsidRDefault="00E23FFB" w:rsidP="00E23FFB">
            <w:pPr>
              <w:ind w:firstLine="527"/>
              <w:jc w:val="both"/>
              <w:rPr>
                <w:rFonts w:ascii="Times New Roman" w:eastAsia="Aptos" w:hAnsi="Times New Roman" w:cs="Times New Roman"/>
                <w:sz w:val="24"/>
                <w:szCs w:val="24"/>
                <w14:ligatures w14:val="standardContextual"/>
              </w:rPr>
            </w:pPr>
            <w:r w:rsidRPr="00E23FFB">
              <w:rPr>
                <w:rFonts w:ascii="Times New Roman" w:eastAsia="Aptos" w:hAnsi="Times New Roman" w:cs="Times New Roman"/>
                <w:sz w:val="24"/>
                <w:szCs w:val="24"/>
                <w14:ligatures w14:val="standardContextual"/>
              </w:rPr>
              <w:t xml:space="preserve">Ievērojot to, ka ienesīgums tiek rēķināts izmantojot pēdējo gada pieejamo cenu, aicinām apsvērt, piemēram, paredzēt aprēķinu veikt </w:t>
            </w:r>
            <w:r w:rsidR="00D91805">
              <w:rPr>
                <w:rFonts w:ascii="Times New Roman" w:eastAsia="Aptos" w:hAnsi="Times New Roman" w:cs="Times New Roman"/>
                <w:sz w:val="24"/>
                <w:szCs w:val="24"/>
                <w14:ligatures w14:val="standardContextual"/>
              </w:rPr>
              <w:t>"</w:t>
            </w:r>
            <w:r w:rsidRPr="00E23FFB">
              <w:rPr>
                <w:rFonts w:ascii="Times New Roman" w:eastAsia="Aptos" w:hAnsi="Times New Roman" w:cs="Times New Roman"/>
                <w:sz w:val="24"/>
                <w:szCs w:val="24"/>
                <w14:ligatures w14:val="standardContextual"/>
              </w:rPr>
              <w:t>pārskata gada perioda beigās</w:t>
            </w:r>
            <w:r w:rsidR="00D91805">
              <w:rPr>
                <w:rFonts w:ascii="Times New Roman" w:eastAsia="Aptos" w:hAnsi="Times New Roman" w:cs="Times New Roman"/>
                <w:sz w:val="24"/>
                <w:szCs w:val="24"/>
                <w14:ligatures w14:val="standardContextual"/>
              </w:rPr>
              <w:t>"</w:t>
            </w:r>
            <w:r w:rsidRPr="00E23FFB">
              <w:rPr>
                <w:rFonts w:ascii="Times New Roman" w:eastAsia="Aptos" w:hAnsi="Times New Roman" w:cs="Times New Roman"/>
                <w:sz w:val="24"/>
                <w:szCs w:val="24"/>
                <w14:ligatures w14:val="standardContextual"/>
              </w:rPr>
              <w:t>.</w:t>
            </w:r>
          </w:p>
          <w:p w14:paraId="71E7E020" w14:textId="77777777" w:rsidR="00AF035B" w:rsidRPr="00B276C5" w:rsidRDefault="00AF035B" w:rsidP="003D6DD3">
            <w:pPr>
              <w:jc w:val="both"/>
              <w:rPr>
                <w:rFonts w:ascii="Times New Roman" w:eastAsia="Times New Roman" w:hAnsi="Times New Roman" w:cs="Times New Roman"/>
                <w:sz w:val="24"/>
                <w:szCs w:val="24"/>
                <w:lang w:eastAsia="lv-LV"/>
              </w:rPr>
            </w:pPr>
          </w:p>
        </w:tc>
        <w:tc>
          <w:tcPr>
            <w:tcW w:w="4172" w:type="dxa"/>
          </w:tcPr>
          <w:p w14:paraId="37EF5243" w14:textId="77777777" w:rsidR="00AF035B" w:rsidRPr="00093390" w:rsidRDefault="00093390" w:rsidP="003F4248">
            <w:pPr>
              <w:rPr>
                <w:rFonts w:ascii="Times New Roman" w:hAnsi="Times New Roman" w:cs="Times New Roman"/>
                <w:b/>
                <w:bCs/>
                <w:sz w:val="24"/>
                <w:szCs w:val="24"/>
              </w:rPr>
            </w:pPr>
            <w:r w:rsidRPr="00093390">
              <w:rPr>
                <w:rFonts w:ascii="Times New Roman" w:hAnsi="Times New Roman" w:cs="Times New Roman"/>
                <w:b/>
                <w:bCs/>
                <w:sz w:val="24"/>
                <w:szCs w:val="24"/>
              </w:rPr>
              <w:t>Ņemts vērā.</w:t>
            </w:r>
          </w:p>
          <w:p w14:paraId="35492984" w14:textId="77777777" w:rsidR="00BA1C43" w:rsidRPr="00093390" w:rsidRDefault="00BA1C43" w:rsidP="003F4248">
            <w:pPr>
              <w:rPr>
                <w:rFonts w:ascii="Times New Roman" w:hAnsi="Times New Roman" w:cs="Times New Roman"/>
                <w:b/>
                <w:bCs/>
                <w:sz w:val="24"/>
                <w:szCs w:val="24"/>
              </w:rPr>
            </w:pPr>
          </w:p>
          <w:p w14:paraId="761CEBDC" w14:textId="48407EE7" w:rsidR="00093390" w:rsidRDefault="00AA60AF" w:rsidP="003D6DD3">
            <w:pPr>
              <w:jc w:val="both"/>
              <w:rPr>
                <w:rFonts w:ascii="Times New Roman" w:hAnsi="Times New Roman" w:cs="Times New Roman"/>
                <w:sz w:val="24"/>
                <w:szCs w:val="24"/>
              </w:rPr>
            </w:pPr>
            <w:r>
              <w:rPr>
                <w:rFonts w:ascii="Times New Roman" w:hAnsi="Times New Roman" w:cs="Times New Roman"/>
                <w:sz w:val="24"/>
                <w:szCs w:val="24"/>
              </w:rPr>
              <w:t>Noteikumu projekta 4. punkta otrais teikums izteikts precizētā redakcijā:</w:t>
            </w:r>
          </w:p>
          <w:p w14:paraId="678E1B7E" w14:textId="11DEB1AA" w:rsidR="00AA60AF" w:rsidRPr="000023C5" w:rsidRDefault="00AA60AF" w:rsidP="003D6DD3">
            <w:pPr>
              <w:jc w:val="both"/>
              <w:rPr>
                <w:rFonts w:ascii="Times New Roman" w:hAnsi="Times New Roman" w:cs="Times New Roman"/>
                <w:sz w:val="24"/>
                <w:szCs w:val="24"/>
              </w:rPr>
            </w:pPr>
            <w:r w:rsidRPr="00991A8E">
              <w:rPr>
                <w:rFonts w:ascii="Times New Roman" w:eastAsia="Times New Roman" w:hAnsi="Times New Roman" w:cs="Times New Roman"/>
                <w:sz w:val="24"/>
                <w:lang w:eastAsia="lv-LV"/>
              </w:rPr>
              <w:t>"</w:t>
            </w:r>
            <w:r w:rsidRPr="00AA60AF">
              <w:rPr>
                <w:rFonts w:ascii="Times New Roman" w:eastAsia="Times New Roman" w:hAnsi="Times New Roman" w:cs="Times New Roman"/>
                <w:sz w:val="24"/>
              </w:rPr>
              <w:t xml:space="preserve">Pensiju izmaksu prognožu aprēķinu sagatavo par stāvokli pārskata gada </w:t>
            </w:r>
            <w:r w:rsidRPr="00AA60AF">
              <w:rPr>
                <w:rFonts w:ascii="Times New Roman" w:eastAsia="Times New Roman" w:hAnsi="Times New Roman" w:cs="Times New Roman"/>
                <w:sz w:val="24"/>
                <w:u w:val="single"/>
              </w:rPr>
              <w:t>pēdējās tirdzniecības dienas beigā</w:t>
            </w:r>
            <w:r w:rsidR="003E67CA">
              <w:rPr>
                <w:rFonts w:ascii="Times New Roman" w:eastAsia="Times New Roman" w:hAnsi="Times New Roman" w:cs="Times New Roman"/>
                <w:sz w:val="24"/>
                <w:u w:val="single"/>
              </w:rPr>
              <w:t>s</w:t>
            </w:r>
            <w:r w:rsidRPr="00AA60AF">
              <w:rPr>
                <w:rFonts w:ascii="Times New Roman" w:eastAsia="Times New Roman" w:hAnsi="Times New Roman" w:cs="Times New Roman"/>
                <w:sz w:val="24"/>
              </w:rPr>
              <w:t>.</w:t>
            </w:r>
            <w:r w:rsidRPr="00991A8E">
              <w:rPr>
                <w:rFonts w:ascii="Times New Roman" w:eastAsia="Times New Roman" w:hAnsi="Times New Roman" w:cs="Times New Roman"/>
                <w:sz w:val="24"/>
                <w:lang w:eastAsia="lv-LV"/>
              </w:rPr>
              <w:t>"</w:t>
            </w:r>
          </w:p>
        </w:tc>
      </w:tr>
      <w:tr w:rsidR="00AF035B" w14:paraId="6EA0841B" w14:textId="77777777" w:rsidTr="0020694F">
        <w:tc>
          <w:tcPr>
            <w:tcW w:w="943" w:type="dxa"/>
          </w:tcPr>
          <w:p w14:paraId="7A30312F" w14:textId="3AC2FF4D" w:rsidR="00AF035B" w:rsidRPr="00B276C5" w:rsidRDefault="00B276C5" w:rsidP="003D6DD3">
            <w:pPr>
              <w:jc w:val="both"/>
              <w:outlineLvl w:val="0"/>
              <w:rPr>
                <w:rFonts w:ascii="Times New Roman" w:eastAsia="Times New Roman" w:hAnsi="Times New Roman" w:cs="Times New Roman"/>
                <w:sz w:val="24"/>
                <w:szCs w:val="24"/>
                <w:lang w:eastAsia="lv-LV"/>
              </w:rPr>
            </w:pPr>
            <w:r w:rsidRPr="00B276C5">
              <w:rPr>
                <w:rFonts w:ascii="Times New Roman" w:eastAsia="Times New Roman" w:hAnsi="Times New Roman" w:cs="Times New Roman"/>
                <w:sz w:val="24"/>
                <w:szCs w:val="24"/>
                <w:lang w:eastAsia="lv-LV"/>
              </w:rPr>
              <w:t>5.</w:t>
            </w:r>
          </w:p>
        </w:tc>
        <w:tc>
          <w:tcPr>
            <w:tcW w:w="4439" w:type="dxa"/>
          </w:tcPr>
          <w:p w14:paraId="25DBC7B8" w14:textId="27527C7C" w:rsidR="00AF035B" w:rsidRPr="00B276C5" w:rsidRDefault="00E23FFB" w:rsidP="003D6DD3">
            <w:pPr>
              <w:jc w:val="both"/>
              <w:rPr>
                <w:rFonts w:ascii="Times New Roman" w:hAnsi="Times New Roman" w:cs="Times New Roman"/>
                <w:sz w:val="24"/>
                <w:szCs w:val="24"/>
              </w:rPr>
            </w:pPr>
            <w:r w:rsidRPr="00E23FFB">
              <w:rPr>
                <w:rFonts w:ascii="Times New Roman" w:eastAsia="Aptos" w:hAnsi="Times New Roman" w:cs="Times New Roman"/>
                <w:sz w:val="24"/>
                <w:szCs w:val="24"/>
                <w14:ligatures w14:val="standardContextual"/>
              </w:rPr>
              <w:t>6.1. izmaksu prognožu aprēķinu veic, vispirms ņemot vērā šo noteikumu 7.</w:t>
            </w:r>
            <w:r w:rsidR="00D91805">
              <w:rPr>
                <w:rFonts w:ascii="Times New Roman" w:eastAsia="Aptos" w:hAnsi="Times New Roman" w:cs="Times New Roman"/>
                <w:sz w:val="24"/>
                <w:szCs w:val="24"/>
                <w14:ligatures w14:val="standardContextual"/>
              </w:rPr>
              <w:t> </w:t>
            </w:r>
            <w:r w:rsidRPr="00E23FFB">
              <w:rPr>
                <w:rFonts w:ascii="Times New Roman" w:eastAsia="Aptos" w:hAnsi="Times New Roman" w:cs="Times New Roman"/>
                <w:sz w:val="24"/>
                <w:szCs w:val="24"/>
                <w14:ligatures w14:val="standardContextual"/>
              </w:rPr>
              <w:t>punktā noteikto. Izmaksu prognozes saskaņā ar šo noteikumu 7.1.</w:t>
            </w:r>
            <w:r w:rsidR="00D91805">
              <w:rPr>
                <w:rFonts w:ascii="Times New Roman" w:eastAsia="Aptos" w:hAnsi="Times New Roman" w:cs="Times New Roman"/>
                <w:sz w:val="24"/>
                <w:szCs w:val="24"/>
                <w14:ligatures w14:val="standardContextual"/>
              </w:rPr>
              <w:t> </w:t>
            </w:r>
            <w:r w:rsidRPr="00E23FFB">
              <w:rPr>
                <w:rFonts w:ascii="Times New Roman" w:eastAsia="Aptos" w:hAnsi="Times New Roman" w:cs="Times New Roman"/>
                <w:sz w:val="24"/>
                <w:szCs w:val="24"/>
                <w14:ligatures w14:val="standardContextual"/>
              </w:rPr>
              <w:t xml:space="preserve">apakšpunktu ilustrē ar trim iespējamiem prognožu scenārijiem, kuru rezultātā veidojas nelabvēlīgs rezultāts, labvēlīgs rezultāts un </w:t>
            </w:r>
            <w:r w:rsidRPr="00E23FFB">
              <w:rPr>
                <w:rFonts w:ascii="Times New Roman" w:eastAsia="Aptos" w:hAnsi="Times New Roman" w:cs="Times New Roman"/>
                <w:sz w:val="24"/>
                <w:szCs w:val="24"/>
                <w:u w:val="single"/>
                <w14:ligatures w14:val="standardContextual"/>
              </w:rPr>
              <w:t>vislabākais aplēstais rezultāts</w:t>
            </w:r>
            <w:r w:rsidRPr="00E23FFB">
              <w:rPr>
                <w:rFonts w:ascii="Times New Roman" w:eastAsia="Aptos" w:hAnsi="Times New Roman" w:cs="Times New Roman"/>
                <w:sz w:val="24"/>
                <w:szCs w:val="24"/>
                <w14:ligatures w14:val="standardContextual"/>
              </w:rPr>
              <w:t xml:space="preserve">, norādot tīmekļvietni, kurā pieejams prognožu aprēķins kopā ar prognozēs izmantotajiem </w:t>
            </w:r>
            <w:r w:rsidRPr="005F39F8">
              <w:rPr>
                <w:rFonts w:ascii="Times New Roman" w:eastAsia="Aptos" w:hAnsi="Times New Roman" w:cs="Times New Roman"/>
                <w:sz w:val="24"/>
                <w:szCs w:val="24"/>
                <w14:ligatures w14:val="standardContextual"/>
              </w:rPr>
              <w:t>datiem. Papildus ņem vērā, ka nelabvēlīgais rezultāts attiecas uz sadalījuma 15.</w:t>
            </w:r>
            <w:r w:rsidR="00D91805" w:rsidRPr="005F39F8">
              <w:rPr>
                <w:rFonts w:ascii="Times New Roman" w:eastAsia="Aptos" w:hAnsi="Times New Roman" w:cs="Times New Roman"/>
                <w:sz w:val="24"/>
                <w:szCs w:val="24"/>
                <w14:ligatures w14:val="standardContextual"/>
              </w:rPr>
              <w:t> </w:t>
            </w:r>
            <w:proofErr w:type="spellStart"/>
            <w:r w:rsidRPr="005F39F8">
              <w:rPr>
                <w:rFonts w:ascii="Times New Roman" w:eastAsia="Aptos" w:hAnsi="Times New Roman" w:cs="Times New Roman"/>
                <w:sz w:val="24"/>
                <w:szCs w:val="24"/>
                <w14:ligatures w14:val="standardContextual"/>
              </w:rPr>
              <w:t>procentili</w:t>
            </w:r>
            <w:proofErr w:type="spellEnd"/>
            <w:r w:rsidRPr="005F39F8">
              <w:rPr>
                <w:rFonts w:ascii="Times New Roman" w:eastAsia="Aptos" w:hAnsi="Times New Roman" w:cs="Times New Roman"/>
                <w:sz w:val="24"/>
                <w:szCs w:val="24"/>
                <w14:ligatures w14:val="standardContextual"/>
              </w:rPr>
              <w:t>, labvēlīgais rezultāts</w:t>
            </w:r>
            <w:r w:rsidR="00D91805" w:rsidRPr="005F39F8">
              <w:rPr>
                <w:rFonts w:ascii="Times New Roman" w:eastAsia="Aptos" w:hAnsi="Times New Roman" w:cs="Times New Roman"/>
                <w:sz w:val="24"/>
                <w:szCs w:val="24"/>
                <w14:ligatures w14:val="standardContextual"/>
              </w:rPr>
              <w:t> </w:t>
            </w:r>
            <w:r w:rsidRPr="005F39F8">
              <w:rPr>
                <w:rFonts w:ascii="Times New Roman" w:eastAsia="Aptos" w:hAnsi="Times New Roman" w:cs="Times New Roman"/>
                <w:sz w:val="24"/>
                <w:szCs w:val="24"/>
                <w14:ligatures w14:val="standardContextual"/>
              </w:rPr>
              <w:t xml:space="preserve">– uz </w:t>
            </w:r>
            <w:r w:rsidRPr="007E64D8">
              <w:rPr>
                <w:rFonts w:ascii="Times New Roman" w:hAnsi="Times New Roman"/>
                <w:sz w:val="24"/>
                <w14:ligatures w14:val="standardContextual"/>
              </w:rPr>
              <w:t>85.</w:t>
            </w:r>
            <w:r w:rsidR="005F39F8">
              <w:rPr>
                <w:rFonts w:ascii="Times New Roman" w:hAnsi="Times New Roman"/>
                <w:sz w:val="24"/>
                <w14:ligatures w14:val="standardContextual"/>
              </w:rPr>
              <w:t> </w:t>
            </w:r>
            <w:proofErr w:type="spellStart"/>
            <w:r w:rsidRPr="005F39F8">
              <w:rPr>
                <w:rFonts w:ascii="Times New Roman" w:hAnsi="Times New Roman"/>
                <w:sz w:val="24"/>
                <w14:ligatures w14:val="standardContextual"/>
              </w:rPr>
              <w:t>procentili</w:t>
            </w:r>
            <w:proofErr w:type="spellEnd"/>
            <w:r w:rsidRPr="005F39F8">
              <w:rPr>
                <w:rFonts w:ascii="Times New Roman" w:hAnsi="Times New Roman"/>
                <w:sz w:val="24"/>
                <w14:ligatures w14:val="standardContextual"/>
              </w:rPr>
              <w:t>,</w:t>
            </w:r>
            <w:r w:rsidRPr="005F39F8">
              <w:rPr>
                <w:rFonts w:ascii="Times New Roman" w:eastAsia="Aptos" w:hAnsi="Times New Roman" w:cs="Times New Roman"/>
                <w:sz w:val="24"/>
                <w:szCs w:val="24"/>
                <w14:ligatures w14:val="standardContextual"/>
              </w:rPr>
              <w:t xml:space="preserve"> bet</w:t>
            </w:r>
            <w:r w:rsidRPr="00E23FFB">
              <w:rPr>
                <w:rFonts w:ascii="Times New Roman" w:eastAsia="Aptos" w:hAnsi="Times New Roman" w:cs="Times New Roman"/>
                <w:sz w:val="24"/>
                <w:szCs w:val="24"/>
                <w14:ligatures w14:val="standardContextual"/>
              </w:rPr>
              <w:t xml:space="preserve"> vislabākais aplēstais rezultāts</w:t>
            </w:r>
            <w:r w:rsidR="00D91805">
              <w:rPr>
                <w:rFonts w:ascii="Times New Roman" w:eastAsia="Aptos" w:hAnsi="Times New Roman" w:cs="Times New Roman"/>
                <w:sz w:val="24"/>
                <w:szCs w:val="24"/>
                <w14:ligatures w14:val="standardContextual"/>
              </w:rPr>
              <w:t> </w:t>
            </w:r>
            <w:r w:rsidRPr="00E23FFB">
              <w:rPr>
                <w:rFonts w:ascii="Times New Roman" w:eastAsia="Aptos" w:hAnsi="Times New Roman" w:cs="Times New Roman"/>
                <w:sz w:val="24"/>
                <w:szCs w:val="24"/>
                <w14:ligatures w14:val="standardContextual"/>
              </w:rPr>
              <w:t xml:space="preserve">– uz mediānu. Pensiju plāni, kuru plāna noteikumi paredz ieguldījumus akcijās un citos kapitāla instrumentos </w:t>
            </w:r>
            <w:r w:rsidRPr="00E23FFB">
              <w:rPr>
                <w:rFonts w:ascii="Times New Roman" w:eastAsia="Aptos" w:hAnsi="Times New Roman" w:cs="Times New Roman"/>
                <w:sz w:val="24"/>
                <w:szCs w:val="24"/>
                <w14:ligatures w14:val="standardContextual"/>
              </w:rPr>
              <w:lastRenderedPageBreak/>
              <w:t>(turpmāk</w:t>
            </w:r>
            <w:r w:rsidR="00D91805">
              <w:rPr>
                <w:rFonts w:ascii="Times New Roman" w:eastAsia="Aptos" w:hAnsi="Times New Roman" w:cs="Times New Roman"/>
                <w:sz w:val="24"/>
                <w:szCs w:val="24"/>
                <w14:ligatures w14:val="standardContextual"/>
              </w:rPr>
              <w:t> </w:t>
            </w:r>
            <w:r w:rsidRPr="00E23FFB">
              <w:rPr>
                <w:rFonts w:ascii="Times New Roman" w:eastAsia="Aptos" w:hAnsi="Times New Roman" w:cs="Times New Roman"/>
                <w:sz w:val="24"/>
                <w:szCs w:val="24"/>
                <w14:ligatures w14:val="standardContextual"/>
              </w:rPr>
              <w:t>– akcijas) 50 procentu vai lielākā apmērā, prognožu scenāriju nelabvēlīgā un labvēlīgā rezultāta aprēķinā ņem vērā standartnovirzi atbilstoši minētajām procentilēm;</w:t>
            </w:r>
          </w:p>
        </w:tc>
        <w:tc>
          <w:tcPr>
            <w:tcW w:w="4394" w:type="dxa"/>
          </w:tcPr>
          <w:p w14:paraId="7B89AA31" w14:textId="2ED38804" w:rsidR="00AF035B" w:rsidRPr="00B276C5" w:rsidRDefault="00E23FFB" w:rsidP="003D6DD3">
            <w:pPr>
              <w:jc w:val="both"/>
              <w:rPr>
                <w:rFonts w:ascii="Times New Roman" w:eastAsia="Times New Roman" w:hAnsi="Times New Roman" w:cs="Times New Roman"/>
                <w:sz w:val="24"/>
                <w:szCs w:val="24"/>
                <w:lang w:eastAsia="lv-LV"/>
              </w:rPr>
            </w:pPr>
            <w:r w:rsidRPr="00B276C5">
              <w:rPr>
                <w:rFonts w:ascii="Times New Roman" w:eastAsia="Aptos" w:hAnsi="Times New Roman" w:cs="Times New Roman"/>
                <w:sz w:val="24"/>
                <w:szCs w:val="24"/>
                <w14:ligatures w14:val="standardContextual"/>
              </w:rPr>
              <w:lastRenderedPageBreak/>
              <w:t xml:space="preserve">Lūdzam skaidrot vai </w:t>
            </w:r>
            <w:r w:rsidR="00D91805">
              <w:rPr>
                <w:rFonts w:ascii="Times New Roman" w:eastAsia="Aptos" w:hAnsi="Times New Roman" w:cs="Times New Roman"/>
                <w:sz w:val="24"/>
                <w:szCs w:val="24"/>
                <w14:ligatures w14:val="standardContextual"/>
              </w:rPr>
              <w:t>"</w:t>
            </w:r>
            <w:r w:rsidRPr="00B276C5">
              <w:rPr>
                <w:rFonts w:ascii="Times New Roman" w:eastAsia="Aptos" w:hAnsi="Times New Roman" w:cs="Times New Roman"/>
                <w:sz w:val="24"/>
                <w:szCs w:val="24"/>
                <w14:ligatures w14:val="standardContextual"/>
              </w:rPr>
              <w:t>Vislabākais aplēstais rezultāts</w:t>
            </w:r>
            <w:r w:rsidR="00D91805">
              <w:rPr>
                <w:rFonts w:ascii="Times New Roman" w:eastAsia="Aptos" w:hAnsi="Times New Roman" w:cs="Times New Roman"/>
                <w:sz w:val="24"/>
                <w:szCs w:val="24"/>
                <w14:ligatures w14:val="standardContextual"/>
              </w:rPr>
              <w:t>"</w:t>
            </w:r>
            <w:r w:rsidRPr="00B276C5">
              <w:rPr>
                <w:rFonts w:ascii="Times New Roman" w:eastAsia="Aptos" w:hAnsi="Times New Roman" w:cs="Times New Roman"/>
                <w:sz w:val="24"/>
                <w:szCs w:val="24"/>
                <w14:ligatures w14:val="standardContextual"/>
              </w:rPr>
              <w:t xml:space="preserve"> domāts tas pats kas </w:t>
            </w:r>
            <w:r w:rsidR="00D91805">
              <w:rPr>
                <w:rFonts w:ascii="Times New Roman" w:eastAsia="Aptos" w:hAnsi="Times New Roman" w:cs="Times New Roman"/>
                <w:sz w:val="24"/>
                <w:szCs w:val="24"/>
                <w14:ligatures w14:val="standardContextual"/>
              </w:rPr>
              <w:t>"</w:t>
            </w:r>
            <w:r w:rsidRPr="00B276C5">
              <w:rPr>
                <w:rFonts w:ascii="Times New Roman" w:eastAsia="Aptos" w:hAnsi="Times New Roman" w:cs="Times New Roman"/>
                <w:sz w:val="24"/>
                <w:szCs w:val="24"/>
                <w14:ligatures w14:val="standardContextual"/>
              </w:rPr>
              <w:t>mediāna</w:t>
            </w:r>
            <w:r w:rsidR="00D91805">
              <w:rPr>
                <w:rFonts w:ascii="Times New Roman" w:eastAsia="Aptos" w:hAnsi="Times New Roman" w:cs="Times New Roman"/>
                <w:sz w:val="24"/>
                <w:szCs w:val="24"/>
                <w14:ligatures w14:val="standardContextual"/>
              </w:rPr>
              <w:t>"</w:t>
            </w:r>
            <w:r w:rsidRPr="00B276C5">
              <w:rPr>
                <w:rFonts w:ascii="Times New Roman" w:eastAsia="Aptos" w:hAnsi="Times New Roman" w:cs="Times New Roman"/>
                <w:sz w:val="24"/>
                <w:szCs w:val="24"/>
                <w14:ligatures w14:val="standardContextual"/>
              </w:rPr>
              <w:t xml:space="preserve">? Tas šķiet, ir tulkots no angļu val. </w:t>
            </w:r>
            <w:r w:rsidR="00D91805">
              <w:rPr>
                <w:rFonts w:ascii="Times New Roman" w:eastAsia="Aptos" w:hAnsi="Times New Roman" w:cs="Times New Roman"/>
                <w:sz w:val="24"/>
                <w:szCs w:val="24"/>
                <w14:ligatures w14:val="standardContextual"/>
              </w:rPr>
              <w:t>"</w:t>
            </w:r>
            <w:r w:rsidRPr="00B276C5">
              <w:rPr>
                <w:rFonts w:ascii="Times New Roman" w:eastAsia="Aptos" w:hAnsi="Times New Roman" w:cs="Times New Roman"/>
                <w:sz w:val="24"/>
                <w:szCs w:val="24"/>
                <w14:ligatures w14:val="standardContextual"/>
              </w:rPr>
              <w:t xml:space="preserve">Best </w:t>
            </w:r>
            <w:proofErr w:type="spellStart"/>
            <w:r w:rsidRPr="00B276C5">
              <w:rPr>
                <w:rFonts w:ascii="Times New Roman" w:eastAsia="Aptos" w:hAnsi="Times New Roman" w:cs="Times New Roman"/>
                <w:sz w:val="24"/>
                <w:szCs w:val="24"/>
                <w14:ligatures w14:val="standardContextual"/>
              </w:rPr>
              <w:t>Estimate</w:t>
            </w:r>
            <w:proofErr w:type="spellEnd"/>
            <w:r w:rsidR="00D91805">
              <w:rPr>
                <w:rFonts w:ascii="Times New Roman" w:eastAsia="Aptos" w:hAnsi="Times New Roman" w:cs="Times New Roman"/>
                <w:sz w:val="24"/>
                <w:szCs w:val="24"/>
                <w14:ligatures w14:val="standardContextual"/>
              </w:rPr>
              <w:t>"</w:t>
            </w:r>
            <w:r w:rsidRPr="00B276C5">
              <w:rPr>
                <w:rFonts w:ascii="Times New Roman" w:eastAsia="Aptos" w:hAnsi="Times New Roman" w:cs="Times New Roman"/>
                <w:sz w:val="24"/>
                <w:szCs w:val="24"/>
                <w14:ligatures w14:val="standardContextual"/>
              </w:rPr>
              <w:t xml:space="preserve">, bet tas noteikti nav </w:t>
            </w:r>
            <w:r w:rsidR="00D91805">
              <w:rPr>
                <w:rFonts w:ascii="Times New Roman" w:eastAsia="Aptos" w:hAnsi="Times New Roman" w:cs="Times New Roman"/>
                <w:sz w:val="24"/>
                <w:szCs w:val="24"/>
                <w14:ligatures w14:val="standardContextual"/>
              </w:rPr>
              <w:t>"</w:t>
            </w:r>
            <w:r w:rsidRPr="00B276C5">
              <w:rPr>
                <w:rFonts w:ascii="Times New Roman" w:eastAsia="Aptos" w:hAnsi="Times New Roman" w:cs="Times New Roman"/>
                <w:sz w:val="24"/>
                <w:szCs w:val="24"/>
                <w14:ligatures w14:val="standardContextual"/>
              </w:rPr>
              <w:t>vislabākais</w:t>
            </w:r>
            <w:r w:rsidR="00D91805">
              <w:rPr>
                <w:rFonts w:ascii="Times New Roman" w:eastAsia="Aptos" w:hAnsi="Times New Roman" w:cs="Times New Roman"/>
                <w:sz w:val="24"/>
                <w:szCs w:val="24"/>
                <w14:ligatures w14:val="standardContextual"/>
              </w:rPr>
              <w:t>"</w:t>
            </w:r>
            <w:r w:rsidRPr="00B276C5">
              <w:rPr>
                <w:rFonts w:ascii="Times New Roman" w:eastAsia="Aptos" w:hAnsi="Times New Roman" w:cs="Times New Roman"/>
                <w:sz w:val="24"/>
                <w:szCs w:val="24"/>
                <w14:ligatures w14:val="standardContextual"/>
              </w:rPr>
              <w:t xml:space="preserve"> rezultāts. </w:t>
            </w:r>
          </w:p>
        </w:tc>
        <w:tc>
          <w:tcPr>
            <w:tcW w:w="4172" w:type="dxa"/>
          </w:tcPr>
          <w:p w14:paraId="2792E942" w14:textId="4A0B56D4" w:rsidR="00AF035B" w:rsidRPr="00450105" w:rsidRDefault="00AA60AF" w:rsidP="003F4248">
            <w:pPr>
              <w:rPr>
                <w:rFonts w:ascii="Times New Roman" w:hAnsi="Times New Roman" w:cs="Times New Roman"/>
                <w:b/>
                <w:bCs/>
                <w:sz w:val="24"/>
                <w:szCs w:val="24"/>
              </w:rPr>
            </w:pPr>
            <w:r w:rsidRPr="00450105">
              <w:rPr>
                <w:rFonts w:ascii="Times New Roman" w:hAnsi="Times New Roman" w:cs="Times New Roman"/>
                <w:b/>
                <w:bCs/>
                <w:sz w:val="24"/>
                <w:szCs w:val="24"/>
              </w:rPr>
              <w:t>Ņemts vērā.</w:t>
            </w:r>
          </w:p>
          <w:p w14:paraId="3B464AC2" w14:textId="77777777" w:rsidR="00BA1C43" w:rsidRPr="00450105" w:rsidRDefault="00BA1C43" w:rsidP="003F4248">
            <w:pPr>
              <w:rPr>
                <w:rFonts w:ascii="Times New Roman" w:hAnsi="Times New Roman" w:cs="Times New Roman"/>
                <w:b/>
                <w:bCs/>
                <w:sz w:val="24"/>
                <w:szCs w:val="24"/>
              </w:rPr>
            </w:pPr>
          </w:p>
          <w:p w14:paraId="6B531D86" w14:textId="7CADE4DA" w:rsidR="00AA60AF" w:rsidRPr="000023C5" w:rsidRDefault="00450105" w:rsidP="003D6DD3">
            <w:pPr>
              <w:jc w:val="both"/>
              <w:rPr>
                <w:rFonts w:ascii="Times New Roman" w:hAnsi="Times New Roman" w:cs="Times New Roman"/>
                <w:sz w:val="24"/>
                <w:szCs w:val="24"/>
              </w:rPr>
            </w:pPr>
            <w:r>
              <w:rPr>
                <w:rFonts w:ascii="Times New Roman" w:hAnsi="Times New Roman" w:cs="Times New Roman"/>
                <w:sz w:val="24"/>
                <w:szCs w:val="24"/>
              </w:rPr>
              <w:t xml:space="preserve">Pārstrādātā </w:t>
            </w:r>
            <w:r w:rsidR="007F2C8A">
              <w:rPr>
                <w:rFonts w:ascii="Times New Roman" w:hAnsi="Times New Roman" w:cs="Times New Roman"/>
                <w:sz w:val="24"/>
                <w:szCs w:val="24"/>
              </w:rPr>
              <w:t xml:space="preserve">(aktuālā) </w:t>
            </w:r>
            <w:r>
              <w:rPr>
                <w:rFonts w:ascii="Times New Roman" w:hAnsi="Times New Roman" w:cs="Times New Roman"/>
                <w:sz w:val="24"/>
                <w:szCs w:val="24"/>
              </w:rPr>
              <w:t>noteikumu projekta redakcija paredz prognožu aprēķinam izmantot PRIIPs regulā noteiktās prasības</w:t>
            </w:r>
            <w:r w:rsidR="00BE4C75">
              <w:rPr>
                <w:rFonts w:ascii="Times New Roman" w:hAnsi="Times New Roman" w:cs="Times New Roman"/>
                <w:sz w:val="24"/>
                <w:szCs w:val="24"/>
              </w:rPr>
              <w:t>, t</w:t>
            </w:r>
            <w:r w:rsidR="003E67CA">
              <w:rPr>
                <w:rFonts w:ascii="Times New Roman" w:hAnsi="Times New Roman" w:cs="Times New Roman"/>
                <w:sz w:val="24"/>
                <w:szCs w:val="24"/>
              </w:rPr>
              <w:t>ai</w:t>
            </w:r>
            <w:r w:rsidR="00D91805">
              <w:rPr>
                <w:rFonts w:ascii="Times New Roman" w:hAnsi="Times New Roman" w:cs="Times New Roman"/>
                <w:sz w:val="24"/>
                <w:szCs w:val="24"/>
              </w:rPr>
              <w:t> </w:t>
            </w:r>
            <w:r w:rsidR="00BE4C75">
              <w:rPr>
                <w:rFonts w:ascii="Times New Roman" w:hAnsi="Times New Roman" w:cs="Times New Roman"/>
                <w:sz w:val="24"/>
                <w:szCs w:val="24"/>
              </w:rPr>
              <w:t>sk</w:t>
            </w:r>
            <w:r w:rsidR="003E67CA">
              <w:rPr>
                <w:rFonts w:ascii="Times New Roman" w:hAnsi="Times New Roman" w:cs="Times New Roman"/>
                <w:sz w:val="24"/>
                <w:szCs w:val="24"/>
              </w:rPr>
              <w:t>aitā</w:t>
            </w:r>
            <w:r w:rsidR="00BE4C75">
              <w:rPr>
                <w:rFonts w:ascii="Times New Roman" w:hAnsi="Times New Roman" w:cs="Times New Roman"/>
                <w:sz w:val="24"/>
                <w:szCs w:val="24"/>
              </w:rPr>
              <w:t xml:space="preserve"> aprēķināt </w:t>
            </w:r>
            <w:r w:rsidR="003E67CA">
              <w:rPr>
                <w:rFonts w:ascii="Times New Roman" w:hAnsi="Times New Roman" w:cs="Times New Roman"/>
                <w:sz w:val="24"/>
                <w:szCs w:val="24"/>
              </w:rPr>
              <w:t>izmaksu prognozes saskaņā ar</w:t>
            </w:r>
            <w:r w:rsidR="00BE4C75">
              <w:rPr>
                <w:rFonts w:ascii="Times New Roman" w:hAnsi="Times New Roman" w:cs="Times New Roman"/>
                <w:sz w:val="24"/>
                <w:szCs w:val="24"/>
              </w:rPr>
              <w:t xml:space="preserve"> labvēlīgo, mēreno un nelabvēlīgo scenāriju</w:t>
            </w:r>
            <w:r>
              <w:rPr>
                <w:rFonts w:ascii="Times New Roman" w:hAnsi="Times New Roman" w:cs="Times New Roman"/>
                <w:sz w:val="24"/>
                <w:szCs w:val="24"/>
              </w:rPr>
              <w:t>.</w:t>
            </w:r>
          </w:p>
        </w:tc>
      </w:tr>
      <w:tr w:rsidR="00AF035B" w14:paraId="48916B35" w14:textId="77777777" w:rsidTr="0020694F">
        <w:tc>
          <w:tcPr>
            <w:tcW w:w="943" w:type="dxa"/>
          </w:tcPr>
          <w:p w14:paraId="2E1F56FD" w14:textId="6CFD20E3" w:rsidR="00AF035B" w:rsidRPr="00B276C5" w:rsidRDefault="00B276C5" w:rsidP="003D6DD3">
            <w:pPr>
              <w:jc w:val="both"/>
              <w:outlineLvl w:val="0"/>
              <w:rPr>
                <w:rFonts w:ascii="Times New Roman" w:eastAsia="Times New Roman" w:hAnsi="Times New Roman" w:cs="Times New Roman"/>
                <w:sz w:val="24"/>
                <w:szCs w:val="24"/>
                <w:lang w:eastAsia="lv-LV"/>
              </w:rPr>
            </w:pPr>
            <w:r w:rsidRPr="00B276C5">
              <w:rPr>
                <w:rFonts w:ascii="Times New Roman" w:eastAsia="Times New Roman" w:hAnsi="Times New Roman" w:cs="Times New Roman"/>
                <w:sz w:val="24"/>
                <w:szCs w:val="24"/>
                <w:lang w:eastAsia="lv-LV"/>
              </w:rPr>
              <w:t>6.</w:t>
            </w:r>
          </w:p>
        </w:tc>
        <w:tc>
          <w:tcPr>
            <w:tcW w:w="4439" w:type="dxa"/>
          </w:tcPr>
          <w:p w14:paraId="0358F876" w14:textId="1D6BC6CE" w:rsidR="00AF035B" w:rsidRPr="00B276C5" w:rsidRDefault="00E23FFB" w:rsidP="003D6DD3">
            <w:pPr>
              <w:tabs>
                <w:tab w:val="left" w:pos="1290"/>
              </w:tabs>
              <w:jc w:val="both"/>
              <w:rPr>
                <w:rFonts w:ascii="Times New Roman" w:hAnsi="Times New Roman" w:cs="Times New Roman"/>
                <w:sz w:val="24"/>
                <w:szCs w:val="24"/>
              </w:rPr>
            </w:pPr>
            <w:r w:rsidRPr="00E23FFB">
              <w:rPr>
                <w:rFonts w:ascii="Times New Roman" w:eastAsia="Aptos" w:hAnsi="Times New Roman" w:cs="Times New Roman"/>
                <w:sz w:val="24"/>
                <w:szCs w:val="24"/>
                <w14:ligatures w14:val="standardContextual"/>
              </w:rPr>
              <w:t xml:space="preserve">6.3. izmaksu prognozēs ņem vērā nosacījumu, vai pensiju plāna dalībnieks vai darba devējs veic regulāras iemaksas. </w:t>
            </w:r>
            <w:bookmarkStart w:id="0" w:name="_Hlk180434779"/>
            <w:r w:rsidRPr="00E23FFB">
              <w:rPr>
                <w:rFonts w:ascii="Times New Roman" w:eastAsia="Aptos" w:hAnsi="Times New Roman" w:cs="Times New Roman"/>
                <w:sz w:val="24"/>
                <w:szCs w:val="24"/>
                <w14:ligatures w14:val="standardContextual"/>
              </w:rPr>
              <w:t>Ja pensiju plāna dalībniekam vai darba devējam nav noteikta individuālo iemaksu regularitāte, tad nākamo periodu iemaksu prognozēm izmanto pieņēmumu, kas balstīts uz iepriekšējos trijos gados veiktajām faktiskajām iemaksām;</w:t>
            </w:r>
            <w:bookmarkEnd w:id="0"/>
          </w:p>
        </w:tc>
        <w:tc>
          <w:tcPr>
            <w:tcW w:w="4394" w:type="dxa"/>
          </w:tcPr>
          <w:p w14:paraId="69823614" w14:textId="77777777" w:rsidR="00E23FFB" w:rsidRPr="00E23FFB" w:rsidRDefault="00E23FFB" w:rsidP="003D6DD3">
            <w:pPr>
              <w:jc w:val="both"/>
              <w:rPr>
                <w:rFonts w:ascii="Times New Roman" w:eastAsia="Aptos" w:hAnsi="Times New Roman" w:cs="Times New Roman"/>
                <w:sz w:val="24"/>
                <w:szCs w:val="24"/>
                <w14:ligatures w14:val="standardContextual"/>
              </w:rPr>
            </w:pPr>
            <w:r w:rsidRPr="00E23FFB">
              <w:rPr>
                <w:rFonts w:ascii="Times New Roman" w:eastAsia="Aptos" w:hAnsi="Times New Roman" w:cs="Times New Roman"/>
                <w:sz w:val="24"/>
                <w:szCs w:val="24"/>
                <w14:ligatures w14:val="standardContextual"/>
              </w:rPr>
              <w:t>6.3. apakšpunktā ietverto piedāvājam apsvērt aizvietot ar regulējumu klientam norādīt veiktās iemaksas pēdējo 3 gadu laikā un norādīt vidējo mēneša iemaksu, kas ņemta par pamatu prognozes veidošanai.</w:t>
            </w:r>
          </w:p>
          <w:p w14:paraId="436196CD" w14:textId="77777777" w:rsidR="00E23FFB" w:rsidRPr="00E23FFB" w:rsidRDefault="00E23FFB" w:rsidP="00E23FFB">
            <w:pPr>
              <w:ind w:firstLine="527"/>
              <w:jc w:val="both"/>
              <w:rPr>
                <w:rFonts w:ascii="Times New Roman" w:eastAsia="Aptos" w:hAnsi="Times New Roman" w:cs="Times New Roman"/>
                <w:sz w:val="24"/>
                <w:szCs w:val="24"/>
                <w14:ligatures w14:val="standardContextual"/>
              </w:rPr>
            </w:pPr>
          </w:p>
          <w:p w14:paraId="07408476" w14:textId="770FA613" w:rsidR="00AF035B" w:rsidRPr="00B276C5" w:rsidRDefault="00E23FFB" w:rsidP="003D6DD3">
            <w:pPr>
              <w:jc w:val="both"/>
              <w:rPr>
                <w:rFonts w:ascii="Times New Roman" w:eastAsia="Times New Roman" w:hAnsi="Times New Roman" w:cs="Times New Roman"/>
                <w:sz w:val="24"/>
                <w:szCs w:val="24"/>
                <w:lang w:eastAsia="lv-LV"/>
              </w:rPr>
            </w:pPr>
            <w:r w:rsidRPr="00E23FFB">
              <w:rPr>
                <w:rFonts w:ascii="Times New Roman" w:eastAsia="Aptos" w:hAnsi="Times New Roman" w:cs="Times New Roman"/>
                <w:sz w:val="24"/>
                <w:szCs w:val="24"/>
                <w14:ligatures w14:val="standardContextual"/>
              </w:rPr>
              <w:t>Projekta piedāvātais punkta regulējums ir ļoti vispārīgs, kas neapraksta principus jaunu klientu gadījumā, kā arī rada būtisku papildus sarežģījumu aprēķinu veidošanā. Pievēršam uzmanību, ka regulārās iemaksas nav Pensiju Fondu, bet gan kredītiestāžu produkts.</w:t>
            </w:r>
          </w:p>
        </w:tc>
        <w:tc>
          <w:tcPr>
            <w:tcW w:w="4172" w:type="dxa"/>
          </w:tcPr>
          <w:p w14:paraId="14E082F5" w14:textId="77777777" w:rsidR="00AF035B" w:rsidRPr="00A72E41" w:rsidRDefault="00CA281E" w:rsidP="003D6DD3">
            <w:pPr>
              <w:jc w:val="both"/>
              <w:rPr>
                <w:rFonts w:ascii="Times New Roman" w:hAnsi="Times New Roman" w:cs="Times New Roman"/>
                <w:b/>
                <w:bCs/>
                <w:sz w:val="24"/>
                <w:szCs w:val="24"/>
              </w:rPr>
            </w:pPr>
            <w:r w:rsidRPr="00A72E41">
              <w:rPr>
                <w:rFonts w:ascii="Times New Roman" w:hAnsi="Times New Roman" w:cs="Times New Roman"/>
                <w:b/>
                <w:bCs/>
                <w:sz w:val="24"/>
                <w:szCs w:val="24"/>
              </w:rPr>
              <w:t>Nav ņemts vērā.</w:t>
            </w:r>
          </w:p>
          <w:p w14:paraId="5FAE9650" w14:textId="77777777" w:rsidR="00BA1C43" w:rsidRPr="00A72E41" w:rsidRDefault="00BA1C43" w:rsidP="003E67CA">
            <w:pPr>
              <w:jc w:val="both"/>
              <w:rPr>
                <w:rFonts w:ascii="Times New Roman" w:hAnsi="Times New Roman" w:cs="Times New Roman"/>
                <w:b/>
                <w:bCs/>
                <w:sz w:val="24"/>
                <w:szCs w:val="24"/>
              </w:rPr>
            </w:pPr>
          </w:p>
          <w:p w14:paraId="6988A699" w14:textId="7B8965E8" w:rsidR="00A72E41" w:rsidRPr="00A72E41" w:rsidRDefault="00A72E41" w:rsidP="003D6DD3">
            <w:pPr>
              <w:jc w:val="both"/>
              <w:rPr>
                <w:rFonts w:ascii="Times New Roman" w:hAnsi="Times New Roman" w:cs="Times New Roman"/>
                <w:sz w:val="24"/>
                <w:szCs w:val="24"/>
              </w:rPr>
            </w:pPr>
            <w:r w:rsidRPr="00A72E41">
              <w:rPr>
                <w:rFonts w:ascii="Times New Roman" w:hAnsi="Times New Roman" w:cs="Times New Roman"/>
                <w:sz w:val="24"/>
                <w:szCs w:val="24"/>
              </w:rPr>
              <w:t xml:space="preserve">Latvijas Banka </w:t>
            </w:r>
            <w:r w:rsidR="003E67CA">
              <w:rPr>
                <w:rFonts w:ascii="Times New Roman" w:hAnsi="Times New Roman" w:cs="Times New Roman"/>
                <w:sz w:val="24"/>
                <w:szCs w:val="24"/>
              </w:rPr>
              <w:t>pa</w:t>
            </w:r>
            <w:r w:rsidRPr="00A72E41">
              <w:rPr>
                <w:rFonts w:ascii="Times New Roman" w:hAnsi="Times New Roman" w:cs="Times New Roman"/>
                <w:sz w:val="24"/>
                <w:szCs w:val="24"/>
              </w:rPr>
              <w:t xml:space="preserve">skaidro, ka </w:t>
            </w:r>
            <w:r>
              <w:rPr>
                <w:rFonts w:ascii="Times New Roman" w:hAnsi="Times New Roman" w:cs="Times New Roman"/>
                <w:sz w:val="24"/>
                <w:szCs w:val="24"/>
              </w:rPr>
              <w:t xml:space="preserve">sākotnējā </w:t>
            </w:r>
            <w:r w:rsidRPr="00A72E41">
              <w:rPr>
                <w:rFonts w:ascii="Times New Roman" w:hAnsi="Times New Roman" w:cs="Times New Roman"/>
                <w:sz w:val="24"/>
                <w:szCs w:val="24"/>
              </w:rPr>
              <w:t>noteikumu projekta 6.3.</w:t>
            </w:r>
            <w:r>
              <w:rPr>
                <w:rFonts w:ascii="Times New Roman" w:hAnsi="Times New Roman" w:cs="Times New Roman"/>
                <w:sz w:val="24"/>
                <w:szCs w:val="24"/>
              </w:rPr>
              <w:t> </w:t>
            </w:r>
            <w:r w:rsidRPr="00A72E41">
              <w:rPr>
                <w:rFonts w:ascii="Times New Roman" w:hAnsi="Times New Roman" w:cs="Times New Roman"/>
                <w:sz w:val="24"/>
                <w:szCs w:val="24"/>
              </w:rPr>
              <w:t xml:space="preserve">apakšpunkta regulējums </w:t>
            </w:r>
            <w:r>
              <w:rPr>
                <w:rFonts w:ascii="Times New Roman" w:hAnsi="Times New Roman" w:cs="Times New Roman"/>
                <w:sz w:val="24"/>
                <w:szCs w:val="24"/>
              </w:rPr>
              <w:t>(pārstrādātajā noteikumu projektā</w:t>
            </w:r>
            <w:r w:rsidR="0091059E">
              <w:rPr>
                <w:rFonts w:ascii="Times New Roman" w:hAnsi="Times New Roman" w:cs="Times New Roman"/>
                <w:sz w:val="24"/>
                <w:szCs w:val="24"/>
              </w:rPr>
              <w:t> </w:t>
            </w:r>
            <w:r>
              <w:rPr>
                <w:rFonts w:ascii="Times New Roman" w:hAnsi="Times New Roman" w:cs="Times New Roman"/>
                <w:sz w:val="24"/>
                <w:szCs w:val="24"/>
              </w:rPr>
              <w:t xml:space="preserve">– 8.4. apakšpunkts) </w:t>
            </w:r>
            <w:r w:rsidRPr="00A72E41">
              <w:rPr>
                <w:rFonts w:ascii="Times New Roman" w:hAnsi="Times New Roman" w:cs="Times New Roman"/>
                <w:sz w:val="24"/>
                <w:szCs w:val="24"/>
              </w:rPr>
              <w:t>nosaka to, ka aprēķina prognozēs ņem vērā nosacījumu</w:t>
            </w:r>
            <w:r w:rsidR="003E67CA">
              <w:rPr>
                <w:rFonts w:ascii="Times New Roman" w:hAnsi="Times New Roman" w:cs="Times New Roman"/>
                <w:sz w:val="24"/>
                <w:szCs w:val="24"/>
              </w:rPr>
              <w:t>,</w:t>
            </w:r>
            <w:r w:rsidRPr="00A72E41">
              <w:rPr>
                <w:rFonts w:ascii="Times New Roman" w:hAnsi="Times New Roman" w:cs="Times New Roman"/>
                <w:sz w:val="24"/>
                <w:szCs w:val="24"/>
              </w:rPr>
              <w:t xml:space="preserve"> vai pensiju plāna dalībniek</w:t>
            </w:r>
            <w:r w:rsidR="00990586">
              <w:rPr>
                <w:rFonts w:ascii="Times New Roman" w:hAnsi="Times New Roman" w:cs="Times New Roman"/>
                <w:sz w:val="24"/>
                <w:szCs w:val="24"/>
              </w:rPr>
              <w:t>s</w:t>
            </w:r>
            <w:r w:rsidRPr="00A72E41">
              <w:rPr>
                <w:rFonts w:ascii="Times New Roman" w:hAnsi="Times New Roman" w:cs="Times New Roman"/>
                <w:sz w:val="24"/>
                <w:szCs w:val="24"/>
              </w:rPr>
              <w:t xml:space="preserve"> vai darba </w:t>
            </w:r>
            <w:r w:rsidR="00990586" w:rsidRPr="00A72E41">
              <w:rPr>
                <w:rFonts w:ascii="Times New Roman" w:hAnsi="Times New Roman" w:cs="Times New Roman"/>
                <w:sz w:val="24"/>
                <w:szCs w:val="24"/>
              </w:rPr>
              <w:t>devēj</w:t>
            </w:r>
            <w:r w:rsidR="00990586">
              <w:rPr>
                <w:rFonts w:ascii="Times New Roman" w:hAnsi="Times New Roman" w:cs="Times New Roman"/>
                <w:sz w:val="24"/>
                <w:szCs w:val="24"/>
              </w:rPr>
              <w:t>s</w:t>
            </w:r>
            <w:r w:rsidRPr="00A72E41">
              <w:rPr>
                <w:rFonts w:ascii="Times New Roman" w:hAnsi="Times New Roman" w:cs="Times New Roman"/>
                <w:sz w:val="24"/>
                <w:szCs w:val="24"/>
              </w:rPr>
              <w:t xml:space="preserve"> vei</w:t>
            </w:r>
            <w:r w:rsidR="00990586">
              <w:rPr>
                <w:rFonts w:ascii="Times New Roman" w:hAnsi="Times New Roman" w:cs="Times New Roman"/>
                <w:sz w:val="24"/>
                <w:szCs w:val="24"/>
              </w:rPr>
              <w:t>c</w:t>
            </w:r>
            <w:r w:rsidRPr="00A72E41">
              <w:rPr>
                <w:rFonts w:ascii="Times New Roman" w:hAnsi="Times New Roman" w:cs="Times New Roman"/>
                <w:sz w:val="24"/>
                <w:szCs w:val="24"/>
              </w:rPr>
              <w:t xml:space="preserve"> regulāras iemaksas, taču</w:t>
            </w:r>
            <w:r w:rsidR="003E67CA">
              <w:rPr>
                <w:rFonts w:ascii="Times New Roman" w:hAnsi="Times New Roman" w:cs="Times New Roman"/>
                <w:sz w:val="24"/>
                <w:szCs w:val="24"/>
              </w:rPr>
              <w:t>,</w:t>
            </w:r>
            <w:r w:rsidRPr="00A72E41">
              <w:rPr>
                <w:rFonts w:ascii="Times New Roman" w:hAnsi="Times New Roman" w:cs="Times New Roman"/>
                <w:sz w:val="24"/>
                <w:szCs w:val="24"/>
              </w:rPr>
              <w:t xml:space="preserve"> ja nav noteikta individuālo iemaksu regularitāte, regulējums nosaka</w:t>
            </w:r>
            <w:r w:rsidR="003E67CA">
              <w:rPr>
                <w:rFonts w:ascii="Times New Roman" w:hAnsi="Times New Roman" w:cs="Times New Roman"/>
                <w:sz w:val="24"/>
                <w:szCs w:val="24"/>
              </w:rPr>
              <w:t>,</w:t>
            </w:r>
            <w:r w:rsidRPr="00A72E41">
              <w:rPr>
                <w:rFonts w:ascii="Times New Roman" w:hAnsi="Times New Roman" w:cs="Times New Roman"/>
                <w:sz w:val="24"/>
                <w:szCs w:val="24"/>
              </w:rPr>
              <w:t xml:space="preserve"> kād</w:t>
            </w:r>
            <w:r w:rsidR="003E67CA">
              <w:rPr>
                <w:rFonts w:ascii="Times New Roman" w:hAnsi="Times New Roman" w:cs="Times New Roman"/>
                <w:sz w:val="24"/>
                <w:szCs w:val="24"/>
              </w:rPr>
              <w:t>i</w:t>
            </w:r>
            <w:r w:rsidRPr="00A72E41">
              <w:rPr>
                <w:rFonts w:ascii="Times New Roman" w:hAnsi="Times New Roman" w:cs="Times New Roman"/>
                <w:sz w:val="24"/>
                <w:szCs w:val="24"/>
              </w:rPr>
              <w:t xml:space="preserve"> pieņēmum</w:t>
            </w:r>
            <w:r w:rsidR="003E67CA">
              <w:rPr>
                <w:rFonts w:ascii="Times New Roman" w:hAnsi="Times New Roman" w:cs="Times New Roman"/>
                <w:sz w:val="24"/>
                <w:szCs w:val="24"/>
              </w:rPr>
              <w:t>i</w:t>
            </w:r>
            <w:r w:rsidRPr="00A72E41">
              <w:rPr>
                <w:rFonts w:ascii="Times New Roman" w:hAnsi="Times New Roman" w:cs="Times New Roman"/>
                <w:sz w:val="24"/>
                <w:szCs w:val="24"/>
              </w:rPr>
              <w:t xml:space="preserve"> izmanto</w:t>
            </w:r>
            <w:r w:rsidR="003E67CA">
              <w:rPr>
                <w:rFonts w:ascii="Times New Roman" w:hAnsi="Times New Roman" w:cs="Times New Roman"/>
                <w:sz w:val="24"/>
                <w:szCs w:val="24"/>
              </w:rPr>
              <w:t>jami</w:t>
            </w:r>
            <w:r w:rsidRPr="00A72E41">
              <w:rPr>
                <w:rFonts w:ascii="Times New Roman" w:hAnsi="Times New Roman" w:cs="Times New Roman"/>
                <w:sz w:val="24"/>
                <w:szCs w:val="24"/>
              </w:rPr>
              <w:t>.</w:t>
            </w:r>
          </w:p>
          <w:p w14:paraId="0527CFC3" w14:textId="77777777" w:rsidR="00BA1C43" w:rsidRPr="00A72E41" w:rsidRDefault="00BA1C43" w:rsidP="003E67CA">
            <w:pPr>
              <w:jc w:val="both"/>
              <w:rPr>
                <w:rFonts w:ascii="Times New Roman" w:hAnsi="Times New Roman" w:cs="Times New Roman"/>
                <w:sz w:val="24"/>
                <w:szCs w:val="24"/>
              </w:rPr>
            </w:pPr>
          </w:p>
          <w:p w14:paraId="5126622E" w14:textId="538750E0" w:rsidR="00CA281E" w:rsidRPr="000023C5" w:rsidRDefault="00A72E41" w:rsidP="003D6DD3">
            <w:pPr>
              <w:jc w:val="both"/>
              <w:rPr>
                <w:rFonts w:ascii="Times New Roman" w:hAnsi="Times New Roman" w:cs="Times New Roman"/>
                <w:sz w:val="24"/>
                <w:szCs w:val="24"/>
              </w:rPr>
            </w:pPr>
            <w:r w:rsidRPr="00A72E41">
              <w:rPr>
                <w:rFonts w:ascii="Times New Roman" w:hAnsi="Times New Roman" w:cs="Times New Roman"/>
                <w:sz w:val="24"/>
                <w:szCs w:val="24"/>
              </w:rPr>
              <w:t xml:space="preserve">Ja informācija par pensiju izmaksu prognozēm tiek nodrošināta pensiju kalkulatorā, kas pieejams pensiju fonda tīmekļvietnē, tad var paredzēt, ka informāciju par pensiju iemaksām var ievadīt pats pensiju plāna dalībnieks. Taču gadījumos, kad pensiju izmaksu prognoze jāveido pašam pensiju fondam un jānosūta pensiju plāna dalībniekam, nepieciešams izdarīt pieņēmumus, kas </w:t>
            </w:r>
            <w:r w:rsidRPr="00A72E41">
              <w:rPr>
                <w:rFonts w:ascii="Times New Roman" w:hAnsi="Times New Roman" w:cs="Times New Roman"/>
                <w:sz w:val="24"/>
                <w:szCs w:val="24"/>
              </w:rPr>
              <w:lastRenderedPageBreak/>
              <w:t xml:space="preserve">arī tiek piedāvāts </w:t>
            </w:r>
            <w:r>
              <w:rPr>
                <w:rFonts w:ascii="Times New Roman" w:hAnsi="Times New Roman" w:cs="Times New Roman"/>
                <w:sz w:val="24"/>
                <w:szCs w:val="24"/>
              </w:rPr>
              <w:t>attiecīgā</w:t>
            </w:r>
            <w:r w:rsidRPr="00A72E41">
              <w:rPr>
                <w:rFonts w:ascii="Times New Roman" w:hAnsi="Times New Roman" w:cs="Times New Roman"/>
                <w:sz w:val="24"/>
                <w:szCs w:val="24"/>
              </w:rPr>
              <w:t xml:space="preserve"> apakšpunkta redakcijā.</w:t>
            </w:r>
          </w:p>
        </w:tc>
      </w:tr>
      <w:tr w:rsidR="00AF035B" w14:paraId="67460BC5" w14:textId="77777777" w:rsidTr="0020694F">
        <w:tc>
          <w:tcPr>
            <w:tcW w:w="943" w:type="dxa"/>
          </w:tcPr>
          <w:p w14:paraId="313F8F3F" w14:textId="45B5EDF5" w:rsidR="00AF035B" w:rsidRPr="00B276C5" w:rsidRDefault="00B276C5" w:rsidP="003D6DD3">
            <w:pPr>
              <w:jc w:val="both"/>
              <w:outlineLvl w:val="0"/>
              <w:rPr>
                <w:rFonts w:ascii="Times New Roman" w:eastAsia="Times New Roman" w:hAnsi="Times New Roman" w:cs="Times New Roman"/>
                <w:sz w:val="24"/>
                <w:szCs w:val="24"/>
                <w:lang w:eastAsia="lv-LV"/>
              </w:rPr>
            </w:pPr>
            <w:r w:rsidRPr="00B276C5">
              <w:rPr>
                <w:rFonts w:ascii="Times New Roman" w:eastAsia="Times New Roman" w:hAnsi="Times New Roman" w:cs="Times New Roman"/>
                <w:sz w:val="24"/>
                <w:szCs w:val="24"/>
                <w:lang w:eastAsia="lv-LV"/>
              </w:rPr>
              <w:lastRenderedPageBreak/>
              <w:t>7.</w:t>
            </w:r>
          </w:p>
        </w:tc>
        <w:tc>
          <w:tcPr>
            <w:tcW w:w="4439" w:type="dxa"/>
          </w:tcPr>
          <w:p w14:paraId="1BA4F887" w14:textId="77777777" w:rsidR="00E23FFB" w:rsidRPr="00E23FFB" w:rsidRDefault="00E23FFB" w:rsidP="003D6DD3">
            <w:pPr>
              <w:tabs>
                <w:tab w:val="left" w:pos="1290"/>
              </w:tabs>
              <w:jc w:val="both"/>
              <w:rPr>
                <w:rFonts w:ascii="Times New Roman" w:eastAsia="Aptos" w:hAnsi="Times New Roman" w:cs="Times New Roman"/>
                <w:sz w:val="24"/>
                <w:szCs w:val="24"/>
                <w14:ligatures w14:val="standardContextual"/>
              </w:rPr>
            </w:pPr>
            <w:r w:rsidRPr="00E23FFB">
              <w:rPr>
                <w:rFonts w:ascii="Times New Roman" w:eastAsia="Aptos" w:hAnsi="Times New Roman" w:cs="Times New Roman"/>
                <w:sz w:val="24"/>
                <w:szCs w:val="24"/>
                <w14:ligatures w14:val="standardContextual"/>
              </w:rPr>
              <w:t>6.4. pieņem, ka pensiju plāna dalībnieks sāk saņemt pensiju, sasniedzot attiecīgajā pensiju plānā noteikto pensijas vecumu. Ja pensiju plāna dalībnieks ir sasniedzis pensiju plānā noteikto vecumu un turpina dalību pensiju plānā, tad turpmāko izmaksu prognožu aprēķinu katru gadu attiecina uz turpmāko 10 gadu periodu, ja nav pieejama cita informācija;</w:t>
            </w:r>
          </w:p>
          <w:p w14:paraId="6E672479" w14:textId="77777777" w:rsidR="00AF035B" w:rsidRPr="00B276C5" w:rsidRDefault="00AF035B" w:rsidP="003F4248">
            <w:pPr>
              <w:rPr>
                <w:rFonts w:ascii="Times New Roman" w:hAnsi="Times New Roman" w:cs="Times New Roman"/>
                <w:sz w:val="24"/>
                <w:szCs w:val="24"/>
              </w:rPr>
            </w:pPr>
          </w:p>
        </w:tc>
        <w:tc>
          <w:tcPr>
            <w:tcW w:w="4394" w:type="dxa"/>
          </w:tcPr>
          <w:p w14:paraId="18BEE046" w14:textId="77777777" w:rsidR="00E23FFB" w:rsidRPr="00B276C5" w:rsidRDefault="00E23FFB" w:rsidP="003D6DD3">
            <w:pPr>
              <w:jc w:val="both"/>
              <w:rPr>
                <w:rFonts w:ascii="Times New Roman" w:eastAsia="Times New Roman" w:hAnsi="Times New Roman" w:cs="Times New Roman"/>
                <w:sz w:val="24"/>
                <w:szCs w:val="24"/>
                <w:lang w:eastAsia="lv-LV"/>
              </w:rPr>
            </w:pPr>
            <w:r w:rsidRPr="00B276C5">
              <w:rPr>
                <w:rFonts w:ascii="Times New Roman" w:eastAsia="Times New Roman" w:hAnsi="Times New Roman" w:cs="Times New Roman"/>
                <w:sz w:val="24"/>
                <w:szCs w:val="24"/>
                <w:lang w:eastAsia="lv-LV"/>
              </w:rPr>
              <w:t xml:space="preserve">Ierosinām apsvērt noteikt, ka prognozei tiek noteikti divi vecumi – pensiju plānā noteiktais pensijas vecums, kā arī valstī noteiktais pensionēšanās vecums (55 gadi un +10 gadi &gt;&gt; 65 gadi). P3L dalībniekiem, kas sasnieguši 65 gadu vecumu, prognoze netiek gatavota.  </w:t>
            </w:r>
          </w:p>
          <w:p w14:paraId="5EAED24B" w14:textId="77777777" w:rsidR="00E23FFB" w:rsidRPr="00B276C5" w:rsidRDefault="00E23FFB" w:rsidP="003D6DD3">
            <w:pPr>
              <w:jc w:val="both"/>
              <w:rPr>
                <w:rFonts w:ascii="Times New Roman" w:eastAsia="Times New Roman" w:hAnsi="Times New Roman" w:cs="Times New Roman"/>
                <w:sz w:val="24"/>
                <w:szCs w:val="24"/>
                <w:lang w:eastAsia="lv-LV"/>
              </w:rPr>
            </w:pPr>
          </w:p>
          <w:p w14:paraId="73C67A8F" w14:textId="77777777" w:rsidR="00E23FFB" w:rsidRPr="00B276C5" w:rsidRDefault="00E23FFB" w:rsidP="003D6DD3">
            <w:pPr>
              <w:jc w:val="both"/>
              <w:rPr>
                <w:rFonts w:ascii="Times New Roman" w:eastAsia="Times New Roman" w:hAnsi="Times New Roman" w:cs="Times New Roman"/>
                <w:sz w:val="24"/>
                <w:szCs w:val="24"/>
                <w:lang w:eastAsia="lv-LV"/>
              </w:rPr>
            </w:pPr>
            <w:r w:rsidRPr="00B276C5">
              <w:rPr>
                <w:rFonts w:ascii="Times New Roman" w:eastAsia="Times New Roman" w:hAnsi="Times New Roman" w:cs="Times New Roman"/>
                <w:sz w:val="24"/>
                <w:szCs w:val="24"/>
                <w:lang w:eastAsia="lv-LV"/>
              </w:rPr>
              <w:t>Pēc izmaiņām noteikumos, prognozi klientiem, kas jaunāki par 55 ir jāgatavo uz vecumu, kad tiks sasniegts pensiju plānā noteiktais pensiju vecums (55 gadi). Kolīdz klients ir 55+, turpmākajiem 10 gadiem.</w:t>
            </w:r>
          </w:p>
          <w:p w14:paraId="2058AEB2" w14:textId="77777777" w:rsidR="00E23FFB" w:rsidRPr="00B276C5" w:rsidRDefault="00E23FFB" w:rsidP="003D6DD3">
            <w:pPr>
              <w:jc w:val="both"/>
              <w:rPr>
                <w:rFonts w:ascii="Times New Roman" w:eastAsia="Times New Roman" w:hAnsi="Times New Roman" w:cs="Times New Roman"/>
                <w:sz w:val="24"/>
                <w:szCs w:val="24"/>
                <w:lang w:eastAsia="lv-LV"/>
              </w:rPr>
            </w:pPr>
          </w:p>
          <w:p w14:paraId="0532A820" w14:textId="77777777" w:rsidR="00E23FFB" w:rsidRPr="00B276C5" w:rsidRDefault="00E23FFB" w:rsidP="003D6DD3">
            <w:pPr>
              <w:jc w:val="both"/>
              <w:rPr>
                <w:rFonts w:ascii="Times New Roman" w:eastAsia="Times New Roman" w:hAnsi="Times New Roman" w:cs="Times New Roman"/>
                <w:sz w:val="24"/>
                <w:szCs w:val="24"/>
                <w:lang w:eastAsia="lv-LV"/>
              </w:rPr>
            </w:pPr>
            <w:r w:rsidRPr="00B276C5">
              <w:rPr>
                <w:rFonts w:ascii="Times New Roman" w:eastAsia="Times New Roman" w:hAnsi="Times New Roman" w:cs="Times New Roman"/>
                <w:sz w:val="24"/>
                <w:szCs w:val="24"/>
                <w:lang w:eastAsia="lv-LV"/>
              </w:rPr>
              <w:t xml:space="preserve">Šādi nosacījumi rada atšķirīgu pieeju klientiem, kā arī, cik objektīvi un nepieciešams ir gatavot 10 gadu uzkrājuma prognozi klientiem, kas ir sasnieguši 65 gadu vecumu, kad paralēli iemaksām tiek veiktas arī izmaksas tiem, kas jau ir sasnieguši pensijas vecumu, kas ir vidējais P3L kapitāla izņemšanas vecums. </w:t>
            </w:r>
          </w:p>
          <w:p w14:paraId="036895B7" w14:textId="77777777" w:rsidR="00E23FFB" w:rsidRPr="00B276C5" w:rsidRDefault="00E23FFB" w:rsidP="003D6DD3">
            <w:pPr>
              <w:jc w:val="both"/>
              <w:rPr>
                <w:rFonts w:ascii="Times New Roman" w:eastAsia="Times New Roman" w:hAnsi="Times New Roman" w:cs="Times New Roman"/>
                <w:sz w:val="24"/>
                <w:szCs w:val="24"/>
                <w:lang w:eastAsia="lv-LV"/>
              </w:rPr>
            </w:pPr>
          </w:p>
          <w:p w14:paraId="5E4448E6" w14:textId="77777777" w:rsidR="00E23FFB" w:rsidRPr="00B276C5" w:rsidRDefault="00E23FFB" w:rsidP="003D6DD3">
            <w:pPr>
              <w:jc w:val="both"/>
              <w:rPr>
                <w:rFonts w:ascii="Times New Roman" w:eastAsia="Times New Roman" w:hAnsi="Times New Roman" w:cs="Times New Roman"/>
                <w:sz w:val="24"/>
                <w:szCs w:val="24"/>
                <w:lang w:eastAsia="lv-LV"/>
              </w:rPr>
            </w:pPr>
            <w:r w:rsidRPr="00B276C5">
              <w:rPr>
                <w:rFonts w:ascii="Times New Roman" w:eastAsia="Times New Roman" w:hAnsi="Times New Roman" w:cs="Times New Roman"/>
                <w:sz w:val="24"/>
                <w:szCs w:val="24"/>
                <w:lang w:eastAsia="lv-LV"/>
              </w:rPr>
              <w:t xml:space="preserve">Piemēram, pēc jaunās noteikumu redakcijas sanāk, ka klientam, kuram ir 51 gads, jāgatavo prognoze par uzkrājumu pēc </w:t>
            </w:r>
            <w:r w:rsidRPr="00B276C5">
              <w:rPr>
                <w:rFonts w:ascii="Times New Roman" w:eastAsia="Times New Roman" w:hAnsi="Times New Roman" w:cs="Times New Roman"/>
                <w:sz w:val="24"/>
                <w:szCs w:val="24"/>
                <w:lang w:eastAsia="lv-LV"/>
              </w:rPr>
              <w:lastRenderedPageBreak/>
              <w:t>4 gadiem, kamēr 70 gadus vecam klientam par 10 gadiem.</w:t>
            </w:r>
          </w:p>
          <w:p w14:paraId="7CAD7AF7" w14:textId="77777777" w:rsidR="00E23FFB" w:rsidRPr="00B276C5" w:rsidRDefault="00E23FFB" w:rsidP="00E23FFB">
            <w:pPr>
              <w:rPr>
                <w:rFonts w:ascii="Times New Roman" w:eastAsia="Times New Roman" w:hAnsi="Times New Roman" w:cs="Times New Roman"/>
                <w:sz w:val="24"/>
                <w:szCs w:val="24"/>
                <w:lang w:eastAsia="lv-LV"/>
              </w:rPr>
            </w:pPr>
          </w:p>
          <w:p w14:paraId="265346A6" w14:textId="77777777" w:rsidR="00E23FFB" w:rsidRPr="00B276C5" w:rsidRDefault="00E23FFB" w:rsidP="003D6DD3">
            <w:pPr>
              <w:jc w:val="both"/>
              <w:rPr>
                <w:rFonts w:ascii="Times New Roman" w:eastAsia="Times New Roman" w:hAnsi="Times New Roman" w:cs="Times New Roman"/>
                <w:sz w:val="24"/>
                <w:szCs w:val="24"/>
                <w:lang w:eastAsia="lv-LV"/>
              </w:rPr>
            </w:pPr>
            <w:r w:rsidRPr="00B276C5">
              <w:rPr>
                <w:rFonts w:ascii="Times New Roman" w:eastAsia="Times New Roman" w:hAnsi="Times New Roman" w:cs="Times New Roman"/>
                <w:sz w:val="24"/>
                <w:szCs w:val="24"/>
                <w:lang w:eastAsia="lv-LV"/>
              </w:rPr>
              <w:t>Ierosinām noteikt vecuma robežu, līdz kurai prognoze tiek gatavota, piemērot vienlīdzīgu pieeju visiem klientiem, sniedzot informāciju par uzkrājuma prognozi, un papildus nesarežģīt iespēju no tehniskās puses šādu prognozi nodrošināt.</w:t>
            </w:r>
          </w:p>
          <w:p w14:paraId="63CA1DF4" w14:textId="77777777" w:rsidR="00E23FFB" w:rsidRPr="00B276C5" w:rsidRDefault="00E23FFB" w:rsidP="003D6DD3">
            <w:pPr>
              <w:jc w:val="both"/>
              <w:rPr>
                <w:rFonts w:ascii="Times New Roman" w:eastAsia="Times New Roman" w:hAnsi="Times New Roman" w:cs="Times New Roman"/>
                <w:sz w:val="24"/>
                <w:szCs w:val="24"/>
                <w:lang w:eastAsia="lv-LV"/>
              </w:rPr>
            </w:pPr>
          </w:p>
          <w:p w14:paraId="05EF25D4" w14:textId="4A7150BF" w:rsidR="00AF035B" w:rsidRPr="00B276C5" w:rsidRDefault="00E23FFB" w:rsidP="003D6DD3">
            <w:pPr>
              <w:jc w:val="both"/>
              <w:rPr>
                <w:rFonts w:ascii="Times New Roman" w:eastAsia="Times New Roman" w:hAnsi="Times New Roman" w:cs="Times New Roman"/>
                <w:sz w:val="24"/>
                <w:szCs w:val="24"/>
                <w:lang w:eastAsia="lv-LV"/>
              </w:rPr>
            </w:pPr>
            <w:r w:rsidRPr="00B276C5">
              <w:rPr>
                <w:rFonts w:ascii="Times New Roman" w:eastAsia="Times New Roman" w:hAnsi="Times New Roman" w:cs="Times New Roman"/>
                <w:sz w:val="24"/>
                <w:szCs w:val="24"/>
                <w:lang w:eastAsia="lv-LV"/>
              </w:rPr>
              <w:t>(Konkrēti piedāvājam noteikt, ka prognozei tiek noteikti divi vecumi – pensiju plānā noteiktais pensijas vecums, kā arī valstī noteiktais pensionēšanās vecums (55 gadi un +10 gadi &gt;&gt; 65 gadi). P3L dalībniekiem, kas sasnieguši 65 gadu vecumu, prognoze netiek gatavota.).</w:t>
            </w:r>
          </w:p>
        </w:tc>
        <w:tc>
          <w:tcPr>
            <w:tcW w:w="4172" w:type="dxa"/>
          </w:tcPr>
          <w:p w14:paraId="1409044D" w14:textId="11870F13" w:rsidR="00AF035B" w:rsidRPr="00991A8E" w:rsidRDefault="00991A8E" w:rsidP="003D6DD3">
            <w:pPr>
              <w:jc w:val="both"/>
              <w:rPr>
                <w:rFonts w:ascii="Times New Roman" w:hAnsi="Times New Roman" w:cs="Times New Roman"/>
                <w:b/>
                <w:bCs/>
                <w:sz w:val="24"/>
                <w:szCs w:val="24"/>
              </w:rPr>
            </w:pPr>
            <w:r w:rsidRPr="00991A8E">
              <w:rPr>
                <w:rFonts w:ascii="Times New Roman" w:hAnsi="Times New Roman" w:cs="Times New Roman"/>
                <w:b/>
                <w:bCs/>
                <w:sz w:val="24"/>
                <w:szCs w:val="24"/>
              </w:rPr>
              <w:lastRenderedPageBreak/>
              <w:t>Ņemt</w:t>
            </w:r>
            <w:r w:rsidR="00450105">
              <w:rPr>
                <w:rFonts w:ascii="Times New Roman" w:hAnsi="Times New Roman" w:cs="Times New Roman"/>
                <w:b/>
                <w:bCs/>
                <w:sz w:val="24"/>
                <w:szCs w:val="24"/>
              </w:rPr>
              <w:t>s</w:t>
            </w:r>
            <w:r w:rsidRPr="00991A8E">
              <w:rPr>
                <w:rFonts w:ascii="Times New Roman" w:hAnsi="Times New Roman" w:cs="Times New Roman"/>
                <w:b/>
                <w:bCs/>
                <w:sz w:val="24"/>
                <w:szCs w:val="24"/>
              </w:rPr>
              <w:t xml:space="preserve"> vērā.</w:t>
            </w:r>
          </w:p>
          <w:p w14:paraId="635A131A" w14:textId="77777777" w:rsidR="00BA1C43" w:rsidRPr="00991A8E" w:rsidRDefault="00BA1C43" w:rsidP="003E67CA">
            <w:pPr>
              <w:jc w:val="both"/>
              <w:rPr>
                <w:rFonts w:ascii="Times New Roman" w:hAnsi="Times New Roman" w:cs="Times New Roman"/>
                <w:b/>
                <w:bCs/>
                <w:sz w:val="24"/>
                <w:szCs w:val="24"/>
              </w:rPr>
            </w:pPr>
          </w:p>
          <w:p w14:paraId="06C87CFD" w14:textId="6F60B6C1" w:rsidR="00991A8E" w:rsidRDefault="00991A8E" w:rsidP="003D6DD3">
            <w:pPr>
              <w:jc w:val="both"/>
              <w:rPr>
                <w:rFonts w:ascii="Times New Roman" w:hAnsi="Times New Roman" w:cs="Times New Roman"/>
                <w:sz w:val="24"/>
                <w:szCs w:val="24"/>
              </w:rPr>
            </w:pPr>
            <w:r>
              <w:rPr>
                <w:rFonts w:ascii="Times New Roman" w:hAnsi="Times New Roman" w:cs="Times New Roman"/>
                <w:sz w:val="24"/>
                <w:szCs w:val="24"/>
              </w:rPr>
              <w:t>Pamatojoties uz izmaiņām noteikumu projekta redakcijā</w:t>
            </w:r>
            <w:r w:rsidR="00450105">
              <w:rPr>
                <w:rFonts w:ascii="Times New Roman" w:hAnsi="Times New Roman" w:cs="Times New Roman"/>
                <w:sz w:val="24"/>
                <w:szCs w:val="24"/>
              </w:rPr>
              <w:t xml:space="preserve"> un numerācijā</w:t>
            </w:r>
            <w:r>
              <w:rPr>
                <w:rFonts w:ascii="Times New Roman" w:hAnsi="Times New Roman" w:cs="Times New Roman"/>
                <w:sz w:val="24"/>
                <w:szCs w:val="24"/>
              </w:rPr>
              <w:t>, minētā norma noteikta 6. punktā:</w:t>
            </w:r>
          </w:p>
          <w:p w14:paraId="7132F995" w14:textId="03E687D8" w:rsidR="00991A8E" w:rsidRPr="00991A8E" w:rsidRDefault="00991A8E" w:rsidP="003D6DD3">
            <w:pPr>
              <w:jc w:val="both"/>
              <w:rPr>
                <w:rFonts w:ascii="Times New Roman" w:eastAsia="Times New Roman" w:hAnsi="Times New Roman" w:cs="Times New Roman"/>
                <w:sz w:val="24"/>
                <w:szCs w:val="24"/>
                <w:lang w:eastAsia="lv-LV"/>
              </w:rPr>
            </w:pPr>
            <w:r w:rsidRPr="00991A8E">
              <w:rPr>
                <w:rFonts w:ascii="Times New Roman" w:eastAsia="Times New Roman" w:hAnsi="Times New Roman" w:cs="Times New Roman"/>
                <w:sz w:val="24"/>
                <w:lang w:eastAsia="lv-LV"/>
              </w:rPr>
              <w:t>"</w:t>
            </w:r>
            <w:r>
              <w:rPr>
                <w:rFonts w:ascii="Times New Roman" w:hAnsi="Times New Roman" w:cs="Times New Roman"/>
                <w:sz w:val="24"/>
                <w:szCs w:val="24"/>
              </w:rPr>
              <w:t xml:space="preserve">6. </w:t>
            </w:r>
            <w:r w:rsidRPr="00991A8E">
              <w:rPr>
                <w:rFonts w:ascii="Times New Roman" w:eastAsia="Times New Roman" w:hAnsi="Times New Roman" w:cs="Times New Roman"/>
                <w:sz w:val="24"/>
                <w:szCs w:val="24"/>
              </w:rPr>
              <w:t>Pensiju izmaksu prognozes veido</w:t>
            </w:r>
            <w:r w:rsidR="003E67CA">
              <w:rPr>
                <w:rFonts w:ascii="Times New Roman" w:eastAsia="Times New Roman" w:hAnsi="Times New Roman" w:cs="Times New Roman"/>
                <w:sz w:val="24"/>
                <w:szCs w:val="24"/>
              </w:rPr>
              <w:t>,</w:t>
            </w:r>
            <w:r w:rsidRPr="00991A8E">
              <w:rPr>
                <w:rFonts w:ascii="Times New Roman" w:eastAsia="Times New Roman" w:hAnsi="Times New Roman" w:cs="Times New Roman"/>
                <w:sz w:val="24"/>
                <w:szCs w:val="24"/>
              </w:rPr>
              <w:t xml:space="preserve"> pamatojoties uz pieņēmumu, ka pensiju plāna dalībnieks sāk saņemt pensiju, sasniedzot valstī noteikto pensionēšanās vecumu, kas piemērojams attiecīgajam pensiju plāna dalībniekam, vai vismaz attiecīgajā pensiju plānā noteikto pensijas vecumu.</w:t>
            </w:r>
            <w:r w:rsidRPr="00991A8E">
              <w:rPr>
                <w:rFonts w:ascii="Times New Roman" w:eastAsia="Times New Roman" w:hAnsi="Times New Roman" w:cs="Times New Roman"/>
                <w:sz w:val="24"/>
                <w:lang w:eastAsia="lv-LV"/>
              </w:rPr>
              <w:t>"</w:t>
            </w:r>
          </w:p>
          <w:p w14:paraId="428AF0D6" w14:textId="4B9DB8C6" w:rsidR="00991A8E" w:rsidRPr="000023C5" w:rsidRDefault="00991A8E" w:rsidP="003D6DD3">
            <w:pPr>
              <w:jc w:val="both"/>
              <w:rPr>
                <w:rFonts w:ascii="Times New Roman" w:hAnsi="Times New Roman" w:cs="Times New Roman"/>
                <w:sz w:val="24"/>
                <w:szCs w:val="24"/>
              </w:rPr>
            </w:pPr>
          </w:p>
        </w:tc>
      </w:tr>
      <w:tr w:rsidR="00E23FFB" w14:paraId="32B340C6" w14:textId="77777777" w:rsidTr="0020694F">
        <w:tc>
          <w:tcPr>
            <w:tcW w:w="943" w:type="dxa"/>
          </w:tcPr>
          <w:p w14:paraId="7F9E4F35" w14:textId="391355F9" w:rsidR="00E23FFB" w:rsidRPr="00B276C5" w:rsidRDefault="00B276C5" w:rsidP="003D6DD3">
            <w:pPr>
              <w:jc w:val="both"/>
              <w:outlineLvl w:val="0"/>
              <w:rPr>
                <w:rFonts w:ascii="Times New Roman" w:eastAsia="Times New Roman" w:hAnsi="Times New Roman" w:cs="Times New Roman"/>
                <w:sz w:val="24"/>
                <w:szCs w:val="24"/>
                <w:lang w:eastAsia="lv-LV"/>
              </w:rPr>
            </w:pPr>
            <w:r w:rsidRPr="00B276C5">
              <w:rPr>
                <w:rFonts w:ascii="Times New Roman" w:eastAsia="Times New Roman" w:hAnsi="Times New Roman" w:cs="Times New Roman"/>
                <w:sz w:val="24"/>
                <w:szCs w:val="24"/>
                <w:lang w:eastAsia="lv-LV"/>
              </w:rPr>
              <w:t>8.</w:t>
            </w:r>
          </w:p>
        </w:tc>
        <w:tc>
          <w:tcPr>
            <w:tcW w:w="4439" w:type="dxa"/>
          </w:tcPr>
          <w:p w14:paraId="416903A3" w14:textId="55D6EB41" w:rsidR="00E23FFB" w:rsidRPr="00E23FFB" w:rsidRDefault="00E23FFB" w:rsidP="003D6DD3">
            <w:pPr>
              <w:jc w:val="both"/>
              <w:rPr>
                <w:rFonts w:ascii="Times New Roman" w:eastAsia="Aptos" w:hAnsi="Times New Roman" w:cs="Times New Roman"/>
                <w:sz w:val="24"/>
                <w:szCs w:val="24"/>
                <w14:ligatures w14:val="standardContextual"/>
              </w:rPr>
            </w:pPr>
            <w:r w:rsidRPr="00E23FFB">
              <w:rPr>
                <w:rFonts w:ascii="Times New Roman" w:eastAsia="Aptos" w:hAnsi="Times New Roman" w:cs="Times New Roman"/>
                <w:sz w:val="24"/>
                <w:szCs w:val="24"/>
                <w14:ligatures w14:val="standardContextual"/>
              </w:rPr>
              <w:t>7.</w:t>
            </w:r>
            <w:r w:rsidR="00D91805">
              <w:rPr>
                <w:rFonts w:ascii="Times New Roman" w:eastAsia="Aptos" w:hAnsi="Times New Roman" w:cs="Times New Roman"/>
                <w:sz w:val="24"/>
                <w:szCs w:val="24"/>
                <w14:ligatures w14:val="standardContextual"/>
              </w:rPr>
              <w:t> </w:t>
            </w:r>
            <w:r w:rsidRPr="00E23FFB">
              <w:rPr>
                <w:rFonts w:ascii="Times New Roman" w:eastAsia="Aptos" w:hAnsi="Times New Roman" w:cs="Times New Roman"/>
                <w:sz w:val="24"/>
                <w:szCs w:val="24"/>
                <w14:ligatures w14:val="standardContextual"/>
              </w:rPr>
              <w:t>Sagatavojot šo noteikumu 6.1.</w:t>
            </w:r>
            <w:r w:rsidR="00D91805">
              <w:rPr>
                <w:rFonts w:ascii="Times New Roman" w:eastAsia="Aptos" w:hAnsi="Times New Roman" w:cs="Times New Roman"/>
                <w:sz w:val="24"/>
                <w:szCs w:val="24"/>
                <w14:ligatures w14:val="standardContextual"/>
              </w:rPr>
              <w:t> </w:t>
            </w:r>
            <w:r w:rsidRPr="00E23FFB">
              <w:rPr>
                <w:rFonts w:ascii="Times New Roman" w:eastAsia="Aptos" w:hAnsi="Times New Roman" w:cs="Times New Roman"/>
                <w:sz w:val="24"/>
                <w:szCs w:val="24"/>
                <w14:ligatures w14:val="standardContextual"/>
              </w:rPr>
              <w:t xml:space="preserve">apakšpunktā minēto informāciju, ņem vērā: </w:t>
            </w:r>
          </w:p>
          <w:p w14:paraId="74BD66AB" w14:textId="310BFBA0" w:rsidR="00E23FFB" w:rsidRPr="00E23FFB" w:rsidRDefault="00E23FFB" w:rsidP="003D6DD3">
            <w:pPr>
              <w:jc w:val="both"/>
              <w:rPr>
                <w:rFonts w:ascii="Times New Roman" w:eastAsia="Aptos" w:hAnsi="Times New Roman" w:cs="Times New Roman"/>
                <w:sz w:val="24"/>
                <w:szCs w:val="24"/>
                <w14:ligatures w14:val="standardContextual"/>
              </w:rPr>
            </w:pPr>
            <w:r w:rsidRPr="00E23FFB">
              <w:rPr>
                <w:rFonts w:ascii="Times New Roman" w:eastAsia="Aptos" w:hAnsi="Times New Roman" w:cs="Times New Roman"/>
                <w:sz w:val="24"/>
                <w:szCs w:val="24"/>
                <w14:ligatures w14:val="standardContextual"/>
              </w:rPr>
              <w:t>7.1. attiecīgā pensiju plāna darbību raksturojošo rādītāju prognozes, tai skaitā ieguldījumu atdeves prognozes, kas pamatotas ar līdzšinējo ieguldījumu atdevi pēdējo 20 darbības gadu laikā un attiecīgā pensiju plāna ieguldījumu politiku;</w:t>
            </w:r>
          </w:p>
          <w:p w14:paraId="77519791" w14:textId="30EBD124" w:rsidR="00E23FFB" w:rsidRPr="00B276C5" w:rsidRDefault="00E23FFB" w:rsidP="003D6DD3">
            <w:pPr>
              <w:jc w:val="both"/>
              <w:rPr>
                <w:rFonts w:ascii="Times New Roman" w:hAnsi="Times New Roman" w:cs="Times New Roman"/>
                <w:sz w:val="24"/>
                <w:szCs w:val="24"/>
              </w:rPr>
            </w:pPr>
            <w:r w:rsidRPr="00E23FFB">
              <w:rPr>
                <w:rFonts w:ascii="Times New Roman" w:eastAsia="Aptos" w:hAnsi="Times New Roman" w:cs="Times New Roman"/>
                <w:sz w:val="24"/>
                <w:szCs w:val="24"/>
                <w14:ligatures w14:val="standardContextual"/>
              </w:rPr>
              <w:t>7.2. pensiju plāna dalībnieka individuālos datus, tai skaitā dalībnieka vecumu.</w:t>
            </w:r>
          </w:p>
        </w:tc>
        <w:tc>
          <w:tcPr>
            <w:tcW w:w="4394" w:type="dxa"/>
          </w:tcPr>
          <w:p w14:paraId="72191324" w14:textId="0AB33C69" w:rsidR="00E23FFB" w:rsidRPr="00B276C5" w:rsidRDefault="00E23FFB" w:rsidP="003D6DD3">
            <w:pPr>
              <w:jc w:val="both"/>
              <w:rPr>
                <w:rFonts w:ascii="Times New Roman" w:eastAsia="Times New Roman" w:hAnsi="Times New Roman" w:cs="Times New Roman"/>
                <w:sz w:val="24"/>
                <w:szCs w:val="24"/>
                <w:lang w:eastAsia="lv-LV"/>
              </w:rPr>
            </w:pPr>
            <w:r w:rsidRPr="00B276C5">
              <w:rPr>
                <w:rFonts w:ascii="Times New Roman" w:eastAsia="Times New Roman" w:hAnsi="Times New Roman" w:cs="Times New Roman"/>
                <w:sz w:val="24"/>
                <w:szCs w:val="24"/>
                <w:lang w:eastAsia="lv-LV"/>
              </w:rPr>
              <w:t xml:space="preserve">Spēkā esošajos noteikumos ir noteikts: </w:t>
            </w:r>
            <w:r w:rsidR="00D91805">
              <w:rPr>
                <w:rFonts w:ascii="Times New Roman" w:eastAsia="Times New Roman" w:hAnsi="Times New Roman" w:cs="Times New Roman"/>
                <w:sz w:val="24"/>
                <w:szCs w:val="24"/>
                <w:lang w:eastAsia="lv-LV"/>
              </w:rPr>
              <w:t>"</w:t>
            </w:r>
            <w:r w:rsidRPr="00B276C5">
              <w:rPr>
                <w:rFonts w:ascii="Times New Roman" w:eastAsia="Times New Roman" w:hAnsi="Times New Roman" w:cs="Times New Roman"/>
                <w:sz w:val="24"/>
                <w:szCs w:val="24"/>
                <w:lang w:eastAsia="lv-LV"/>
              </w:rPr>
              <w:t>attiecīgā pensiju plāna darbību raksturojošo rādītāju prognozes, tai skaitā ieguldījumu atdeves prognozes, kas pamatotas ar līdzšinējo ieguldījumu atdevi pēdējo 10 darbības gadu laikā un attiecīgā pensiju plāna ieguldījumu politiku, atskaitot ieguldījumu pārvaldes izdevumus.</w:t>
            </w:r>
            <w:r w:rsidR="00D91805">
              <w:rPr>
                <w:rFonts w:ascii="Times New Roman" w:eastAsia="Times New Roman" w:hAnsi="Times New Roman" w:cs="Times New Roman"/>
                <w:sz w:val="24"/>
                <w:szCs w:val="24"/>
                <w:lang w:eastAsia="lv-LV"/>
              </w:rPr>
              <w:t>"</w:t>
            </w:r>
          </w:p>
          <w:p w14:paraId="470034E7" w14:textId="77777777" w:rsidR="00E23FFB" w:rsidRPr="00B276C5" w:rsidRDefault="00E23FFB" w:rsidP="003D6DD3">
            <w:pPr>
              <w:jc w:val="both"/>
              <w:rPr>
                <w:rFonts w:ascii="Times New Roman" w:eastAsia="Times New Roman" w:hAnsi="Times New Roman" w:cs="Times New Roman"/>
                <w:sz w:val="24"/>
                <w:szCs w:val="24"/>
                <w:lang w:eastAsia="lv-LV"/>
              </w:rPr>
            </w:pPr>
            <w:r w:rsidRPr="00B276C5">
              <w:rPr>
                <w:rFonts w:ascii="Times New Roman" w:eastAsia="Times New Roman" w:hAnsi="Times New Roman" w:cs="Times New Roman"/>
                <w:sz w:val="24"/>
                <w:szCs w:val="24"/>
                <w:lang w:eastAsia="lv-LV"/>
              </w:rPr>
              <w:t xml:space="preserve">Lūdzam skaidrot, vai šī atkāpe nozīmē ka ieguldījumu atdeves aprēķinos izmantojam bruto neto cenas? </w:t>
            </w:r>
          </w:p>
          <w:p w14:paraId="6DFA6040" w14:textId="77777777" w:rsidR="00E23FFB" w:rsidRPr="00B276C5" w:rsidRDefault="00E23FFB" w:rsidP="003D6DD3">
            <w:pPr>
              <w:jc w:val="both"/>
              <w:rPr>
                <w:rFonts w:ascii="Times New Roman" w:eastAsia="Times New Roman" w:hAnsi="Times New Roman" w:cs="Times New Roman"/>
                <w:sz w:val="24"/>
                <w:szCs w:val="24"/>
                <w:lang w:eastAsia="lv-LV"/>
              </w:rPr>
            </w:pPr>
          </w:p>
          <w:p w14:paraId="394B6B64" w14:textId="77777777" w:rsidR="00E23FFB" w:rsidRPr="00B276C5" w:rsidRDefault="00E23FFB" w:rsidP="003D6DD3">
            <w:pPr>
              <w:jc w:val="both"/>
              <w:rPr>
                <w:rFonts w:ascii="Times New Roman" w:eastAsia="Times New Roman" w:hAnsi="Times New Roman" w:cs="Times New Roman"/>
                <w:sz w:val="24"/>
                <w:szCs w:val="24"/>
                <w:lang w:eastAsia="lv-LV"/>
              </w:rPr>
            </w:pPr>
            <w:r w:rsidRPr="00B276C5">
              <w:rPr>
                <w:rFonts w:ascii="Times New Roman" w:eastAsia="Times New Roman" w:hAnsi="Times New Roman" w:cs="Times New Roman"/>
                <w:sz w:val="24"/>
                <w:szCs w:val="24"/>
                <w:lang w:eastAsia="lv-LV"/>
              </w:rPr>
              <w:t xml:space="preserve">Lūdzam skaidrot arī to, par kādu periodu atskaites indeksa ienesīgums var tikt aizstāts ar 0, ja tas ir negatīvs ?  </w:t>
            </w:r>
          </w:p>
          <w:p w14:paraId="1D63A3C9" w14:textId="77777777" w:rsidR="00E23FFB" w:rsidRPr="00B276C5" w:rsidRDefault="00E23FFB" w:rsidP="003D6DD3">
            <w:pPr>
              <w:jc w:val="both"/>
              <w:rPr>
                <w:rFonts w:ascii="Times New Roman" w:eastAsia="Times New Roman" w:hAnsi="Times New Roman" w:cs="Times New Roman"/>
                <w:sz w:val="24"/>
                <w:szCs w:val="24"/>
                <w:lang w:eastAsia="lv-LV"/>
              </w:rPr>
            </w:pPr>
          </w:p>
          <w:p w14:paraId="1030847F" w14:textId="3FD67D10" w:rsidR="00E23FFB" w:rsidRPr="00B276C5" w:rsidRDefault="00E23FFB" w:rsidP="003D6DD3">
            <w:pPr>
              <w:jc w:val="both"/>
              <w:rPr>
                <w:rFonts w:ascii="Times New Roman" w:eastAsia="Times New Roman" w:hAnsi="Times New Roman" w:cs="Times New Roman"/>
                <w:sz w:val="24"/>
                <w:szCs w:val="24"/>
                <w:lang w:eastAsia="lv-LV"/>
              </w:rPr>
            </w:pPr>
            <w:r w:rsidRPr="00B276C5">
              <w:rPr>
                <w:rFonts w:ascii="Times New Roman" w:eastAsia="Times New Roman" w:hAnsi="Times New Roman" w:cs="Times New Roman"/>
                <w:sz w:val="24"/>
                <w:szCs w:val="24"/>
                <w:lang w:eastAsia="lv-LV"/>
              </w:rPr>
              <w:t xml:space="preserve">Lūdzam skaidrot arī šādu jautājumu </w:t>
            </w:r>
            <w:r w:rsidR="005F39F8">
              <w:rPr>
                <w:rFonts w:ascii="Times New Roman" w:eastAsia="Times New Roman" w:hAnsi="Times New Roman" w:cs="Times New Roman"/>
                <w:sz w:val="24"/>
                <w:szCs w:val="24"/>
                <w:lang w:eastAsia="lv-LV"/>
              </w:rPr>
              <w:t>–</w:t>
            </w:r>
            <w:r w:rsidRPr="00B276C5">
              <w:rPr>
                <w:rFonts w:ascii="Times New Roman" w:eastAsia="Times New Roman" w:hAnsi="Times New Roman" w:cs="Times New Roman"/>
                <w:sz w:val="24"/>
                <w:szCs w:val="24"/>
                <w:lang w:eastAsia="lv-LV"/>
              </w:rPr>
              <w:t xml:space="preserve"> ja ieguldījumu politika ir būtiski mainījusies pēdējo 20 gadu laikā pret šodienu kā pamata atskaites punktu, kas ir scenārijs ar vislielāko varbūtību, tad vēsturisko ienesīgumu pēc būtības aizvieto ar indeksu proporciju? </w:t>
            </w:r>
          </w:p>
        </w:tc>
        <w:tc>
          <w:tcPr>
            <w:tcW w:w="4172" w:type="dxa"/>
          </w:tcPr>
          <w:p w14:paraId="06233BBB" w14:textId="77777777" w:rsidR="00E23FFB" w:rsidRPr="00BA7F17" w:rsidRDefault="00BA7F17" w:rsidP="003D6DD3">
            <w:pPr>
              <w:jc w:val="both"/>
              <w:rPr>
                <w:rFonts w:ascii="Times New Roman" w:hAnsi="Times New Roman" w:cs="Times New Roman"/>
                <w:b/>
                <w:bCs/>
                <w:sz w:val="24"/>
                <w:szCs w:val="24"/>
              </w:rPr>
            </w:pPr>
            <w:r w:rsidRPr="00BA7F17">
              <w:rPr>
                <w:rFonts w:ascii="Times New Roman" w:hAnsi="Times New Roman" w:cs="Times New Roman"/>
                <w:b/>
                <w:bCs/>
                <w:sz w:val="24"/>
                <w:szCs w:val="24"/>
              </w:rPr>
              <w:lastRenderedPageBreak/>
              <w:t>Ņemts vērā.</w:t>
            </w:r>
          </w:p>
          <w:p w14:paraId="0BF08E0F" w14:textId="77777777" w:rsidR="00BA1C43" w:rsidRPr="00BA7F17" w:rsidRDefault="00BA1C43" w:rsidP="003E67CA">
            <w:pPr>
              <w:jc w:val="both"/>
              <w:rPr>
                <w:rFonts w:ascii="Times New Roman" w:hAnsi="Times New Roman" w:cs="Times New Roman"/>
                <w:b/>
                <w:bCs/>
                <w:sz w:val="24"/>
                <w:szCs w:val="24"/>
              </w:rPr>
            </w:pPr>
          </w:p>
          <w:p w14:paraId="35548674" w14:textId="6117824B" w:rsidR="00BA7F17" w:rsidRDefault="00BA7F17" w:rsidP="003D6DD3">
            <w:pPr>
              <w:jc w:val="both"/>
              <w:rPr>
                <w:rFonts w:ascii="Times New Roman" w:hAnsi="Times New Roman" w:cs="Times New Roman"/>
                <w:sz w:val="24"/>
                <w:szCs w:val="24"/>
              </w:rPr>
            </w:pPr>
            <w:r>
              <w:rPr>
                <w:rFonts w:ascii="Times New Roman" w:hAnsi="Times New Roman" w:cs="Times New Roman"/>
                <w:sz w:val="24"/>
                <w:szCs w:val="24"/>
              </w:rPr>
              <w:t>Pārstrādātā noteikumu projekta redakcija nosaka, ka prognožu aprēķinam piemēro PRIIPs regulā noteiktās prasības, kur</w:t>
            </w:r>
            <w:r w:rsidR="003E67CA">
              <w:rPr>
                <w:rFonts w:ascii="Times New Roman" w:hAnsi="Times New Roman" w:cs="Times New Roman"/>
                <w:sz w:val="24"/>
                <w:szCs w:val="24"/>
              </w:rPr>
              <w:t>as paredz, ka</w:t>
            </w:r>
            <w:r>
              <w:rPr>
                <w:rFonts w:ascii="Times New Roman" w:hAnsi="Times New Roman" w:cs="Times New Roman"/>
                <w:sz w:val="24"/>
                <w:szCs w:val="24"/>
              </w:rPr>
              <w:t xml:space="preserve"> darbības rezultātu aprēķina vajadzībām visas piemērojamās izmaksas atskaita.</w:t>
            </w:r>
          </w:p>
          <w:p w14:paraId="31AE3A32" w14:textId="77777777" w:rsidR="00BA7F17" w:rsidRDefault="00BA7F17" w:rsidP="003D6DD3">
            <w:pPr>
              <w:jc w:val="both"/>
              <w:rPr>
                <w:rFonts w:ascii="Times New Roman" w:hAnsi="Times New Roman" w:cs="Times New Roman"/>
                <w:sz w:val="24"/>
                <w:szCs w:val="24"/>
              </w:rPr>
            </w:pPr>
          </w:p>
          <w:p w14:paraId="3057C87D" w14:textId="48680FCE" w:rsidR="00BA7F17" w:rsidRPr="000023C5" w:rsidRDefault="00BA7F17" w:rsidP="003D6DD3">
            <w:pPr>
              <w:jc w:val="both"/>
              <w:rPr>
                <w:rFonts w:ascii="Times New Roman" w:hAnsi="Times New Roman" w:cs="Times New Roman"/>
                <w:sz w:val="24"/>
                <w:szCs w:val="24"/>
              </w:rPr>
            </w:pPr>
            <w:r>
              <w:rPr>
                <w:rFonts w:ascii="Times New Roman" w:hAnsi="Times New Roman" w:cs="Times New Roman"/>
                <w:sz w:val="24"/>
                <w:szCs w:val="24"/>
              </w:rPr>
              <w:t xml:space="preserve">Papildus Latvijas Banka norāda, ka no noteikumu projekta </w:t>
            </w:r>
            <w:r w:rsidR="0091059E">
              <w:rPr>
                <w:rFonts w:ascii="Times New Roman" w:hAnsi="Times New Roman" w:cs="Times New Roman"/>
                <w:sz w:val="24"/>
                <w:szCs w:val="24"/>
              </w:rPr>
              <w:t>izslēgtas prasības par atskaites indeksu izmantošanu.</w:t>
            </w:r>
          </w:p>
        </w:tc>
      </w:tr>
      <w:tr w:rsidR="00E23FFB" w14:paraId="505D7602" w14:textId="77777777" w:rsidTr="0020694F">
        <w:tc>
          <w:tcPr>
            <w:tcW w:w="943" w:type="dxa"/>
          </w:tcPr>
          <w:p w14:paraId="1A8CF203" w14:textId="7011AD8E" w:rsidR="00E23FFB" w:rsidRPr="00B276C5" w:rsidRDefault="00B276C5" w:rsidP="003D6DD3">
            <w:pPr>
              <w:jc w:val="both"/>
              <w:outlineLvl w:val="0"/>
              <w:rPr>
                <w:rFonts w:ascii="Times New Roman" w:eastAsia="Times New Roman" w:hAnsi="Times New Roman" w:cs="Times New Roman"/>
                <w:sz w:val="24"/>
                <w:szCs w:val="24"/>
                <w:lang w:eastAsia="lv-LV"/>
              </w:rPr>
            </w:pPr>
            <w:r w:rsidRPr="00B276C5">
              <w:rPr>
                <w:rFonts w:ascii="Times New Roman" w:eastAsia="Times New Roman" w:hAnsi="Times New Roman" w:cs="Times New Roman"/>
                <w:sz w:val="24"/>
                <w:szCs w:val="24"/>
                <w:lang w:eastAsia="lv-LV"/>
              </w:rPr>
              <w:t>9.</w:t>
            </w:r>
          </w:p>
        </w:tc>
        <w:tc>
          <w:tcPr>
            <w:tcW w:w="4439" w:type="dxa"/>
          </w:tcPr>
          <w:p w14:paraId="2C2D0A7F" w14:textId="1414C714" w:rsidR="00E23FFB" w:rsidRPr="00B276C5" w:rsidRDefault="00E23FFB" w:rsidP="003D6DD3">
            <w:pPr>
              <w:jc w:val="both"/>
              <w:rPr>
                <w:rFonts w:ascii="Times New Roman" w:hAnsi="Times New Roman" w:cs="Times New Roman"/>
                <w:sz w:val="24"/>
                <w:szCs w:val="24"/>
              </w:rPr>
            </w:pPr>
            <w:r w:rsidRPr="00E23FFB">
              <w:rPr>
                <w:rFonts w:ascii="Times New Roman" w:eastAsia="Aptos" w:hAnsi="Times New Roman" w:cs="Times New Roman"/>
                <w:sz w:val="24"/>
                <w:szCs w:val="24"/>
                <w14:ligatures w14:val="standardContextual"/>
              </w:rPr>
              <w:t>8.1. aprēķina attiecīgā pensiju plāna pieejamo vēsturisko ieguldījumu neto aktīvu vērtības atdevi pēdējo 20 darbības gadu laikā, pēc iespējas pamatojot to ar ieguldījumu atdeves aprēķinu pa mēnešiem, bet ne retāk kā reizi gadā;</w:t>
            </w:r>
          </w:p>
        </w:tc>
        <w:tc>
          <w:tcPr>
            <w:tcW w:w="4394" w:type="dxa"/>
          </w:tcPr>
          <w:p w14:paraId="2789286F" w14:textId="2D1B3BDD" w:rsidR="00E23FFB" w:rsidRPr="00B276C5" w:rsidRDefault="00E23FFB" w:rsidP="003D6DD3">
            <w:pPr>
              <w:jc w:val="both"/>
              <w:rPr>
                <w:rFonts w:ascii="Times New Roman" w:eastAsia="Times New Roman" w:hAnsi="Times New Roman" w:cs="Times New Roman"/>
                <w:sz w:val="24"/>
                <w:szCs w:val="24"/>
                <w:lang w:eastAsia="lv-LV"/>
              </w:rPr>
            </w:pPr>
            <w:r w:rsidRPr="00B276C5">
              <w:rPr>
                <w:rFonts w:ascii="Times New Roman" w:eastAsia="Times New Roman" w:hAnsi="Times New Roman" w:cs="Times New Roman"/>
                <w:sz w:val="24"/>
                <w:szCs w:val="24"/>
                <w:lang w:eastAsia="lv-LV"/>
              </w:rPr>
              <w:t xml:space="preserve">Lūdzam skaidrot </w:t>
            </w:r>
            <w:r w:rsidR="00D91805">
              <w:rPr>
                <w:rFonts w:ascii="Times New Roman" w:eastAsia="Times New Roman" w:hAnsi="Times New Roman" w:cs="Times New Roman"/>
                <w:sz w:val="24"/>
                <w:szCs w:val="24"/>
                <w:lang w:eastAsia="lv-LV"/>
              </w:rPr>
              <w:t>"</w:t>
            </w:r>
            <w:r w:rsidR="005255B2">
              <w:rPr>
                <w:rFonts w:ascii="Times New Roman" w:eastAsia="Times New Roman" w:hAnsi="Times New Roman" w:cs="Times New Roman"/>
                <w:sz w:val="24"/>
                <w:szCs w:val="24"/>
                <w:lang w:eastAsia="lv-LV"/>
              </w:rPr>
              <w:t>N</w:t>
            </w:r>
            <w:r w:rsidRPr="00B276C5">
              <w:rPr>
                <w:rFonts w:ascii="Times New Roman" w:eastAsia="Times New Roman" w:hAnsi="Times New Roman" w:cs="Times New Roman"/>
                <w:sz w:val="24"/>
                <w:szCs w:val="24"/>
                <w:lang w:eastAsia="lv-LV"/>
              </w:rPr>
              <w:t>eto aktīvu vērtības atdevi</w:t>
            </w:r>
            <w:r w:rsidR="00D91805">
              <w:rPr>
                <w:rFonts w:ascii="Times New Roman" w:eastAsia="Times New Roman" w:hAnsi="Times New Roman" w:cs="Times New Roman"/>
                <w:sz w:val="24"/>
                <w:szCs w:val="24"/>
                <w:lang w:eastAsia="lv-LV"/>
              </w:rPr>
              <w:t>"</w:t>
            </w:r>
            <w:r w:rsidRPr="00B276C5">
              <w:rPr>
                <w:rFonts w:ascii="Times New Roman" w:eastAsia="Times New Roman" w:hAnsi="Times New Roman" w:cs="Times New Roman"/>
                <w:sz w:val="24"/>
                <w:szCs w:val="24"/>
                <w:lang w:eastAsia="lv-LV"/>
              </w:rPr>
              <w:t xml:space="preserve">, kur / kā tas tiek definēts? </w:t>
            </w:r>
          </w:p>
          <w:p w14:paraId="53E0FD7E" w14:textId="77777777" w:rsidR="00E23FFB" w:rsidRPr="00B276C5" w:rsidRDefault="00E23FFB" w:rsidP="00E23FFB">
            <w:pPr>
              <w:rPr>
                <w:rFonts w:ascii="Times New Roman" w:eastAsia="Times New Roman" w:hAnsi="Times New Roman" w:cs="Times New Roman"/>
                <w:sz w:val="24"/>
                <w:szCs w:val="24"/>
                <w:lang w:eastAsia="lv-LV"/>
              </w:rPr>
            </w:pPr>
          </w:p>
          <w:p w14:paraId="56F886D2" w14:textId="29E0936E" w:rsidR="00E23FFB" w:rsidRPr="00B276C5" w:rsidRDefault="00E23FFB" w:rsidP="003D6DD3">
            <w:pPr>
              <w:jc w:val="both"/>
              <w:rPr>
                <w:rFonts w:ascii="Times New Roman" w:eastAsia="Times New Roman" w:hAnsi="Times New Roman" w:cs="Times New Roman"/>
                <w:sz w:val="24"/>
                <w:szCs w:val="24"/>
                <w:lang w:eastAsia="lv-LV"/>
              </w:rPr>
            </w:pPr>
            <w:r w:rsidRPr="00B276C5">
              <w:rPr>
                <w:rFonts w:ascii="Times New Roman" w:eastAsia="Times New Roman" w:hAnsi="Times New Roman" w:cs="Times New Roman"/>
                <w:sz w:val="24"/>
                <w:szCs w:val="24"/>
                <w:lang w:eastAsia="lv-LV"/>
              </w:rPr>
              <w:t xml:space="preserve">Alternatīvs formulējums ir atrodams spēkā esošo noteikumu 8.2 punktā –  </w:t>
            </w:r>
            <w:r w:rsidR="00D91805">
              <w:rPr>
                <w:rFonts w:ascii="Times New Roman" w:eastAsia="Times New Roman" w:hAnsi="Times New Roman" w:cs="Times New Roman"/>
                <w:sz w:val="24"/>
                <w:szCs w:val="24"/>
                <w:lang w:eastAsia="lv-LV"/>
              </w:rPr>
              <w:t>"</w:t>
            </w:r>
            <w:r w:rsidRPr="00B276C5">
              <w:rPr>
                <w:rFonts w:ascii="Times New Roman" w:eastAsia="Times New Roman" w:hAnsi="Times New Roman" w:cs="Times New Roman"/>
                <w:sz w:val="24"/>
                <w:szCs w:val="24"/>
                <w:lang w:eastAsia="lv-LV"/>
              </w:rPr>
              <w:t>ieguldījumu atdeve pēdējo ___ darbības gadu laikā … atskaitot ieguldījumu pārvaldes izdevumus.</w:t>
            </w:r>
            <w:r w:rsidR="00D91805">
              <w:rPr>
                <w:rFonts w:ascii="Times New Roman" w:eastAsia="Times New Roman" w:hAnsi="Times New Roman" w:cs="Times New Roman"/>
                <w:sz w:val="24"/>
                <w:szCs w:val="24"/>
                <w:lang w:eastAsia="lv-LV"/>
              </w:rPr>
              <w:t>"</w:t>
            </w:r>
            <w:r w:rsidRPr="00B276C5">
              <w:rPr>
                <w:rFonts w:ascii="Times New Roman" w:eastAsia="Times New Roman" w:hAnsi="Times New Roman" w:cs="Times New Roman"/>
                <w:sz w:val="24"/>
                <w:szCs w:val="24"/>
                <w:lang w:eastAsia="lv-LV"/>
              </w:rPr>
              <w:t xml:space="preserve"> Vēl viena alternatīva – </w:t>
            </w:r>
            <w:r w:rsidR="00D91805">
              <w:rPr>
                <w:rFonts w:ascii="Times New Roman" w:eastAsia="Times New Roman" w:hAnsi="Times New Roman" w:cs="Times New Roman"/>
                <w:sz w:val="24"/>
                <w:szCs w:val="24"/>
                <w:lang w:eastAsia="lv-LV"/>
              </w:rPr>
              <w:t>"</w:t>
            </w:r>
            <w:r w:rsidRPr="00B276C5">
              <w:rPr>
                <w:rFonts w:ascii="Times New Roman" w:eastAsia="Times New Roman" w:hAnsi="Times New Roman" w:cs="Times New Roman"/>
                <w:sz w:val="24"/>
                <w:szCs w:val="24"/>
                <w:lang w:eastAsia="lv-LV"/>
              </w:rPr>
              <w:t>daļas vērtības izmaiņas</w:t>
            </w:r>
            <w:r w:rsidR="00D91805">
              <w:rPr>
                <w:rFonts w:ascii="Times New Roman" w:eastAsia="Times New Roman" w:hAnsi="Times New Roman" w:cs="Times New Roman"/>
                <w:sz w:val="24"/>
                <w:szCs w:val="24"/>
                <w:lang w:eastAsia="lv-LV"/>
              </w:rPr>
              <w:t>"</w:t>
            </w:r>
            <w:r w:rsidRPr="00B276C5">
              <w:rPr>
                <w:rFonts w:ascii="Times New Roman" w:eastAsia="Times New Roman" w:hAnsi="Times New Roman" w:cs="Times New Roman"/>
                <w:sz w:val="24"/>
                <w:szCs w:val="24"/>
                <w:lang w:eastAsia="lv-LV"/>
              </w:rPr>
              <w:t>.</w:t>
            </w:r>
          </w:p>
        </w:tc>
        <w:tc>
          <w:tcPr>
            <w:tcW w:w="4172" w:type="dxa"/>
          </w:tcPr>
          <w:p w14:paraId="2DAAEE5C" w14:textId="055A029B" w:rsidR="00E23FFB" w:rsidRPr="00450105" w:rsidRDefault="00450105" w:rsidP="003D6DD3">
            <w:pPr>
              <w:jc w:val="both"/>
              <w:rPr>
                <w:rFonts w:ascii="Times New Roman" w:hAnsi="Times New Roman" w:cs="Times New Roman"/>
                <w:b/>
                <w:bCs/>
                <w:sz w:val="24"/>
                <w:szCs w:val="24"/>
              </w:rPr>
            </w:pPr>
            <w:r w:rsidRPr="00450105">
              <w:rPr>
                <w:rFonts w:ascii="Times New Roman" w:hAnsi="Times New Roman" w:cs="Times New Roman"/>
                <w:b/>
                <w:bCs/>
                <w:sz w:val="24"/>
                <w:szCs w:val="24"/>
              </w:rPr>
              <w:t>Ņemts vērā.</w:t>
            </w:r>
          </w:p>
          <w:p w14:paraId="0B423C77" w14:textId="77777777" w:rsidR="00BA1C43" w:rsidRPr="00450105" w:rsidRDefault="00BA1C43" w:rsidP="003E67CA">
            <w:pPr>
              <w:jc w:val="both"/>
              <w:rPr>
                <w:rFonts w:ascii="Times New Roman" w:hAnsi="Times New Roman" w:cs="Times New Roman"/>
                <w:b/>
                <w:bCs/>
                <w:sz w:val="24"/>
                <w:szCs w:val="24"/>
              </w:rPr>
            </w:pPr>
          </w:p>
          <w:p w14:paraId="17591A95" w14:textId="522BD0D2" w:rsidR="00450105" w:rsidRPr="000023C5" w:rsidRDefault="00450105" w:rsidP="003D6DD3">
            <w:pPr>
              <w:jc w:val="both"/>
              <w:rPr>
                <w:rFonts w:ascii="Times New Roman" w:hAnsi="Times New Roman" w:cs="Times New Roman"/>
                <w:sz w:val="24"/>
                <w:szCs w:val="24"/>
              </w:rPr>
            </w:pPr>
            <w:r>
              <w:rPr>
                <w:rFonts w:ascii="Times New Roman" w:hAnsi="Times New Roman" w:cs="Times New Roman"/>
                <w:sz w:val="24"/>
                <w:szCs w:val="24"/>
              </w:rPr>
              <w:t>Pārstrādātā noteikumu projekta redakcija nosaka, ka prognožu aprēķinam piemēro PRIIPs regulā noteiktās prasības, tādēļ visas sākotnējā noteikumu projektā iekļautās 8. un 9. punkt</w:t>
            </w:r>
            <w:r w:rsidR="0059249F">
              <w:rPr>
                <w:rFonts w:ascii="Times New Roman" w:hAnsi="Times New Roman" w:cs="Times New Roman"/>
                <w:sz w:val="24"/>
                <w:szCs w:val="24"/>
              </w:rPr>
              <w:t>a</w:t>
            </w:r>
            <w:r>
              <w:rPr>
                <w:rFonts w:ascii="Times New Roman" w:hAnsi="Times New Roman" w:cs="Times New Roman"/>
                <w:sz w:val="24"/>
                <w:szCs w:val="24"/>
              </w:rPr>
              <w:t xml:space="preserve"> prasības ir izslēgtas</w:t>
            </w:r>
            <w:r w:rsidR="00AC0F79">
              <w:rPr>
                <w:rFonts w:ascii="Times New Roman" w:hAnsi="Times New Roman" w:cs="Times New Roman"/>
                <w:sz w:val="24"/>
                <w:szCs w:val="24"/>
              </w:rPr>
              <w:t xml:space="preserve"> un nav aktuālas</w:t>
            </w:r>
            <w:r>
              <w:rPr>
                <w:rFonts w:ascii="Times New Roman" w:hAnsi="Times New Roman" w:cs="Times New Roman"/>
                <w:sz w:val="24"/>
                <w:szCs w:val="24"/>
              </w:rPr>
              <w:t>.</w:t>
            </w:r>
          </w:p>
        </w:tc>
      </w:tr>
      <w:tr w:rsidR="00E23FFB" w:rsidRPr="00B276C5" w14:paraId="23A9668B" w14:textId="77777777" w:rsidTr="0020694F">
        <w:tc>
          <w:tcPr>
            <w:tcW w:w="943" w:type="dxa"/>
          </w:tcPr>
          <w:p w14:paraId="5860D1FE" w14:textId="3ACDBAE1" w:rsidR="00E23FFB" w:rsidRPr="00B276C5" w:rsidRDefault="00B276C5" w:rsidP="003D6DD3">
            <w:pPr>
              <w:jc w:val="both"/>
              <w:outlineLvl w:val="0"/>
              <w:rPr>
                <w:rFonts w:ascii="Times New Roman" w:eastAsia="Times New Roman" w:hAnsi="Times New Roman" w:cs="Times New Roman"/>
                <w:sz w:val="24"/>
                <w:szCs w:val="24"/>
                <w:lang w:eastAsia="lv-LV"/>
              </w:rPr>
            </w:pPr>
            <w:r w:rsidRPr="00B276C5">
              <w:rPr>
                <w:rFonts w:ascii="Times New Roman" w:eastAsia="Times New Roman" w:hAnsi="Times New Roman" w:cs="Times New Roman"/>
                <w:sz w:val="24"/>
                <w:szCs w:val="24"/>
                <w:lang w:eastAsia="lv-LV"/>
              </w:rPr>
              <w:t>10.</w:t>
            </w:r>
          </w:p>
        </w:tc>
        <w:tc>
          <w:tcPr>
            <w:tcW w:w="4439" w:type="dxa"/>
          </w:tcPr>
          <w:p w14:paraId="1564D0F9" w14:textId="2784A81F" w:rsidR="00E23FFB" w:rsidRPr="00B276C5" w:rsidRDefault="00E23FFB" w:rsidP="003D6DD3">
            <w:pPr>
              <w:jc w:val="both"/>
              <w:rPr>
                <w:rFonts w:ascii="Times New Roman" w:hAnsi="Times New Roman" w:cs="Times New Roman"/>
                <w:sz w:val="24"/>
                <w:szCs w:val="24"/>
              </w:rPr>
            </w:pPr>
            <w:r w:rsidRPr="00E23FFB">
              <w:rPr>
                <w:rFonts w:ascii="Times New Roman" w:eastAsia="Aptos" w:hAnsi="Times New Roman" w:cs="Times New Roman"/>
                <w:sz w:val="24"/>
                <w:szCs w:val="24"/>
                <w14:ligatures w14:val="standardContextual"/>
              </w:rPr>
              <w:t>8.3. ņemot vērā saskaņā ar šo noteikumu 8.2.</w:t>
            </w:r>
            <w:r w:rsidR="00D91805">
              <w:rPr>
                <w:rFonts w:ascii="Times New Roman" w:eastAsia="Aptos" w:hAnsi="Times New Roman" w:cs="Times New Roman"/>
                <w:sz w:val="24"/>
                <w:szCs w:val="24"/>
                <w14:ligatures w14:val="standardContextual"/>
              </w:rPr>
              <w:t> </w:t>
            </w:r>
            <w:r w:rsidRPr="00E23FFB">
              <w:rPr>
                <w:rFonts w:ascii="Times New Roman" w:eastAsia="Aptos" w:hAnsi="Times New Roman" w:cs="Times New Roman"/>
                <w:sz w:val="24"/>
                <w:szCs w:val="24"/>
                <w14:ligatures w14:val="standardContextual"/>
              </w:rPr>
              <w:t xml:space="preserve">apakšpunktu iegūto faktisko ieguldījumu proporciju, aprēķina obligāciju un akciju atskaites indeksu vēsturisko atdevi pēdējo 20 gadu laikā. Indeksu ieguldījumu pensiju plāniem izmanto konkrēto indeksu vēsturisko atdevi pēdējo 20 gadu laikā. Ja atskaites indeksa kopējā </w:t>
            </w:r>
            <w:r w:rsidRPr="00E23FFB">
              <w:rPr>
                <w:rFonts w:ascii="Times New Roman" w:eastAsia="Aptos" w:hAnsi="Times New Roman" w:cs="Times New Roman"/>
                <w:sz w:val="24"/>
                <w:szCs w:val="24"/>
                <w14:ligatures w14:val="standardContextual"/>
              </w:rPr>
              <w:lastRenderedPageBreak/>
              <w:t>vēsturiskā atdeve ir ar negatīvu rezultātu, tad aprēķina vajadzībām pieņem, ka rezultāts ir nulle;</w:t>
            </w:r>
          </w:p>
        </w:tc>
        <w:tc>
          <w:tcPr>
            <w:tcW w:w="4394" w:type="dxa"/>
          </w:tcPr>
          <w:p w14:paraId="57B18FD0" w14:textId="5D45CDDF" w:rsidR="00E23FFB" w:rsidRPr="00B276C5" w:rsidRDefault="00E23FFB" w:rsidP="003D6DD3">
            <w:pPr>
              <w:jc w:val="both"/>
              <w:rPr>
                <w:rFonts w:ascii="Times New Roman" w:eastAsia="Times New Roman" w:hAnsi="Times New Roman" w:cs="Times New Roman"/>
                <w:sz w:val="24"/>
                <w:szCs w:val="24"/>
                <w:lang w:eastAsia="lv-LV"/>
              </w:rPr>
            </w:pPr>
            <w:r w:rsidRPr="00B276C5">
              <w:rPr>
                <w:rFonts w:ascii="Times New Roman" w:eastAsia="Times New Roman" w:hAnsi="Times New Roman" w:cs="Times New Roman"/>
                <w:sz w:val="24"/>
                <w:szCs w:val="24"/>
                <w:lang w:eastAsia="lv-LV"/>
              </w:rPr>
              <w:lastRenderedPageBreak/>
              <w:t>Lūdzam skaidrot, kāds ir objektīvs pamatojums mainīt vēsturiskus indeksa datus? Šobrīd sanāktu, ka arī pesimistiskajos scenārijos nevarētu samazināties iemaksātais kapitāls. Tā savā ziņā būtu dalībnieku maldināšana, jo vēsturiski redzam, ka šāda samazinājuma iespēja ir diezgan reāla.</w:t>
            </w:r>
          </w:p>
        </w:tc>
        <w:tc>
          <w:tcPr>
            <w:tcW w:w="4172" w:type="dxa"/>
          </w:tcPr>
          <w:p w14:paraId="394FE4FB" w14:textId="77777777" w:rsidR="00AC0F79" w:rsidRPr="00AC0F79" w:rsidRDefault="00AC0F79" w:rsidP="003D6DD3">
            <w:pPr>
              <w:jc w:val="both"/>
              <w:rPr>
                <w:rFonts w:ascii="Times New Roman" w:hAnsi="Times New Roman" w:cs="Times New Roman"/>
                <w:b/>
                <w:bCs/>
                <w:sz w:val="24"/>
                <w:szCs w:val="24"/>
              </w:rPr>
            </w:pPr>
            <w:r w:rsidRPr="00AC0F79">
              <w:rPr>
                <w:rFonts w:ascii="Times New Roman" w:hAnsi="Times New Roman" w:cs="Times New Roman"/>
                <w:b/>
                <w:bCs/>
                <w:sz w:val="24"/>
                <w:szCs w:val="24"/>
              </w:rPr>
              <w:t>Ņemts vērā.</w:t>
            </w:r>
          </w:p>
          <w:p w14:paraId="7E5D99B1" w14:textId="77777777" w:rsidR="00BA1C43" w:rsidRPr="00AC0F79" w:rsidRDefault="00BA1C43" w:rsidP="003E67CA">
            <w:pPr>
              <w:jc w:val="both"/>
              <w:rPr>
                <w:rFonts w:ascii="Times New Roman" w:hAnsi="Times New Roman" w:cs="Times New Roman"/>
                <w:b/>
                <w:bCs/>
                <w:sz w:val="24"/>
                <w:szCs w:val="24"/>
              </w:rPr>
            </w:pPr>
          </w:p>
          <w:p w14:paraId="51E6F09C" w14:textId="266E3C6A" w:rsidR="00E23FFB" w:rsidRPr="00B276C5" w:rsidRDefault="00AC0F79" w:rsidP="003D6DD3">
            <w:pPr>
              <w:jc w:val="both"/>
              <w:rPr>
                <w:rFonts w:ascii="Times New Roman" w:hAnsi="Times New Roman" w:cs="Times New Roman"/>
                <w:sz w:val="24"/>
                <w:szCs w:val="24"/>
              </w:rPr>
            </w:pPr>
            <w:r w:rsidRPr="00AC0F79">
              <w:rPr>
                <w:rFonts w:ascii="Times New Roman" w:hAnsi="Times New Roman" w:cs="Times New Roman"/>
                <w:sz w:val="24"/>
                <w:szCs w:val="24"/>
              </w:rPr>
              <w:t>Pārstrādātā noteikumu projekta redakcija nosaka, ka prognožu aprēķinam piemēro PRIIPs regulā noteiktās prasības, tādēļ visas sākotnējā noteikumu projektā iekļautās 8. un 9.</w:t>
            </w:r>
            <w:r w:rsidR="0091059E">
              <w:rPr>
                <w:rFonts w:ascii="Times New Roman" w:hAnsi="Times New Roman" w:cs="Times New Roman"/>
                <w:sz w:val="24"/>
                <w:szCs w:val="24"/>
              </w:rPr>
              <w:t> </w:t>
            </w:r>
            <w:r w:rsidRPr="00AC0F79">
              <w:rPr>
                <w:rFonts w:ascii="Times New Roman" w:hAnsi="Times New Roman" w:cs="Times New Roman"/>
                <w:sz w:val="24"/>
                <w:szCs w:val="24"/>
              </w:rPr>
              <w:t>punkt</w:t>
            </w:r>
            <w:r w:rsidR="0059249F">
              <w:rPr>
                <w:rFonts w:ascii="Times New Roman" w:hAnsi="Times New Roman" w:cs="Times New Roman"/>
                <w:sz w:val="24"/>
                <w:szCs w:val="24"/>
              </w:rPr>
              <w:t>a</w:t>
            </w:r>
            <w:r w:rsidRPr="00AC0F79">
              <w:rPr>
                <w:rFonts w:ascii="Times New Roman" w:hAnsi="Times New Roman" w:cs="Times New Roman"/>
                <w:sz w:val="24"/>
                <w:szCs w:val="24"/>
              </w:rPr>
              <w:t xml:space="preserve"> prasības ir izslēgtas</w:t>
            </w:r>
            <w:r>
              <w:rPr>
                <w:rFonts w:ascii="Times New Roman" w:hAnsi="Times New Roman" w:cs="Times New Roman"/>
                <w:sz w:val="24"/>
                <w:szCs w:val="24"/>
              </w:rPr>
              <w:t xml:space="preserve"> un nav aktuālas</w:t>
            </w:r>
            <w:r w:rsidRPr="00AC0F79">
              <w:rPr>
                <w:rFonts w:ascii="Times New Roman" w:hAnsi="Times New Roman" w:cs="Times New Roman"/>
                <w:sz w:val="24"/>
                <w:szCs w:val="24"/>
              </w:rPr>
              <w:t>.</w:t>
            </w:r>
          </w:p>
        </w:tc>
      </w:tr>
      <w:tr w:rsidR="00E23FFB" w:rsidRPr="00B276C5" w14:paraId="79432F5A" w14:textId="77777777" w:rsidTr="0020694F">
        <w:tc>
          <w:tcPr>
            <w:tcW w:w="943" w:type="dxa"/>
          </w:tcPr>
          <w:p w14:paraId="287645B9" w14:textId="67DE0998" w:rsidR="00E23FFB" w:rsidRPr="003D6DD3" w:rsidRDefault="00D91805" w:rsidP="003D6DD3">
            <w:pPr>
              <w:jc w:val="both"/>
              <w:outlineLvl w:val="0"/>
              <w:rPr>
                <w:rFonts w:ascii="Times New Roman" w:hAnsi="Times New Roman"/>
                <w:sz w:val="24"/>
              </w:rPr>
            </w:pPr>
            <w:r w:rsidRPr="00D91805">
              <w:rPr>
                <w:rFonts w:ascii="Times New Roman" w:eastAsia="Times New Roman" w:hAnsi="Times New Roman" w:cs="Times New Roman"/>
                <w:sz w:val="24"/>
                <w:szCs w:val="24"/>
                <w:lang w:eastAsia="lv-LV"/>
              </w:rPr>
              <w:t>11</w:t>
            </w:r>
            <w:r>
              <w:rPr>
                <w:rFonts w:ascii="Times New Roman" w:eastAsia="Times New Roman" w:hAnsi="Times New Roman" w:cs="Times New Roman"/>
                <w:sz w:val="24"/>
                <w:szCs w:val="24"/>
                <w:lang w:eastAsia="lv-LV"/>
              </w:rPr>
              <w:t>.</w:t>
            </w:r>
          </w:p>
        </w:tc>
        <w:tc>
          <w:tcPr>
            <w:tcW w:w="4439" w:type="dxa"/>
          </w:tcPr>
          <w:p w14:paraId="1B9CFD1E" w14:textId="273279D7" w:rsidR="00E23FFB" w:rsidRPr="00E23FFB" w:rsidRDefault="00E23FFB" w:rsidP="003D6DD3">
            <w:pPr>
              <w:jc w:val="both"/>
              <w:rPr>
                <w:rFonts w:ascii="Times New Roman" w:eastAsia="Aptos" w:hAnsi="Times New Roman" w:cs="Times New Roman"/>
                <w:sz w:val="24"/>
                <w:szCs w:val="24"/>
                <w14:ligatures w14:val="standardContextual"/>
              </w:rPr>
            </w:pPr>
            <w:r w:rsidRPr="00E23FFB">
              <w:rPr>
                <w:rFonts w:ascii="Times New Roman" w:eastAsia="Aptos" w:hAnsi="Times New Roman" w:cs="Times New Roman"/>
                <w:sz w:val="24"/>
                <w:szCs w:val="24"/>
                <w14:ligatures w14:val="standardContextual"/>
              </w:rPr>
              <w:t xml:space="preserve">8.5. aprēķina </w:t>
            </w:r>
            <w:r w:rsidRPr="00E23FFB">
              <w:rPr>
                <w:rFonts w:ascii="Times New Roman" w:eastAsia="Aptos" w:hAnsi="Times New Roman" w:cs="Times New Roman"/>
                <w:sz w:val="24"/>
                <w:szCs w:val="24"/>
                <w:u w:val="single"/>
                <w14:ligatures w14:val="standardContextual"/>
              </w:rPr>
              <w:t>attiecību</w:t>
            </w:r>
            <w:r w:rsidRPr="00E23FFB">
              <w:rPr>
                <w:rFonts w:ascii="Times New Roman" w:eastAsia="Aptos" w:hAnsi="Times New Roman" w:cs="Times New Roman"/>
                <w:sz w:val="24"/>
                <w:szCs w:val="24"/>
                <w14:ligatures w14:val="standardContextual"/>
              </w:rPr>
              <w:t xml:space="preserve"> starp šo noteikumu 8.1. un 8.3.</w:t>
            </w:r>
            <w:r w:rsidR="00D91805">
              <w:rPr>
                <w:rFonts w:ascii="Times New Roman" w:eastAsia="Aptos" w:hAnsi="Times New Roman" w:cs="Times New Roman"/>
                <w:sz w:val="24"/>
                <w:szCs w:val="24"/>
                <w14:ligatures w14:val="standardContextual"/>
              </w:rPr>
              <w:t> </w:t>
            </w:r>
            <w:r w:rsidRPr="00E23FFB">
              <w:rPr>
                <w:rFonts w:ascii="Times New Roman" w:eastAsia="Aptos" w:hAnsi="Times New Roman" w:cs="Times New Roman"/>
                <w:sz w:val="24"/>
                <w:szCs w:val="24"/>
                <w14:ligatures w14:val="standardContextual"/>
              </w:rPr>
              <w:t xml:space="preserve">apakšpunktā minēto atdevi un iegūto rezultātu sadala pa </w:t>
            </w:r>
            <w:proofErr w:type="spellStart"/>
            <w:r w:rsidRPr="00E23FFB">
              <w:rPr>
                <w:rFonts w:ascii="Times New Roman" w:eastAsia="Aptos" w:hAnsi="Times New Roman" w:cs="Times New Roman"/>
                <w:sz w:val="24"/>
                <w:szCs w:val="24"/>
                <w14:ligatures w14:val="standardContextual"/>
              </w:rPr>
              <w:t>kvartilēm</w:t>
            </w:r>
            <w:proofErr w:type="spellEnd"/>
            <w:r w:rsidRPr="00E23FFB">
              <w:rPr>
                <w:rFonts w:ascii="Times New Roman" w:eastAsia="Aptos" w:hAnsi="Times New Roman" w:cs="Times New Roman"/>
                <w:sz w:val="24"/>
                <w:szCs w:val="24"/>
                <w14:ligatures w14:val="standardContextual"/>
              </w:rPr>
              <w:t>;</w:t>
            </w:r>
          </w:p>
          <w:p w14:paraId="5C5D8C38" w14:textId="77777777" w:rsidR="00E23FFB" w:rsidRPr="00B276C5" w:rsidRDefault="00E23FFB" w:rsidP="00E23FFB">
            <w:pPr>
              <w:ind w:firstLine="596"/>
              <w:jc w:val="both"/>
              <w:rPr>
                <w:rFonts w:ascii="Times New Roman" w:eastAsia="Aptos" w:hAnsi="Times New Roman" w:cs="Times New Roman"/>
                <w:sz w:val="24"/>
                <w:szCs w:val="24"/>
                <w14:ligatures w14:val="standardContextual"/>
              </w:rPr>
            </w:pPr>
          </w:p>
        </w:tc>
        <w:tc>
          <w:tcPr>
            <w:tcW w:w="4394" w:type="dxa"/>
          </w:tcPr>
          <w:p w14:paraId="0BD91B29" w14:textId="79F59BA3" w:rsidR="00E23FFB" w:rsidRPr="00B276C5" w:rsidRDefault="00B276C5" w:rsidP="003D6DD3">
            <w:pPr>
              <w:jc w:val="both"/>
              <w:rPr>
                <w:rFonts w:ascii="Times New Roman" w:eastAsia="Times New Roman" w:hAnsi="Times New Roman" w:cs="Times New Roman"/>
                <w:sz w:val="24"/>
                <w:szCs w:val="24"/>
                <w:lang w:eastAsia="lv-LV"/>
              </w:rPr>
            </w:pPr>
            <w:r w:rsidRPr="00B276C5">
              <w:rPr>
                <w:rFonts w:ascii="Times New Roman" w:eastAsia="Aptos" w:hAnsi="Times New Roman" w:cs="Times New Roman"/>
                <w:sz w:val="24"/>
                <w:szCs w:val="24"/>
                <w14:ligatures w14:val="standardContextual"/>
              </w:rPr>
              <w:t xml:space="preserve">Lūdzam skaidrot un precizēt, kas ir domāts [matemātiski] ar </w:t>
            </w:r>
            <w:r w:rsidR="00D91805">
              <w:rPr>
                <w:rFonts w:ascii="Times New Roman" w:eastAsia="Aptos" w:hAnsi="Times New Roman" w:cs="Times New Roman"/>
                <w:sz w:val="24"/>
                <w:szCs w:val="24"/>
                <w14:ligatures w14:val="standardContextual"/>
              </w:rPr>
              <w:t>"</w:t>
            </w:r>
            <w:r w:rsidRPr="00B276C5">
              <w:rPr>
                <w:rFonts w:ascii="Times New Roman" w:eastAsia="Aptos" w:hAnsi="Times New Roman" w:cs="Times New Roman"/>
                <w:sz w:val="24"/>
                <w:szCs w:val="24"/>
                <w14:ligatures w14:val="standardContextual"/>
              </w:rPr>
              <w:t>attiecību</w:t>
            </w:r>
            <w:r w:rsidR="00D91805">
              <w:rPr>
                <w:rFonts w:ascii="Times New Roman" w:eastAsia="Aptos" w:hAnsi="Times New Roman" w:cs="Times New Roman"/>
                <w:sz w:val="24"/>
                <w:szCs w:val="24"/>
                <w14:ligatures w14:val="standardContextual"/>
              </w:rPr>
              <w:t>"</w:t>
            </w:r>
            <w:r w:rsidRPr="00B276C5">
              <w:rPr>
                <w:rFonts w:ascii="Times New Roman" w:eastAsia="Aptos" w:hAnsi="Times New Roman" w:cs="Times New Roman"/>
                <w:sz w:val="24"/>
                <w:szCs w:val="24"/>
                <w14:ligatures w14:val="standardContextual"/>
              </w:rPr>
              <w:t xml:space="preserve"> šajā punktā.</w:t>
            </w:r>
          </w:p>
        </w:tc>
        <w:tc>
          <w:tcPr>
            <w:tcW w:w="4172" w:type="dxa"/>
          </w:tcPr>
          <w:p w14:paraId="1C0BE31D" w14:textId="77777777" w:rsidR="00AC0F79" w:rsidRPr="00AC0F79" w:rsidRDefault="00AC0F79" w:rsidP="003D6DD3">
            <w:pPr>
              <w:jc w:val="both"/>
              <w:rPr>
                <w:rFonts w:ascii="Times New Roman" w:hAnsi="Times New Roman" w:cs="Times New Roman"/>
                <w:b/>
                <w:bCs/>
                <w:sz w:val="24"/>
                <w:szCs w:val="24"/>
              </w:rPr>
            </w:pPr>
            <w:r w:rsidRPr="00AC0F79">
              <w:rPr>
                <w:rFonts w:ascii="Times New Roman" w:hAnsi="Times New Roman" w:cs="Times New Roman"/>
                <w:b/>
                <w:bCs/>
                <w:sz w:val="24"/>
                <w:szCs w:val="24"/>
              </w:rPr>
              <w:t>Ņemts vērā.</w:t>
            </w:r>
          </w:p>
          <w:p w14:paraId="623098E6" w14:textId="77777777" w:rsidR="00BA1C43" w:rsidRPr="00AC0F79" w:rsidRDefault="00BA1C43" w:rsidP="003E67CA">
            <w:pPr>
              <w:jc w:val="both"/>
              <w:rPr>
                <w:rFonts w:ascii="Times New Roman" w:hAnsi="Times New Roman" w:cs="Times New Roman"/>
                <w:b/>
                <w:bCs/>
                <w:sz w:val="24"/>
                <w:szCs w:val="24"/>
              </w:rPr>
            </w:pPr>
          </w:p>
          <w:p w14:paraId="22F3AD11" w14:textId="733BA3E6" w:rsidR="00E23FFB" w:rsidRPr="00B276C5" w:rsidRDefault="00AC0F79" w:rsidP="003D6DD3">
            <w:pPr>
              <w:jc w:val="both"/>
              <w:rPr>
                <w:rFonts w:ascii="Times New Roman" w:hAnsi="Times New Roman" w:cs="Times New Roman"/>
                <w:sz w:val="24"/>
                <w:szCs w:val="24"/>
              </w:rPr>
            </w:pPr>
            <w:r w:rsidRPr="00AC0F79">
              <w:rPr>
                <w:rFonts w:ascii="Times New Roman" w:hAnsi="Times New Roman" w:cs="Times New Roman"/>
                <w:sz w:val="24"/>
                <w:szCs w:val="24"/>
              </w:rPr>
              <w:t>Pārstrādātā noteikumu projekta redakcija nosaka, ka prognožu aprēķinam piemēro PRIIPs regulā noteiktās prasības, tādēļ visas sākotnējā noteikumu projektā iekļautās 8. un 9.</w:t>
            </w:r>
            <w:r w:rsidR="0091059E">
              <w:rPr>
                <w:rFonts w:ascii="Times New Roman" w:hAnsi="Times New Roman" w:cs="Times New Roman"/>
                <w:sz w:val="24"/>
                <w:szCs w:val="24"/>
              </w:rPr>
              <w:t> </w:t>
            </w:r>
            <w:r w:rsidRPr="00AC0F79">
              <w:rPr>
                <w:rFonts w:ascii="Times New Roman" w:hAnsi="Times New Roman" w:cs="Times New Roman"/>
                <w:sz w:val="24"/>
                <w:szCs w:val="24"/>
              </w:rPr>
              <w:t>punkt</w:t>
            </w:r>
            <w:r w:rsidR="0059249F">
              <w:rPr>
                <w:rFonts w:ascii="Times New Roman" w:hAnsi="Times New Roman" w:cs="Times New Roman"/>
                <w:sz w:val="24"/>
                <w:szCs w:val="24"/>
              </w:rPr>
              <w:t>a</w:t>
            </w:r>
            <w:r w:rsidRPr="00AC0F79">
              <w:rPr>
                <w:rFonts w:ascii="Times New Roman" w:hAnsi="Times New Roman" w:cs="Times New Roman"/>
                <w:sz w:val="24"/>
                <w:szCs w:val="24"/>
              </w:rPr>
              <w:t xml:space="preserve"> prasības ir izslēgtas un nav aktuālas.</w:t>
            </w:r>
          </w:p>
        </w:tc>
      </w:tr>
      <w:tr w:rsidR="00E23FFB" w:rsidRPr="00B276C5" w14:paraId="38C0D799" w14:textId="77777777" w:rsidTr="0020694F">
        <w:tc>
          <w:tcPr>
            <w:tcW w:w="943" w:type="dxa"/>
          </w:tcPr>
          <w:p w14:paraId="436BEC77" w14:textId="77777777" w:rsidR="00E23FFB" w:rsidRPr="00B276C5" w:rsidRDefault="00E23FFB" w:rsidP="003F4248">
            <w:pPr>
              <w:spacing w:before="240"/>
              <w:jc w:val="both"/>
              <w:outlineLvl w:val="0"/>
              <w:rPr>
                <w:rFonts w:ascii="Times New Roman" w:eastAsia="Times New Roman" w:hAnsi="Times New Roman" w:cs="Times New Roman"/>
                <w:b/>
                <w:bCs/>
                <w:sz w:val="24"/>
                <w:szCs w:val="24"/>
                <w:lang w:eastAsia="lv-LV"/>
              </w:rPr>
            </w:pPr>
          </w:p>
        </w:tc>
        <w:tc>
          <w:tcPr>
            <w:tcW w:w="4439" w:type="dxa"/>
          </w:tcPr>
          <w:p w14:paraId="1E5B66E0" w14:textId="3FFB28B0" w:rsidR="00E23FFB" w:rsidRPr="00B276C5" w:rsidRDefault="00B276C5" w:rsidP="003D6DD3">
            <w:pPr>
              <w:jc w:val="both"/>
              <w:rPr>
                <w:rFonts w:ascii="Times New Roman" w:eastAsia="Aptos" w:hAnsi="Times New Roman" w:cs="Times New Roman"/>
                <w:sz w:val="24"/>
                <w:szCs w:val="24"/>
                <w14:ligatures w14:val="standardContextual"/>
              </w:rPr>
            </w:pPr>
            <w:r w:rsidRPr="00B276C5">
              <w:rPr>
                <w:rFonts w:ascii="Times New Roman" w:eastAsia="Aptos" w:hAnsi="Times New Roman" w:cs="Times New Roman"/>
                <w:sz w:val="24"/>
                <w:szCs w:val="24"/>
                <w14:ligatures w14:val="standardContextual"/>
              </w:rPr>
              <w:t xml:space="preserve">8.6. vēsturiskās ieguldījumu atdeves aprēķinam izmanto iegūto mediānas (otrās </w:t>
            </w:r>
            <w:proofErr w:type="spellStart"/>
            <w:r w:rsidRPr="00B276C5">
              <w:rPr>
                <w:rFonts w:ascii="Times New Roman" w:eastAsia="Aptos" w:hAnsi="Times New Roman" w:cs="Times New Roman"/>
                <w:sz w:val="24"/>
                <w:szCs w:val="24"/>
                <w14:ligatures w14:val="standardContextual"/>
              </w:rPr>
              <w:t>kvartiles</w:t>
            </w:r>
            <w:proofErr w:type="spellEnd"/>
            <w:r w:rsidRPr="00B276C5">
              <w:rPr>
                <w:rFonts w:ascii="Times New Roman" w:eastAsia="Aptos" w:hAnsi="Times New Roman" w:cs="Times New Roman"/>
                <w:sz w:val="24"/>
                <w:szCs w:val="24"/>
                <w14:ligatures w14:val="standardContextual"/>
              </w:rPr>
              <w:t xml:space="preserve">) </w:t>
            </w:r>
            <w:r w:rsidRPr="00B276C5">
              <w:rPr>
                <w:rFonts w:ascii="Times New Roman" w:eastAsia="Aptos" w:hAnsi="Times New Roman" w:cs="Times New Roman"/>
                <w:sz w:val="24"/>
                <w:szCs w:val="24"/>
                <w:u w:val="single"/>
                <w14:ligatures w14:val="standardContextual"/>
              </w:rPr>
              <w:t>attiecību</w:t>
            </w:r>
            <w:r w:rsidRPr="00B276C5">
              <w:rPr>
                <w:rFonts w:ascii="Times New Roman" w:eastAsia="Aptos" w:hAnsi="Times New Roman" w:cs="Times New Roman"/>
                <w:sz w:val="24"/>
                <w:szCs w:val="24"/>
                <w14:ligatures w14:val="standardContextual"/>
              </w:rPr>
              <w:t>, kuru reizina ar saskaņā ar šo noteikumu 8.3.</w:t>
            </w:r>
            <w:r w:rsidR="00BA1C43">
              <w:rPr>
                <w:rFonts w:ascii="Times New Roman" w:eastAsia="Aptos" w:hAnsi="Times New Roman" w:cs="Times New Roman"/>
                <w:sz w:val="24"/>
                <w:szCs w:val="24"/>
                <w14:ligatures w14:val="standardContextual"/>
              </w:rPr>
              <w:t> </w:t>
            </w:r>
            <w:r w:rsidRPr="00B276C5">
              <w:rPr>
                <w:rFonts w:ascii="Times New Roman" w:eastAsia="Aptos" w:hAnsi="Times New Roman" w:cs="Times New Roman"/>
                <w:sz w:val="24"/>
                <w:szCs w:val="24"/>
                <w14:ligatures w14:val="standardContextual"/>
              </w:rPr>
              <w:t xml:space="preserve">apakšpunktu iegūto </w:t>
            </w:r>
            <w:r w:rsidRPr="00B276C5">
              <w:rPr>
                <w:rFonts w:ascii="Times New Roman" w:eastAsia="Aptos" w:hAnsi="Times New Roman" w:cs="Times New Roman"/>
                <w:sz w:val="24"/>
                <w:szCs w:val="24"/>
                <w:u w:val="single"/>
                <w14:ligatures w14:val="standardContextual"/>
              </w:rPr>
              <w:t>attiecību</w:t>
            </w:r>
            <w:r w:rsidRPr="00B276C5">
              <w:rPr>
                <w:rFonts w:ascii="Times New Roman" w:eastAsia="Aptos" w:hAnsi="Times New Roman" w:cs="Times New Roman"/>
                <w:sz w:val="24"/>
                <w:szCs w:val="24"/>
                <w14:ligatures w14:val="standardContextual"/>
              </w:rPr>
              <w:t>. Ja attiecīgajam pensiju plānam šo noteikumu 8.1.</w:t>
            </w:r>
            <w:r w:rsidR="00BA1C43">
              <w:rPr>
                <w:rFonts w:ascii="Times New Roman" w:eastAsia="Aptos" w:hAnsi="Times New Roman" w:cs="Times New Roman"/>
                <w:sz w:val="24"/>
                <w:szCs w:val="24"/>
                <w14:ligatures w14:val="standardContextual"/>
              </w:rPr>
              <w:t> </w:t>
            </w:r>
            <w:r w:rsidRPr="00B276C5">
              <w:rPr>
                <w:rFonts w:ascii="Times New Roman" w:eastAsia="Aptos" w:hAnsi="Times New Roman" w:cs="Times New Roman"/>
                <w:sz w:val="24"/>
                <w:szCs w:val="24"/>
                <w14:ligatures w14:val="standardContextual"/>
              </w:rPr>
              <w:t>punktā minētie vēsturiskās ieguldījumu atdeves dati ir pieejami par mazāk nekā 20 darbības gadiem, tad vēsturiskajiem periodiem, par kuriem dati nav pieejami, izmanto faktisko mediānu, kuru attiecina uz visiem periodiem, par kuriem dati nav pieejami. Mediānas aprēķinam izmanto visu attiecīgā pensiju plāna faktiskās darbības periodu datus.</w:t>
            </w:r>
          </w:p>
        </w:tc>
        <w:tc>
          <w:tcPr>
            <w:tcW w:w="4394" w:type="dxa"/>
          </w:tcPr>
          <w:p w14:paraId="3485FFE4" w14:textId="4AF6E856" w:rsidR="00B276C5" w:rsidRPr="00B276C5" w:rsidRDefault="00B276C5" w:rsidP="003D6DD3">
            <w:pPr>
              <w:jc w:val="both"/>
              <w:rPr>
                <w:rFonts w:ascii="Times New Roman" w:eastAsia="Aptos" w:hAnsi="Times New Roman" w:cs="Times New Roman"/>
                <w:sz w:val="24"/>
                <w:szCs w:val="24"/>
                <w14:ligatures w14:val="standardContextual"/>
              </w:rPr>
            </w:pPr>
            <w:r w:rsidRPr="00B276C5">
              <w:rPr>
                <w:rFonts w:ascii="Times New Roman" w:eastAsia="Aptos" w:hAnsi="Times New Roman" w:cs="Times New Roman"/>
                <w:sz w:val="24"/>
                <w:szCs w:val="24"/>
                <w14:ligatures w14:val="standardContextual"/>
              </w:rPr>
              <w:t xml:space="preserve">Lūdzam skaidrot un precizēt, kādas 2 </w:t>
            </w:r>
            <w:r w:rsidR="00D91805">
              <w:rPr>
                <w:rFonts w:ascii="Times New Roman" w:eastAsia="Aptos" w:hAnsi="Times New Roman" w:cs="Times New Roman"/>
                <w:sz w:val="24"/>
                <w:szCs w:val="24"/>
                <w14:ligatures w14:val="standardContextual"/>
              </w:rPr>
              <w:t>"</w:t>
            </w:r>
            <w:r w:rsidRPr="00B276C5">
              <w:rPr>
                <w:rFonts w:ascii="Times New Roman" w:eastAsia="Aptos" w:hAnsi="Times New Roman" w:cs="Times New Roman"/>
                <w:sz w:val="24"/>
                <w:szCs w:val="24"/>
                <w14:ligatures w14:val="standardContextual"/>
              </w:rPr>
              <w:t>attiecības</w:t>
            </w:r>
            <w:r w:rsidR="00D91805">
              <w:rPr>
                <w:rFonts w:ascii="Times New Roman" w:eastAsia="Aptos" w:hAnsi="Times New Roman" w:cs="Times New Roman"/>
                <w:sz w:val="24"/>
                <w:szCs w:val="24"/>
                <w14:ligatures w14:val="standardContextual"/>
              </w:rPr>
              <w:t>"</w:t>
            </w:r>
            <w:r w:rsidRPr="00B276C5">
              <w:rPr>
                <w:rFonts w:ascii="Times New Roman" w:eastAsia="Aptos" w:hAnsi="Times New Roman" w:cs="Times New Roman"/>
                <w:sz w:val="24"/>
                <w:szCs w:val="24"/>
                <w14:ligatures w14:val="standardContextual"/>
              </w:rPr>
              <w:t xml:space="preserve"> ir domātas [matemātiski] šajā punktā.</w:t>
            </w:r>
          </w:p>
          <w:p w14:paraId="33866A74" w14:textId="77777777" w:rsidR="00E23FFB" w:rsidRPr="00B276C5" w:rsidRDefault="00E23FFB" w:rsidP="003D6DD3">
            <w:pPr>
              <w:jc w:val="both"/>
              <w:rPr>
                <w:rFonts w:ascii="Times New Roman" w:eastAsia="Times New Roman" w:hAnsi="Times New Roman" w:cs="Times New Roman"/>
                <w:sz w:val="24"/>
                <w:szCs w:val="24"/>
                <w:lang w:eastAsia="lv-LV"/>
              </w:rPr>
            </w:pPr>
          </w:p>
        </w:tc>
        <w:tc>
          <w:tcPr>
            <w:tcW w:w="4172" w:type="dxa"/>
          </w:tcPr>
          <w:p w14:paraId="45813CCC" w14:textId="77777777" w:rsidR="00AC0F79" w:rsidRPr="00AC0F79" w:rsidRDefault="00AC0F79" w:rsidP="003D6DD3">
            <w:pPr>
              <w:jc w:val="both"/>
              <w:rPr>
                <w:rFonts w:ascii="Times New Roman" w:hAnsi="Times New Roman" w:cs="Times New Roman"/>
                <w:b/>
                <w:bCs/>
                <w:sz w:val="24"/>
                <w:szCs w:val="24"/>
              </w:rPr>
            </w:pPr>
            <w:r w:rsidRPr="00AC0F79">
              <w:rPr>
                <w:rFonts w:ascii="Times New Roman" w:hAnsi="Times New Roman" w:cs="Times New Roman"/>
                <w:b/>
                <w:bCs/>
                <w:sz w:val="24"/>
                <w:szCs w:val="24"/>
              </w:rPr>
              <w:t>Ņemts vērā.</w:t>
            </w:r>
          </w:p>
          <w:p w14:paraId="0AAA21D7" w14:textId="77777777" w:rsidR="00BA1C43" w:rsidRPr="00AC0F79" w:rsidRDefault="00BA1C43" w:rsidP="003E67CA">
            <w:pPr>
              <w:jc w:val="both"/>
              <w:rPr>
                <w:rFonts w:ascii="Times New Roman" w:hAnsi="Times New Roman" w:cs="Times New Roman"/>
                <w:b/>
                <w:bCs/>
                <w:sz w:val="24"/>
                <w:szCs w:val="24"/>
              </w:rPr>
            </w:pPr>
          </w:p>
          <w:p w14:paraId="46AEBE21" w14:textId="01BC030D" w:rsidR="00E23FFB" w:rsidRPr="00B276C5" w:rsidRDefault="00AC0F79" w:rsidP="003D6DD3">
            <w:pPr>
              <w:jc w:val="both"/>
              <w:rPr>
                <w:rFonts w:ascii="Times New Roman" w:hAnsi="Times New Roman" w:cs="Times New Roman"/>
                <w:sz w:val="24"/>
                <w:szCs w:val="24"/>
              </w:rPr>
            </w:pPr>
            <w:r w:rsidRPr="00AC0F79">
              <w:rPr>
                <w:rFonts w:ascii="Times New Roman" w:hAnsi="Times New Roman" w:cs="Times New Roman"/>
                <w:sz w:val="24"/>
                <w:szCs w:val="24"/>
              </w:rPr>
              <w:t>Pārstrādātā noteikumu projekta redakcija nosaka, ka prognožu aprēķinam piemēro PRIIPs regulā noteiktās prasības, tādēļ visas sākotnējā noteikumu projektā iekļautās 8. un 9.</w:t>
            </w:r>
            <w:r w:rsidR="0091059E">
              <w:rPr>
                <w:rFonts w:ascii="Times New Roman" w:hAnsi="Times New Roman" w:cs="Times New Roman"/>
                <w:sz w:val="24"/>
                <w:szCs w:val="24"/>
              </w:rPr>
              <w:t> </w:t>
            </w:r>
            <w:r w:rsidRPr="00AC0F79">
              <w:rPr>
                <w:rFonts w:ascii="Times New Roman" w:hAnsi="Times New Roman" w:cs="Times New Roman"/>
                <w:sz w:val="24"/>
                <w:szCs w:val="24"/>
              </w:rPr>
              <w:t>punkt</w:t>
            </w:r>
            <w:r w:rsidR="0059249F">
              <w:rPr>
                <w:rFonts w:ascii="Times New Roman" w:hAnsi="Times New Roman" w:cs="Times New Roman"/>
                <w:sz w:val="24"/>
                <w:szCs w:val="24"/>
              </w:rPr>
              <w:t>a</w:t>
            </w:r>
            <w:r w:rsidRPr="00AC0F79">
              <w:rPr>
                <w:rFonts w:ascii="Times New Roman" w:hAnsi="Times New Roman" w:cs="Times New Roman"/>
                <w:sz w:val="24"/>
                <w:szCs w:val="24"/>
              </w:rPr>
              <w:t xml:space="preserve"> prasības ir izslēgtas un nav aktuālas.</w:t>
            </w:r>
          </w:p>
        </w:tc>
      </w:tr>
      <w:tr w:rsidR="00E23FFB" w:rsidRPr="00B276C5" w14:paraId="411329CC" w14:textId="77777777" w:rsidTr="0020694F">
        <w:tc>
          <w:tcPr>
            <w:tcW w:w="943" w:type="dxa"/>
          </w:tcPr>
          <w:p w14:paraId="3AD00611" w14:textId="77777777" w:rsidR="00E23FFB" w:rsidRPr="00B276C5" w:rsidRDefault="00E23FFB" w:rsidP="003F4248">
            <w:pPr>
              <w:spacing w:before="240"/>
              <w:jc w:val="both"/>
              <w:outlineLvl w:val="0"/>
              <w:rPr>
                <w:rFonts w:ascii="Times New Roman" w:eastAsia="Times New Roman" w:hAnsi="Times New Roman" w:cs="Times New Roman"/>
                <w:b/>
                <w:bCs/>
                <w:sz w:val="24"/>
                <w:szCs w:val="24"/>
                <w:lang w:eastAsia="lv-LV"/>
              </w:rPr>
            </w:pPr>
          </w:p>
        </w:tc>
        <w:tc>
          <w:tcPr>
            <w:tcW w:w="4439" w:type="dxa"/>
          </w:tcPr>
          <w:p w14:paraId="70873414" w14:textId="77777777" w:rsidR="00B276C5" w:rsidRPr="00B276C5" w:rsidRDefault="00B276C5" w:rsidP="003D6DD3">
            <w:pPr>
              <w:jc w:val="both"/>
              <w:rPr>
                <w:rFonts w:ascii="Times New Roman" w:eastAsia="Aptos" w:hAnsi="Times New Roman" w:cs="Times New Roman"/>
                <w:sz w:val="24"/>
                <w:szCs w:val="24"/>
                <w14:ligatures w14:val="standardContextual"/>
              </w:rPr>
            </w:pPr>
            <w:r w:rsidRPr="00B276C5">
              <w:rPr>
                <w:rFonts w:ascii="Times New Roman" w:eastAsia="Aptos" w:hAnsi="Times New Roman" w:cs="Times New Roman"/>
                <w:sz w:val="24"/>
                <w:szCs w:val="24"/>
                <w14:ligatures w14:val="standardContextual"/>
              </w:rPr>
              <w:t xml:space="preserve">8.3. ņemot vērā saskaņā ar šo noteikumu 8.2. apakšpunktu iegūto faktisko ieguldījumu proporciju, aprēķina obligāciju un akciju atskaites indeksu vēsturisko </w:t>
            </w:r>
            <w:r w:rsidRPr="00B276C5">
              <w:rPr>
                <w:rFonts w:ascii="Times New Roman" w:eastAsia="Aptos" w:hAnsi="Times New Roman" w:cs="Times New Roman"/>
                <w:sz w:val="24"/>
                <w:szCs w:val="24"/>
                <w14:ligatures w14:val="standardContextual"/>
              </w:rPr>
              <w:lastRenderedPageBreak/>
              <w:t>atdevi pēdējo 20 gadu laikā. Indeksu ieguldījumu pensiju plāniem izmanto konkrēto indeksu vēsturisko atdevi pēdējo 20 gadu laikā. Ja atskaites indeksa kopējā vēsturiskā atdeve ir ar negatīvu rezultātu, tad aprēķina vajadzībām pieņem, ka rezultāts ir nulle;</w:t>
            </w:r>
          </w:p>
          <w:p w14:paraId="0DE5E5A5" w14:textId="77777777" w:rsidR="00B276C5" w:rsidRPr="00B276C5" w:rsidRDefault="00B276C5" w:rsidP="00B276C5">
            <w:pPr>
              <w:ind w:firstLine="596"/>
              <w:jc w:val="both"/>
              <w:rPr>
                <w:rFonts w:ascii="Times New Roman" w:eastAsia="Aptos" w:hAnsi="Times New Roman" w:cs="Times New Roman"/>
                <w:sz w:val="24"/>
                <w:szCs w:val="24"/>
                <w14:ligatures w14:val="standardContextual"/>
              </w:rPr>
            </w:pPr>
          </w:p>
          <w:p w14:paraId="47A7A084" w14:textId="77777777" w:rsidR="00B276C5" w:rsidRPr="00B276C5" w:rsidRDefault="00B276C5" w:rsidP="003D6DD3">
            <w:pPr>
              <w:jc w:val="both"/>
              <w:rPr>
                <w:rFonts w:ascii="Times New Roman" w:eastAsia="Aptos" w:hAnsi="Times New Roman" w:cs="Times New Roman"/>
                <w:sz w:val="24"/>
                <w:szCs w:val="24"/>
                <w14:ligatures w14:val="standardContextual"/>
              </w:rPr>
            </w:pPr>
            <w:r w:rsidRPr="00B276C5">
              <w:rPr>
                <w:rFonts w:ascii="Times New Roman" w:eastAsia="Aptos" w:hAnsi="Times New Roman" w:cs="Times New Roman"/>
                <w:sz w:val="24"/>
                <w:szCs w:val="24"/>
                <w14:ligatures w14:val="standardContextual"/>
              </w:rPr>
              <w:t>(..)</w:t>
            </w:r>
          </w:p>
          <w:p w14:paraId="04C5BCED" w14:textId="77777777" w:rsidR="00B276C5" w:rsidRPr="00B276C5" w:rsidRDefault="00B276C5" w:rsidP="00B276C5">
            <w:pPr>
              <w:ind w:firstLine="596"/>
              <w:jc w:val="both"/>
              <w:rPr>
                <w:rFonts w:ascii="Times New Roman" w:eastAsia="Aptos" w:hAnsi="Times New Roman" w:cs="Times New Roman"/>
                <w:sz w:val="24"/>
                <w:szCs w:val="24"/>
                <w14:ligatures w14:val="standardContextual"/>
              </w:rPr>
            </w:pPr>
          </w:p>
          <w:p w14:paraId="30ED82D3" w14:textId="7D3C0959" w:rsidR="00B276C5" w:rsidRPr="00B276C5" w:rsidRDefault="00B276C5" w:rsidP="003D6DD3">
            <w:pPr>
              <w:jc w:val="both"/>
              <w:rPr>
                <w:rFonts w:ascii="Times New Roman" w:eastAsia="Aptos" w:hAnsi="Times New Roman" w:cs="Times New Roman"/>
                <w:sz w:val="24"/>
                <w:szCs w:val="24"/>
                <w14:ligatures w14:val="standardContextual"/>
              </w:rPr>
            </w:pPr>
            <w:r w:rsidRPr="00B276C5">
              <w:rPr>
                <w:rFonts w:ascii="Times New Roman" w:eastAsia="Aptos" w:hAnsi="Times New Roman" w:cs="Times New Roman"/>
                <w:sz w:val="24"/>
                <w:szCs w:val="24"/>
                <w14:ligatures w14:val="standardContextual"/>
              </w:rPr>
              <w:t>9. Šo noteikumu 8.3.</w:t>
            </w:r>
            <w:r w:rsidR="00BA1C43">
              <w:rPr>
                <w:rFonts w:ascii="Times New Roman" w:eastAsia="Aptos" w:hAnsi="Times New Roman" w:cs="Times New Roman"/>
                <w:sz w:val="24"/>
                <w:szCs w:val="24"/>
                <w14:ligatures w14:val="standardContextual"/>
              </w:rPr>
              <w:t> </w:t>
            </w:r>
            <w:r w:rsidRPr="00B276C5">
              <w:rPr>
                <w:rFonts w:ascii="Times New Roman" w:eastAsia="Aptos" w:hAnsi="Times New Roman" w:cs="Times New Roman"/>
                <w:sz w:val="24"/>
                <w:szCs w:val="24"/>
                <w14:ligatures w14:val="standardContextual"/>
              </w:rPr>
              <w:t xml:space="preserve">apakšpunktā noteiktā aprēķina vajadzībām izmanto attiecīgā pensiju plāna valūtā izteikto atskaites indeksu atdevi: </w:t>
            </w:r>
          </w:p>
          <w:p w14:paraId="55613F62" w14:textId="77777777" w:rsidR="00B276C5" w:rsidRPr="00B276C5" w:rsidRDefault="00B276C5" w:rsidP="003D6DD3">
            <w:pPr>
              <w:jc w:val="both"/>
              <w:rPr>
                <w:rFonts w:ascii="Times New Roman" w:eastAsia="Aptos" w:hAnsi="Times New Roman" w:cs="Times New Roman"/>
                <w:sz w:val="24"/>
                <w:szCs w:val="24"/>
                <w14:ligatures w14:val="standardContextual"/>
              </w:rPr>
            </w:pPr>
            <w:r w:rsidRPr="00B276C5">
              <w:rPr>
                <w:rFonts w:ascii="Times New Roman" w:eastAsia="Aptos" w:hAnsi="Times New Roman" w:cs="Times New Roman"/>
                <w:sz w:val="24"/>
                <w:szCs w:val="24"/>
                <w14:ligatures w14:val="standardContextual"/>
              </w:rPr>
              <w:t xml:space="preserve">9.1. obligāciju ieguldījumu pensiju plāni – </w:t>
            </w:r>
            <w:proofErr w:type="spellStart"/>
            <w:r w:rsidRPr="00B276C5">
              <w:rPr>
                <w:rFonts w:ascii="Times New Roman" w:eastAsia="Aptos" w:hAnsi="Times New Roman" w:cs="Times New Roman"/>
                <w:i/>
                <w:iCs/>
                <w:sz w:val="24"/>
                <w:szCs w:val="24"/>
                <w14:ligatures w14:val="standardContextual"/>
              </w:rPr>
              <w:t>Bloomberg</w:t>
            </w:r>
            <w:proofErr w:type="spellEnd"/>
            <w:r w:rsidRPr="00B276C5">
              <w:rPr>
                <w:rFonts w:ascii="Times New Roman" w:eastAsia="Aptos" w:hAnsi="Times New Roman" w:cs="Times New Roman"/>
                <w:i/>
                <w:iCs/>
                <w:sz w:val="24"/>
                <w:szCs w:val="24"/>
                <w14:ligatures w14:val="standardContextual"/>
              </w:rPr>
              <w:t xml:space="preserve"> </w:t>
            </w:r>
            <w:proofErr w:type="spellStart"/>
            <w:r w:rsidRPr="00B276C5">
              <w:rPr>
                <w:rFonts w:ascii="Times New Roman" w:eastAsia="Aptos" w:hAnsi="Times New Roman" w:cs="Times New Roman"/>
                <w:i/>
                <w:iCs/>
                <w:sz w:val="24"/>
                <w:szCs w:val="24"/>
                <w14:ligatures w14:val="standardContextual"/>
              </w:rPr>
              <w:t>Barclay</w:t>
            </w:r>
            <w:proofErr w:type="spellEnd"/>
            <w:r w:rsidRPr="00B276C5">
              <w:rPr>
                <w:rFonts w:ascii="Times New Roman" w:eastAsia="Aptos" w:hAnsi="Times New Roman" w:cs="Times New Roman"/>
                <w:i/>
                <w:iCs/>
                <w:sz w:val="24"/>
                <w:szCs w:val="24"/>
                <w14:ligatures w14:val="standardContextual"/>
              </w:rPr>
              <w:t xml:space="preserve"> </w:t>
            </w:r>
            <w:proofErr w:type="spellStart"/>
            <w:r w:rsidRPr="00B276C5">
              <w:rPr>
                <w:rFonts w:ascii="Times New Roman" w:eastAsia="Aptos" w:hAnsi="Times New Roman" w:cs="Times New Roman"/>
                <w:i/>
                <w:iCs/>
                <w:sz w:val="24"/>
                <w:szCs w:val="24"/>
                <w14:ligatures w14:val="standardContextual"/>
              </w:rPr>
              <w:t>Euro</w:t>
            </w:r>
            <w:proofErr w:type="spellEnd"/>
            <w:r w:rsidRPr="00B276C5">
              <w:rPr>
                <w:rFonts w:ascii="Times New Roman" w:eastAsia="Aptos" w:hAnsi="Times New Roman" w:cs="Times New Roman"/>
                <w:i/>
                <w:iCs/>
                <w:sz w:val="24"/>
                <w:szCs w:val="24"/>
                <w14:ligatures w14:val="standardContextual"/>
              </w:rPr>
              <w:t xml:space="preserve"> </w:t>
            </w:r>
            <w:proofErr w:type="spellStart"/>
            <w:r w:rsidRPr="00B276C5">
              <w:rPr>
                <w:rFonts w:ascii="Times New Roman" w:eastAsia="Aptos" w:hAnsi="Times New Roman" w:cs="Times New Roman"/>
                <w:i/>
                <w:iCs/>
                <w:sz w:val="24"/>
                <w:szCs w:val="24"/>
                <w14:ligatures w14:val="standardContextual"/>
              </w:rPr>
              <w:t>Aggregate</w:t>
            </w:r>
            <w:proofErr w:type="spellEnd"/>
            <w:r w:rsidRPr="00B276C5">
              <w:rPr>
                <w:rFonts w:ascii="Times New Roman" w:eastAsia="Aptos" w:hAnsi="Times New Roman" w:cs="Times New Roman"/>
                <w:i/>
                <w:iCs/>
                <w:sz w:val="24"/>
                <w:szCs w:val="24"/>
                <w14:ligatures w14:val="standardContextual"/>
              </w:rPr>
              <w:t xml:space="preserve"> </w:t>
            </w:r>
            <w:proofErr w:type="spellStart"/>
            <w:r w:rsidRPr="00B276C5">
              <w:rPr>
                <w:rFonts w:ascii="Times New Roman" w:eastAsia="Aptos" w:hAnsi="Times New Roman" w:cs="Times New Roman"/>
                <w:i/>
                <w:iCs/>
                <w:sz w:val="24"/>
                <w:szCs w:val="24"/>
                <w14:ligatures w14:val="standardContextual"/>
              </w:rPr>
              <w:t>Total</w:t>
            </w:r>
            <w:proofErr w:type="spellEnd"/>
            <w:r w:rsidRPr="00B276C5">
              <w:rPr>
                <w:rFonts w:ascii="Times New Roman" w:eastAsia="Aptos" w:hAnsi="Times New Roman" w:cs="Times New Roman"/>
                <w:i/>
                <w:iCs/>
                <w:sz w:val="24"/>
                <w:szCs w:val="24"/>
                <w14:ligatures w14:val="standardContextual"/>
              </w:rPr>
              <w:t xml:space="preserve"> </w:t>
            </w:r>
            <w:proofErr w:type="spellStart"/>
            <w:r w:rsidRPr="00B276C5">
              <w:rPr>
                <w:rFonts w:ascii="Times New Roman" w:eastAsia="Aptos" w:hAnsi="Times New Roman" w:cs="Times New Roman"/>
                <w:i/>
                <w:iCs/>
                <w:sz w:val="24"/>
                <w:szCs w:val="24"/>
                <w14:ligatures w14:val="standardContextual"/>
              </w:rPr>
              <w:t>Return</w:t>
            </w:r>
            <w:proofErr w:type="spellEnd"/>
            <w:r w:rsidRPr="00B276C5">
              <w:rPr>
                <w:rFonts w:ascii="Times New Roman" w:eastAsia="Aptos" w:hAnsi="Times New Roman" w:cs="Times New Roman"/>
                <w:i/>
                <w:iCs/>
                <w:sz w:val="24"/>
                <w:szCs w:val="24"/>
                <w14:ligatures w14:val="standardContextual"/>
              </w:rPr>
              <w:t xml:space="preserve"> </w:t>
            </w:r>
            <w:proofErr w:type="spellStart"/>
            <w:r w:rsidRPr="00B276C5">
              <w:rPr>
                <w:rFonts w:ascii="Times New Roman" w:eastAsia="Aptos" w:hAnsi="Times New Roman" w:cs="Times New Roman"/>
                <w:i/>
                <w:iCs/>
                <w:sz w:val="24"/>
                <w:szCs w:val="24"/>
                <w14:ligatures w14:val="standardContextual"/>
              </w:rPr>
              <w:t>Euro</w:t>
            </w:r>
            <w:proofErr w:type="spellEnd"/>
            <w:r w:rsidRPr="00B276C5">
              <w:rPr>
                <w:rFonts w:ascii="Times New Roman" w:eastAsia="Aptos" w:hAnsi="Times New Roman" w:cs="Times New Roman"/>
                <w:i/>
                <w:iCs/>
                <w:sz w:val="24"/>
                <w:szCs w:val="24"/>
                <w14:ligatures w14:val="standardContextual"/>
              </w:rPr>
              <w:t xml:space="preserve"> </w:t>
            </w:r>
            <w:proofErr w:type="spellStart"/>
            <w:r w:rsidRPr="00B276C5">
              <w:rPr>
                <w:rFonts w:ascii="Times New Roman" w:eastAsia="Aptos" w:hAnsi="Times New Roman" w:cs="Times New Roman"/>
                <w:i/>
                <w:iCs/>
                <w:sz w:val="24"/>
                <w:szCs w:val="24"/>
                <w14:ligatures w14:val="standardContextual"/>
              </w:rPr>
              <w:t>Unhedged</w:t>
            </w:r>
            <w:proofErr w:type="spellEnd"/>
            <w:r w:rsidRPr="00B276C5">
              <w:rPr>
                <w:rFonts w:ascii="Times New Roman" w:eastAsia="Aptos" w:hAnsi="Times New Roman" w:cs="Times New Roman"/>
                <w:i/>
                <w:iCs/>
                <w:sz w:val="24"/>
                <w:szCs w:val="24"/>
                <w14:ligatures w14:val="standardContextual"/>
              </w:rPr>
              <w:t xml:space="preserve"> (LBEATREU </w:t>
            </w:r>
            <w:proofErr w:type="spellStart"/>
            <w:r w:rsidRPr="00B276C5">
              <w:rPr>
                <w:rFonts w:ascii="Times New Roman" w:eastAsia="Aptos" w:hAnsi="Times New Roman" w:cs="Times New Roman"/>
                <w:i/>
                <w:iCs/>
                <w:sz w:val="24"/>
                <w:szCs w:val="24"/>
                <w14:ligatures w14:val="standardContextual"/>
              </w:rPr>
              <w:t>Index</w:t>
            </w:r>
            <w:proofErr w:type="spellEnd"/>
            <w:r w:rsidRPr="00B276C5">
              <w:rPr>
                <w:rFonts w:ascii="Times New Roman" w:eastAsia="Aptos" w:hAnsi="Times New Roman" w:cs="Times New Roman"/>
                <w:i/>
                <w:iCs/>
                <w:sz w:val="24"/>
                <w:szCs w:val="24"/>
                <w14:ligatures w14:val="standardContextual"/>
              </w:rPr>
              <w:t>, FIGI BBG002SG6D04)</w:t>
            </w:r>
            <w:r w:rsidRPr="00B276C5">
              <w:rPr>
                <w:rFonts w:ascii="Times New Roman" w:eastAsia="Aptos" w:hAnsi="Times New Roman" w:cs="Times New Roman"/>
                <w:sz w:val="24"/>
                <w:szCs w:val="24"/>
                <w14:ligatures w14:val="standardContextual"/>
              </w:rPr>
              <w:t xml:space="preserve"> obligāciju tirgus indeksu vēsturisko ienesīgumu; </w:t>
            </w:r>
          </w:p>
          <w:p w14:paraId="598591D7" w14:textId="63C47505" w:rsidR="00E23FFB" w:rsidRPr="00B276C5" w:rsidRDefault="00B276C5" w:rsidP="003D6DD3">
            <w:pPr>
              <w:jc w:val="both"/>
              <w:rPr>
                <w:rFonts w:ascii="Times New Roman" w:eastAsia="Aptos" w:hAnsi="Times New Roman" w:cs="Times New Roman"/>
                <w:sz w:val="24"/>
                <w:szCs w:val="24"/>
                <w14:ligatures w14:val="standardContextual"/>
              </w:rPr>
            </w:pPr>
            <w:r w:rsidRPr="00B276C5">
              <w:rPr>
                <w:rFonts w:ascii="Times New Roman" w:eastAsia="Aptos" w:hAnsi="Times New Roman" w:cs="Times New Roman"/>
                <w:sz w:val="24"/>
                <w:szCs w:val="24"/>
                <w14:ligatures w14:val="standardContextual"/>
              </w:rPr>
              <w:t xml:space="preserve">9.2. akciju ieguldījumu pensiju plāni – </w:t>
            </w:r>
            <w:r w:rsidRPr="00B276C5">
              <w:rPr>
                <w:rFonts w:ascii="Times New Roman" w:eastAsia="Aptos" w:hAnsi="Times New Roman" w:cs="Times New Roman"/>
                <w:i/>
                <w:iCs/>
                <w:sz w:val="24"/>
                <w:szCs w:val="24"/>
                <w14:ligatures w14:val="standardContextual"/>
              </w:rPr>
              <w:t>MSCI ACWI Net Return EUR (NDEEWNR Index, FIGI BBG002T2YBW2)</w:t>
            </w:r>
            <w:r w:rsidRPr="00B276C5">
              <w:rPr>
                <w:rFonts w:ascii="Times New Roman" w:eastAsia="Aptos" w:hAnsi="Times New Roman" w:cs="Times New Roman"/>
                <w:sz w:val="24"/>
                <w:szCs w:val="24"/>
                <w14:ligatures w14:val="standardContextual"/>
              </w:rPr>
              <w:t xml:space="preserve"> akciju indeksu vēsturisko ienesīgumu.</w:t>
            </w:r>
          </w:p>
        </w:tc>
        <w:tc>
          <w:tcPr>
            <w:tcW w:w="4394" w:type="dxa"/>
          </w:tcPr>
          <w:p w14:paraId="6EAB1EC5" w14:textId="3E903991" w:rsidR="00B276C5" w:rsidRPr="00B276C5" w:rsidRDefault="00B276C5" w:rsidP="003D6DD3">
            <w:pPr>
              <w:jc w:val="both"/>
              <w:rPr>
                <w:rFonts w:ascii="Times New Roman" w:eastAsia="Times New Roman" w:hAnsi="Times New Roman" w:cs="Times New Roman"/>
                <w:sz w:val="24"/>
                <w:szCs w:val="24"/>
                <w:lang w:eastAsia="lv-LV"/>
              </w:rPr>
            </w:pPr>
            <w:r w:rsidRPr="00B276C5">
              <w:rPr>
                <w:rFonts w:ascii="Times New Roman" w:eastAsia="Times New Roman" w:hAnsi="Times New Roman" w:cs="Times New Roman"/>
                <w:sz w:val="24"/>
                <w:szCs w:val="24"/>
                <w:lang w:eastAsia="lv-LV"/>
              </w:rPr>
              <w:lastRenderedPageBreak/>
              <w:t>Iebilstam pret indeksu izmantošanu šajos noteikumos.</w:t>
            </w:r>
          </w:p>
          <w:p w14:paraId="35C86613" w14:textId="77777777" w:rsidR="00B276C5" w:rsidRPr="00B276C5" w:rsidRDefault="00B276C5" w:rsidP="003D6DD3">
            <w:pPr>
              <w:jc w:val="both"/>
              <w:rPr>
                <w:rFonts w:ascii="Times New Roman" w:eastAsia="Times New Roman" w:hAnsi="Times New Roman" w:cs="Times New Roman"/>
                <w:sz w:val="24"/>
                <w:szCs w:val="24"/>
                <w:lang w:eastAsia="lv-LV"/>
              </w:rPr>
            </w:pPr>
          </w:p>
          <w:p w14:paraId="6400C024" w14:textId="77777777" w:rsidR="00B276C5" w:rsidRPr="00B276C5" w:rsidRDefault="00B276C5" w:rsidP="003D6DD3">
            <w:pPr>
              <w:jc w:val="both"/>
              <w:rPr>
                <w:rFonts w:ascii="Times New Roman" w:eastAsia="Times New Roman" w:hAnsi="Times New Roman" w:cs="Times New Roman"/>
                <w:sz w:val="24"/>
                <w:szCs w:val="24"/>
                <w:lang w:eastAsia="lv-LV"/>
              </w:rPr>
            </w:pPr>
            <w:r w:rsidRPr="00B276C5">
              <w:rPr>
                <w:rFonts w:ascii="Times New Roman" w:eastAsia="Times New Roman" w:hAnsi="Times New Roman" w:cs="Times New Roman"/>
                <w:sz w:val="24"/>
                <w:szCs w:val="24"/>
                <w:lang w:eastAsia="lv-LV"/>
              </w:rPr>
              <w:lastRenderedPageBreak/>
              <w:t xml:space="preserve">Vēršam uzmanību, ka </w:t>
            </w:r>
            <w:proofErr w:type="spellStart"/>
            <w:r w:rsidRPr="00B276C5">
              <w:rPr>
                <w:rFonts w:ascii="Times New Roman" w:eastAsia="Times New Roman" w:hAnsi="Times New Roman" w:cs="Times New Roman"/>
                <w:i/>
                <w:iCs/>
                <w:sz w:val="24"/>
                <w:szCs w:val="24"/>
                <w:lang w:eastAsia="lv-LV"/>
              </w:rPr>
              <w:t>Bloomberg</w:t>
            </w:r>
            <w:proofErr w:type="spellEnd"/>
            <w:r w:rsidRPr="00B276C5">
              <w:rPr>
                <w:rFonts w:ascii="Times New Roman" w:eastAsia="Times New Roman" w:hAnsi="Times New Roman" w:cs="Times New Roman"/>
                <w:i/>
                <w:iCs/>
                <w:sz w:val="24"/>
                <w:szCs w:val="24"/>
                <w:lang w:eastAsia="lv-LV"/>
              </w:rPr>
              <w:t xml:space="preserve"> </w:t>
            </w:r>
            <w:proofErr w:type="spellStart"/>
            <w:r w:rsidRPr="00B276C5">
              <w:rPr>
                <w:rFonts w:ascii="Times New Roman" w:eastAsia="Times New Roman" w:hAnsi="Times New Roman" w:cs="Times New Roman"/>
                <w:i/>
                <w:iCs/>
                <w:sz w:val="24"/>
                <w:szCs w:val="24"/>
                <w:lang w:eastAsia="lv-LV"/>
              </w:rPr>
              <w:t>Barclays</w:t>
            </w:r>
            <w:proofErr w:type="spellEnd"/>
            <w:r w:rsidRPr="00B276C5">
              <w:rPr>
                <w:rFonts w:ascii="Times New Roman" w:eastAsia="Times New Roman" w:hAnsi="Times New Roman" w:cs="Times New Roman"/>
                <w:i/>
                <w:iCs/>
                <w:sz w:val="24"/>
                <w:szCs w:val="24"/>
                <w:lang w:eastAsia="lv-LV"/>
              </w:rPr>
              <w:t xml:space="preserve"> </w:t>
            </w:r>
            <w:proofErr w:type="spellStart"/>
            <w:r w:rsidRPr="00B276C5">
              <w:rPr>
                <w:rFonts w:ascii="Times New Roman" w:eastAsia="Times New Roman" w:hAnsi="Times New Roman" w:cs="Times New Roman"/>
                <w:i/>
                <w:iCs/>
                <w:sz w:val="24"/>
                <w:szCs w:val="24"/>
                <w:lang w:eastAsia="lv-LV"/>
              </w:rPr>
              <w:t>Euro</w:t>
            </w:r>
            <w:proofErr w:type="spellEnd"/>
            <w:r w:rsidRPr="00B276C5">
              <w:rPr>
                <w:rFonts w:ascii="Times New Roman" w:eastAsia="Times New Roman" w:hAnsi="Times New Roman" w:cs="Times New Roman"/>
                <w:i/>
                <w:iCs/>
                <w:sz w:val="24"/>
                <w:szCs w:val="24"/>
                <w:lang w:eastAsia="lv-LV"/>
              </w:rPr>
              <w:t xml:space="preserve"> </w:t>
            </w:r>
            <w:proofErr w:type="spellStart"/>
            <w:r w:rsidRPr="00B276C5">
              <w:rPr>
                <w:rFonts w:ascii="Times New Roman" w:eastAsia="Times New Roman" w:hAnsi="Times New Roman" w:cs="Times New Roman"/>
                <w:i/>
                <w:iCs/>
                <w:sz w:val="24"/>
                <w:szCs w:val="24"/>
                <w:lang w:eastAsia="lv-LV"/>
              </w:rPr>
              <w:t>Aggregate</w:t>
            </w:r>
            <w:proofErr w:type="spellEnd"/>
            <w:r w:rsidRPr="00B276C5">
              <w:rPr>
                <w:rFonts w:ascii="Times New Roman" w:eastAsia="Times New Roman" w:hAnsi="Times New Roman" w:cs="Times New Roman"/>
                <w:i/>
                <w:iCs/>
                <w:sz w:val="24"/>
                <w:szCs w:val="24"/>
                <w:lang w:eastAsia="lv-LV"/>
              </w:rPr>
              <w:t xml:space="preserve"> </w:t>
            </w:r>
            <w:proofErr w:type="spellStart"/>
            <w:r w:rsidRPr="00B276C5">
              <w:rPr>
                <w:rFonts w:ascii="Times New Roman" w:eastAsia="Times New Roman" w:hAnsi="Times New Roman" w:cs="Times New Roman"/>
                <w:i/>
                <w:iCs/>
                <w:sz w:val="24"/>
                <w:szCs w:val="24"/>
                <w:lang w:eastAsia="lv-LV"/>
              </w:rPr>
              <w:t>Total</w:t>
            </w:r>
            <w:proofErr w:type="spellEnd"/>
            <w:r w:rsidRPr="00B276C5">
              <w:rPr>
                <w:rFonts w:ascii="Times New Roman" w:eastAsia="Times New Roman" w:hAnsi="Times New Roman" w:cs="Times New Roman"/>
                <w:i/>
                <w:iCs/>
                <w:sz w:val="24"/>
                <w:szCs w:val="24"/>
                <w:lang w:eastAsia="lv-LV"/>
              </w:rPr>
              <w:t xml:space="preserve"> </w:t>
            </w:r>
            <w:proofErr w:type="spellStart"/>
            <w:r w:rsidRPr="00B276C5">
              <w:rPr>
                <w:rFonts w:ascii="Times New Roman" w:eastAsia="Times New Roman" w:hAnsi="Times New Roman" w:cs="Times New Roman"/>
                <w:i/>
                <w:iCs/>
                <w:sz w:val="24"/>
                <w:szCs w:val="24"/>
                <w:lang w:eastAsia="lv-LV"/>
              </w:rPr>
              <w:t>Return</w:t>
            </w:r>
            <w:proofErr w:type="spellEnd"/>
            <w:r w:rsidRPr="00B276C5">
              <w:rPr>
                <w:rFonts w:ascii="Times New Roman" w:eastAsia="Times New Roman" w:hAnsi="Times New Roman" w:cs="Times New Roman"/>
                <w:i/>
                <w:iCs/>
                <w:sz w:val="24"/>
                <w:szCs w:val="24"/>
                <w:lang w:eastAsia="lv-LV"/>
              </w:rPr>
              <w:t xml:space="preserve"> </w:t>
            </w:r>
            <w:proofErr w:type="spellStart"/>
            <w:r w:rsidRPr="00B276C5">
              <w:rPr>
                <w:rFonts w:ascii="Times New Roman" w:eastAsia="Times New Roman" w:hAnsi="Times New Roman" w:cs="Times New Roman"/>
                <w:i/>
                <w:iCs/>
                <w:sz w:val="24"/>
                <w:szCs w:val="24"/>
                <w:lang w:eastAsia="lv-LV"/>
              </w:rPr>
              <w:t>Euro</w:t>
            </w:r>
            <w:proofErr w:type="spellEnd"/>
            <w:r w:rsidRPr="00B276C5">
              <w:rPr>
                <w:rFonts w:ascii="Times New Roman" w:eastAsia="Times New Roman" w:hAnsi="Times New Roman" w:cs="Times New Roman"/>
                <w:sz w:val="24"/>
                <w:szCs w:val="24"/>
                <w:lang w:eastAsia="lv-LV"/>
              </w:rPr>
              <w:t xml:space="preserve"> </w:t>
            </w:r>
            <w:proofErr w:type="spellStart"/>
            <w:r w:rsidRPr="00B276C5">
              <w:rPr>
                <w:rFonts w:ascii="Times New Roman" w:eastAsia="Times New Roman" w:hAnsi="Times New Roman" w:cs="Times New Roman"/>
                <w:i/>
                <w:iCs/>
                <w:sz w:val="24"/>
                <w:szCs w:val="24"/>
                <w:lang w:eastAsia="lv-LV"/>
              </w:rPr>
              <w:t>Unhedged</w:t>
            </w:r>
            <w:proofErr w:type="spellEnd"/>
            <w:r w:rsidRPr="00B276C5">
              <w:rPr>
                <w:rFonts w:ascii="Times New Roman" w:eastAsia="Times New Roman" w:hAnsi="Times New Roman" w:cs="Times New Roman"/>
                <w:sz w:val="24"/>
                <w:szCs w:val="24"/>
                <w:lang w:eastAsia="lv-LV"/>
              </w:rPr>
              <w:t xml:space="preserve"> indekss ir indeksu datu piegādātāja </w:t>
            </w:r>
            <w:r w:rsidRPr="00B276C5">
              <w:rPr>
                <w:rFonts w:ascii="Times New Roman" w:eastAsia="Times New Roman" w:hAnsi="Times New Roman" w:cs="Times New Roman"/>
                <w:i/>
                <w:iCs/>
                <w:sz w:val="24"/>
                <w:szCs w:val="24"/>
                <w:lang w:eastAsia="lv-LV"/>
              </w:rPr>
              <w:t>Bloomberg Index Services Limited</w:t>
            </w:r>
            <w:r w:rsidRPr="00B276C5">
              <w:rPr>
                <w:rFonts w:ascii="Times New Roman" w:eastAsia="Times New Roman" w:hAnsi="Times New Roman" w:cs="Times New Roman"/>
                <w:sz w:val="24"/>
                <w:szCs w:val="24"/>
                <w:lang w:eastAsia="lv-LV"/>
              </w:rPr>
              <w:t xml:space="preserve"> intelektuālais īpašums. </w:t>
            </w:r>
            <w:r w:rsidRPr="00B276C5">
              <w:rPr>
                <w:rFonts w:ascii="Times New Roman" w:eastAsia="Times New Roman" w:hAnsi="Times New Roman" w:cs="Times New Roman"/>
                <w:i/>
                <w:iCs/>
                <w:sz w:val="24"/>
                <w:szCs w:val="24"/>
                <w:lang w:eastAsia="lv-LV"/>
              </w:rPr>
              <w:t>MSCI ACWI Net Return EUR</w:t>
            </w:r>
            <w:r w:rsidRPr="00B276C5">
              <w:rPr>
                <w:rFonts w:ascii="Times New Roman" w:eastAsia="Times New Roman" w:hAnsi="Times New Roman" w:cs="Times New Roman"/>
                <w:sz w:val="24"/>
                <w:szCs w:val="24"/>
                <w:lang w:eastAsia="lv-LV"/>
              </w:rPr>
              <w:t xml:space="preserve"> ir indeksu datu piegādātāja </w:t>
            </w:r>
            <w:r w:rsidRPr="00B276C5">
              <w:rPr>
                <w:rFonts w:ascii="Times New Roman" w:eastAsia="Times New Roman" w:hAnsi="Times New Roman" w:cs="Times New Roman"/>
                <w:i/>
                <w:iCs/>
                <w:sz w:val="24"/>
                <w:szCs w:val="24"/>
                <w:lang w:eastAsia="lv-LV"/>
              </w:rPr>
              <w:t>MSCI Inc.</w:t>
            </w:r>
            <w:r w:rsidRPr="00B276C5">
              <w:rPr>
                <w:rFonts w:ascii="Times New Roman" w:eastAsia="Times New Roman" w:hAnsi="Times New Roman" w:cs="Times New Roman"/>
                <w:sz w:val="24"/>
                <w:szCs w:val="24"/>
                <w:lang w:eastAsia="lv-LV"/>
              </w:rPr>
              <w:t xml:space="preserve"> intelektuālais īpašums. Par indeksu vērtību izmantošanu savos iekšējos aprēķinos Pensiju fondam būs jāmaksā licencēšanas maksa indeksu datu piegādātājiem. Tas palielinās Pensiju fonda izmaksas, kas savukārt samazinās ienākumu pārsniegumu pār izdevumiem (kurš pilnībā ieskaitāms pensiju plānu dalībnieku individuālajos kontos, saskaņā ar Privāto pensiju fonda likuma 3.panta 5.punktu), tādējādi negatīvi ietekmējot pensiju plānu dalībnieku papildpensijas kapitālu.</w:t>
            </w:r>
          </w:p>
          <w:p w14:paraId="0BD80BBC" w14:textId="77777777" w:rsidR="00B276C5" w:rsidRPr="00B276C5" w:rsidRDefault="00B276C5" w:rsidP="003D6DD3">
            <w:pPr>
              <w:jc w:val="both"/>
              <w:rPr>
                <w:rFonts w:ascii="Times New Roman" w:eastAsia="Times New Roman" w:hAnsi="Times New Roman" w:cs="Times New Roman"/>
                <w:sz w:val="24"/>
                <w:szCs w:val="24"/>
                <w:lang w:eastAsia="lv-LV"/>
              </w:rPr>
            </w:pPr>
          </w:p>
          <w:p w14:paraId="7A46D8ED" w14:textId="14A17872" w:rsidR="00B276C5" w:rsidRPr="00B276C5" w:rsidRDefault="00B276C5" w:rsidP="003D6DD3">
            <w:pPr>
              <w:jc w:val="both"/>
              <w:rPr>
                <w:rFonts w:ascii="Times New Roman" w:eastAsia="Times New Roman" w:hAnsi="Times New Roman" w:cs="Times New Roman"/>
                <w:sz w:val="24"/>
                <w:szCs w:val="24"/>
                <w:lang w:eastAsia="lv-LV"/>
              </w:rPr>
            </w:pPr>
            <w:r w:rsidRPr="00B276C5">
              <w:rPr>
                <w:rFonts w:ascii="Times New Roman" w:eastAsia="Times New Roman" w:hAnsi="Times New Roman" w:cs="Times New Roman"/>
                <w:sz w:val="24"/>
                <w:szCs w:val="24"/>
                <w:lang w:eastAsia="lv-LV"/>
              </w:rPr>
              <w:t xml:space="preserve">Papildus pievēršam Jūsu uzmanību arī līdzīgiem iebildumiem par esošo un piedāvāto indeksu izmantošanu, kuru Asociācija sniedza šā gada jūlijā par Ministru kabineta noteikumu projektu </w:t>
            </w:r>
            <w:r w:rsidR="00D91805">
              <w:rPr>
                <w:rFonts w:ascii="Times New Roman" w:eastAsia="Times New Roman" w:hAnsi="Times New Roman" w:cs="Times New Roman"/>
                <w:sz w:val="24"/>
                <w:szCs w:val="24"/>
                <w:lang w:eastAsia="lv-LV"/>
              </w:rPr>
              <w:t>"</w:t>
            </w:r>
            <w:r w:rsidRPr="00B276C5">
              <w:rPr>
                <w:rFonts w:ascii="Times New Roman" w:eastAsia="Times New Roman" w:hAnsi="Times New Roman" w:cs="Times New Roman"/>
                <w:sz w:val="24"/>
                <w:szCs w:val="24"/>
                <w:lang w:eastAsia="lv-LV"/>
              </w:rPr>
              <w:t xml:space="preserve">Grozījumi Ministru kabineta noteikumos Nr. 765 </w:t>
            </w:r>
            <w:r w:rsidR="00D91805">
              <w:rPr>
                <w:rFonts w:ascii="Times New Roman" w:eastAsia="Times New Roman" w:hAnsi="Times New Roman" w:cs="Times New Roman"/>
                <w:sz w:val="24"/>
                <w:szCs w:val="24"/>
                <w:lang w:eastAsia="lv-LV"/>
              </w:rPr>
              <w:t>"</w:t>
            </w:r>
            <w:r w:rsidRPr="00B276C5">
              <w:rPr>
                <w:rFonts w:ascii="Times New Roman" w:eastAsia="Times New Roman" w:hAnsi="Times New Roman" w:cs="Times New Roman"/>
                <w:sz w:val="24"/>
                <w:szCs w:val="24"/>
                <w:lang w:eastAsia="lv-LV"/>
              </w:rPr>
              <w:t xml:space="preserve">Kārtība, kādā valsts fondēto pensiju shēmas līdzekļu pārvaldītājs aprēķina maksājumu par ieguldījumu plāna pārvaldi, un kārtība, kādā tiek veikta minētā </w:t>
            </w:r>
            <w:r w:rsidRPr="00B276C5">
              <w:rPr>
                <w:rFonts w:ascii="Times New Roman" w:eastAsia="Times New Roman" w:hAnsi="Times New Roman" w:cs="Times New Roman"/>
                <w:sz w:val="24"/>
                <w:szCs w:val="24"/>
                <w:lang w:eastAsia="lv-LV"/>
              </w:rPr>
              <w:lastRenderedPageBreak/>
              <w:t>maksājuma uzskaite un ieturēšana</w:t>
            </w:r>
            <w:r w:rsidR="00D91805">
              <w:rPr>
                <w:rFonts w:ascii="Times New Roman" w:eastAsia="Times New Roman" w:hAnsi="Times New Roman" w:cs="Times New Roman"/>
                <w:sz w:val="24"/>
                <w:szCs w:val="24"/>
                <w:lang w:eastAsia="lv-LV"/>
              </w:rPr>
              <w:t>""</w:t>
            </w:r>
            <w:r w:rsidRPr="00B276C5">
              <w:rPr>
                <w:rFonts w:ascii="Times New Roman" w:eastAsia="Times New Roman" w:hAnsi="Times New Roman" w:cs="Times New Roman"/>
                <w:sz w:val="24"/>
                <w:szCs w:val="24"/>
                <w:lang w:eastAsia="lv-LV"/>
              </w:rPr>
              <w:t xml:space="preserve"> (24-TA-1400) .</w:t>
            </w:r>
          </w:p>
          <w:p w14:paraId="0AFCEDB1" w14:textId="77777777" w:rsidR="00B276C5" w:rsidRPr="00B276C5" w:rsidRDefault="00B276C5" w:rsidP="003D6DD3">
            <w:pPr>
              <w:jc w:val="both"/>
              <w:rPr>
                <w:rFonts w:ascii="Times New Roman" w:eastAsia="Times New Roman" w:hAnsi="Times New Roman" w:cs="Times New Roman"/>
                <w:sz w:val="24"/>
                <w:szCs w:val="24"/>
                <w:lang w:eastAsia="lv-LV"/>
              </w:rPr>
            </w:pPr>
          </w:p>
          <w:p w14:paraId="7438D2DF" w14:textId="014C93FD" w:rsidR="00E23FFB" w:rsidRPr="00B276C5" w:rsidRDefault="00B276C5" w:rsidP="003D6DD3">
            <w:pPr>
              <w:jc w:val="both"/>
              <w:rPr>
                <w:rFonts w:ascii="Times New Roman" w:eastAsia="Times New Roman" w:hAnsi="Times New Roman" w:cs="Times New Roman"/>
                <w:sz w:val="24"/>
                <w:szCs w:val="24"/>
                <w:lang w:eastAsia="lv-LV"/>
              </w:rPr>
            </w:pPr>
            <w:r w:rsidRPr="00B276C5">
              <w:rPr>
                <w:rFonts w:ascii="Times New Roman" w:eastAsia="Times New Roman" w:hAnsi="Times New Roman" w:cs="Times New Roman"/>
                <w:sz w:val="24"/>
                <w:szCs w:val="24"/>
                <w:lang w:eastAsia="lv-LV"/>
              </w:rPr>
              <w:t xml:space="preserve">Pievēršam uzmanību, ka Pensiju fondiem investīcijas ir diezgan plašā spektrā un viens indekss priekš EQ/FI neatspoguļo katra pensiju plāna ieguldījumus. </w:t>
            </w:r>
          </w:p>
        </w:tc>
        <w:tc>
          <w:tcPr>
            <w:tcW w:w="4172" w:type="dxa"/>
          </w:tcPr>
          <w:p w14:paraId="3A5891E7" w14:textId="77777777" w:rsidR="00AC0F79" w:rsidRPr="00AC0F79" w:rsidRDefault="00AC0F79" w:rsidP="003D6DD3">
            <w:pPr>
              <w:jc w:val="both"/>
              <w:rPr>
                <w:rFonts w:ascii="Times New Roman" w:hAnsi="Times New Roman" w:cs="Times New Roman"/>
                <w:b/>
                <w:bCs/>
                <w:sz w:val="24"/>
                <w:szCs w:val="24"/>
              </w:rPr>
            </w:pPr>
            <w:r w:rsidRPr="00AC0F79">
              <w:rPr>
                <w:rFonts w:ascii="Times New Roman" w:hAnsi="Times New Roman" w:cs="Times New Roman"/>
                <w:b/>
                <w:bCs/>
                <w:sz w:val="24"/>
                <w:szCs w:val="24"/>
              </w:rPr>
              <w:lastRenderedPageBreak/>
              <w:t>Ņemts vērā.</w:t>
            </w:r>
          </w:p>
          <w:p w14:paraId="1C328A08" w14:textId="77777777" w:rsidR="00BA1C43" w:rsidRPr="00AC0F79" w:rsidRDefault="00BA1C43" w:rsidP="003E67CA">
            <w:pPr>
              <w:jc w:val="both"/>
              <w:rPr>
                <w:rFonts w:ascii="Times New Roman" w:hAnsi="Times New Roman" w:cs="Times New Roman"/>
                <w:b/>
                <w:bCs/>
                <w:sz w:val="24"/>
                <w:szCs w:val="24"/>
              </w:rPr>
            </w:pPr>
          </w:p>
          <w:p w14:paraId="42FEB92F" w14:textId="00AA0431" w:rsidR="00E23FFB" w:rsidRPr="00B276C5" w:rsidRDefault="00AC0F79" w:rsidP="003D6DD3">
            <w:pPr>
              <w:jc w:val="both"/>
              <w:rPr>
                <w:rFonts w:ascii="Times New Roman" w:hAnsi="Times New Roman" w:cs="Times New Roman"/>
                <w:sz w:val="24"/>
                <w:szCs w:val="24"/>
              </w:rPr>
            </w:pPr>
            <w:r w:rsidRPr="00AC0F79">
              <w:rPr>
                <w:rFonts w:ascii="Times New Roman" w:hAnsi="Times New Roman" w:cs="Times New Roman"/>
                <w:sz w:val="24"/>
                <w:szCs w:val="24"/>
              </w:rPr>
              <w:t xml:space="preserve">Pārstrādātā noteikumu projekta redakcija nosaka, ka prognožu aprēķinam piemēro </w:t>
            </w:r>
            <w:r w:rsidRPr="00AC0F79">
              <w:rPr>
                <w:rFonts w:ascii="Times New Roman" w:hAnsi="Times New Roman" w:cs="Times New Roman"/>
                <w:sz w:val="24"/>
                <w:szCs w:val="24"/>
              </w:rPr>
              <w:lastRenderedPageBreak/>
              <w:t>PRIIPs regulā noteiktās prasības, tādēļ visas sākotnējā noteikumu projektā iekļautās 8. un 9.</w:t>
            </w:r>
            <w:r w:rsidR="0091059E">
              <w:rPr>
                <w:rFonts w:ascii="Times New Roman" w:hAnsi="Times New Roman" w:cs="Times New Roman"/>
                <w:sz w:val="24"/>
                <w:szCs w:val="24"/>
              </w:rPr>
              <w:t> </w:t>
            </w:r>
            <w:r w:rsidRPr="00AC0F79">
              <w:rPr>
                <w:rFonts w:ascii="Times New Roman" w:hAnsi="Times New Roman" w:cs="Times New Roman"/>
                <w:sz w:val="24"/>
                <w:szCs w:val="24"/>
              </w:rPr>
              <w:t>punkt</w:t>
            </w:r>
            <w:r w:rsidR="0059249F">
              <w:rPr>
                <w:rFonts w:ascii="Times New Roman" w:hAnsi="Times New Roman" w:cs="Times New Roman"/>
                <w:sz w:val="24"/>
                <w:szCs w:val="24"/>
              </w:rPr>
              <w:t>a</w:t>
            </w:r>
            <w:r w:rsidRPr="00AC0F79">
              <w:rPr>
                <w:rFonts w:ascii="Times New Roman" w:hAnsi="Times New Roman" w:cs="Times New Roman"/>
                <w:sz w:val="24"/>
                <w:szCs w:val="24"/>
              </w:rPr>
              <w:t xml:space="preserve"> prasības ir izslēgtas un nav aktuālas.</w:t>
            </w:r>
          </w:p>
        </w:tc>
      </w:tr>
      <w:tr w:rsidR="00E23FFB" w:rsidRPr="00B276C5" w14:paraId="246840B9" w14:textId="77777777" w:rsidTr="0020694F">
        <w:tc>
          <w:tcPr>
            <w:tcW w:w="943" w:type="dxa"/>
          </w:tcPr>
          <w:p w14:paraId="1ECE32CE" w14:textId="77777777" w:rsidR="00E23FFB" w:rsidRPr="00B276C5" w:rsidRDefault="00E23FFB" w:rsidP="003F4248">
            <w:pPr>
              <w:spacing w:before="240"/>
              <w:jc w:val="both"/>
              <w:outlineLvl w:val="0"/>
              <w:rPr>
                <w:rFonts w:ascii="Times New Roman" w:eastAsia="Times New Roman" w:hAnsi="Times New Roman" w:cs="Times New Roman"/>
                <w:b/>
                <w:bCs/>
                <w:sz w:val="24"/>
                <w:szCs w:val="24"/>
                <w:lang w:eastAsia="lv-LV"/>
              </w:rPr>
            </w:pPr>
          </w:p>
        </w:tc>
        <w:tc>
          <w:tcPr>
            <w:tcW w:w="4439" w:type="dxa"/>
          </w:tcPr>
          <w:p w14:paraId="677FD0D7" w14:textId="77777777" w:rsidR="00E23FFB" w:rsidRPr="00B276C5" w:rsidRDefault="00E23FFB" w:rsidP="00E23FFB">
            <w:pPr>
              <w:ind w:firstLine="596"/>
              <w:jc w:val="both"/>
              <w:rPr>
                <w:rFonts w:ascii="Times New Roman" w:eastAsia="Aptos" w:hAnsi="Times New Roman" w:cs="Times New Roman"/>
                <w:sz w:val="24"/>
                <w:szCs w:val="24"/>
                <w14:ligatures w14:val="standardContextual"/>
              </w:rPr>
            </w:pPr>
          </w:p>
        </w:tc>
        <w:tc>
          <w:tcPr>
            <w:tcW w:w="4394" w:type="dxa"/>
          </w:tcPr>
          <w:p w14:paraId="2D7BB74D" w14:textId="59E623A8" w:rsidR="00E23FFB" w:rsidRPr="00B276C5" w:rsidRDefault="00B276C5" w:rsidP="003D6DD3">
            <w:pPr>
              <w:jc w:val="both"/>
              <w:rPr>
                <w:rFonts w:ascii="Times New Roman" w:eastAsia="Times New Roman" w:hAnsi="Times New Roman" w:cs="Times New Roman"/>
                <w:sz w:val="24"/>
                <w:szCs w:val="24"/>
                <w:lang w:eastAsia="lv-LV"/>
              </w:rPr>
            </w:pPr>
            <w:r w:rsidRPr="00B276C5">
              <w:rPr>
                <w:rFonts w:ascii="Times New Roman" w:eastAsia="Aptos" w:hAnsi="Times New Roman" w:cs="Times New Roman"/>
                <w:sz w:val="24"/>
                <w:szCs w:val="24"/>
                <w14:ligatures w14:val="standardContextual"/>
              </w:rPr>
              <w:t>Šobrīd spēkā esošo noteikumu regulējums (8 un 9.</w:t>
            </w:r>
            <w:r w:rsidR="00BA1C43">
              <w:rPr>
                <w:rFonts w:ascii="Times New Roman" w:eastAsia="Aptos" w:hAnsi="Times New Roman" w:cs="Times New Roman"/>
                <w:sz w:val="24"/>
                <w:szCs w:val="24"/>
                <w14:ligatures w14:val="standardContextual"/>
              </w:rPr>
              <w:t> </w:t>
            </w:r>
            <w:r w:rsidRPr="00B276C5">
              <w:rPr>
                <w:rFonts w:ascii="Times New Roman" w:eastAsia="Aptos" w:hAnsi="Times New Roman" w:cs="Times New Roman"/>
                <w:sz w:val="24"/>
                <w:szCs w:val="24"/>
                <w14:ligatures w14:val="standardContextual"/>
              </w:rPr>
              <w:t>punkts) nosaka, kādi makroekonomiskie rādītāji jāpiemēro prognožu aprēķinos. Noteikumu projektā nav šāda regulējuma. Lūdzam skaidrot apsvērumus par to, kāpēc šie makroekonomiskie rādītāji vairs nav jāpiemēro.</w:t>
            </w:r>
          </w:p>
        </w:tc>
        <w:tc>
          <w:tcPr>
            <w:tcW w:w="4172" w:type="dxa"/>
          </w:tcPr>
          <w:p w14:paraId="709E1FA5" w14:textId="77777777" w:rsidR="00E23FFB" w:rsidRPr="00AC0F79" w:rsidRDefault="00AC0F79" w:rsidP="003D6DD3">
            <w:pPr>
              <w:jc w:val="both"/>
              <w:rPr>
                <w:rFonts w:ascii="Times New Roman" w:hAnsi="Times New Roman" w:cs="Times New Roman"/>
                <w:b/>
                <w:bCs/>
                <w:sz w:val="24"/>
                <w:szCs w:val="24"/>
              </w:rPr>
            </w:pPr>
            <w:r w:rsidRPr="00AC0F79">
              <w:rPr>
                <w:rFonts w:ascii="Times New Roman" w:hAnsi="Times New Roman" w:cs="Times New Roman"/>
                <w:b/>
                <w:bCs/>
                <w:sz w:val="24"/>
                <w:szCs w:val="24"/>
              </w:rPr>
              <w:t>Ņemts vērā.</w:t>
            </w:r>
          </w:p>
          <w:p w14:paraId="6CF2BA32" w14:textId="77777777" w:rsidR="00BA1C43" w:rsidRPr="00AC0F79" w:rsidRDefault="00BA1C43" w:rsidP="003E67CA">
            <w:pPr>
              <w:jc w:val="both"/>
              <w:rPr>
                <w:rFonts w:ascii="Times New Roman" w:hAnsi="Times New Roman" w:cs="Times New Roman"/>
                <w:b/>
                <w:bCs/>
                <w:sz w:val="24"/>
                <w:szCs w:val="24"/>
              </w:rPr>
            </w:pPr>
          </w:p>
          <w:p w14:paraId="7E33CDB9" w14:textId="36DE0C05" w:rsidR="00AC0F79" w:rsidRPr="00B276C5" w:rsidRDefault="00CA281E" w:rsidP="003D6DD3">
            <w:pPr>
              <w:jc w:val="both"/>
              <w:rPr>
                <w:rFonts w:ascii="Times New Roman" w:hAnsi="Times New Roman" w:cs="Times New Roman"/>
                <w:sz w:val="24"/>
                <w:szCs w:val="24"/>
              </w:rPr>
            </w:pPr>
            <w:r>
              <w:rPr>
                <w:rFonts w:ascii="Times New Roman" w:hAnsi="Times New Roman" w:cs="Times New Roman"/>
                <w:sz w:val="24"/>
                <w:szCs w:val="24"/>
              </w:rPr>
              <w:t>Pārstrādātajā noteikumu projektā iekļauts 8.1. apakšpunkts</w:t>
            </w:r>
            <w:r w:rsidR="003E67CA">
              <w:rPr>
                <w:rFonts w:ascii="Times New Roman" w:hAnsi="Times New Roman" w:cs="Times New Roman"/>
                <w:sz w:val="24"/>
                <w:szCs w:val="24"/>
              </w:rPr>
              <w:t>,</w:t>
            </w:r>
            <w:r>
              <w:rPr>
                <w:rFonts w:ascii="Times New Roman" w:hAnsi="Times New Roman" w:cs="Times New Roman"/>
                <w:sz w:val="24"/>
                <w:szCs w:val="24"/>
              </w:rPr>
              <w:t xml:space="preserve"> nosakot prasību ņemt vērā makroekonomisko rādītāju prognozes, tai skaitā vismaz inflācijas rādītāju.</w:t>
            </w:r>
          </w:p>
        </w:tc>
      </w:tr>
    </w:tbl>
    <w:p w14:paraId="7964652A" w14:textId="77777777" w:rsidR="00272B3D" w:rsidRPr="00B276C5" w:rsidRDefault="00272B3D" w:rsidP="00272B3D">
      <w:pPr>
        <w:spacing w:after="0" w:line="240" w:lineRule="auto"/>
        <w:rPr>
          <w:rFonts w:ascii="Times New Roman" w:hAnsi="Times New Roman" w:cs="Times New Roman"/>
          <w:color w:val="000000" w:themeColor="text1"/>
          <w:sz w:val="24"/>
          <w:szCs w:val="24"/>
        </w:rPr>
      </w:pPr>
    </w:p>
    <w:sectPr w:rsidR="00272B3D" w:rsidRPr="00B276C5" w:rsidSect="00272B3D">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2D2B1" w14:textId="77777777" w:rsidR="00220B07" w:rsidRDefault="00220B07" w:rsidP="004D7D20">
      <w:pPr>
        <w:spacing w:after="0" w:line="240" w:lineRule="auto"/>
      </w:pPr>
      <w:r>
        <w:separator/>
      </w:r>
    </w:p>
  </w:endnote>
  <w:endnote w:type="continuationSeparator" w:id="0">
    <w:p w14:paraId="63EF730F" w14:textId="77777777" w:rsidR="00220B07" w:rsidRDefault="00220B07" w:rsidP="004D7D20">
      <w:pPr>
        <w:spacing w:after="0" w:line="240" w:lineRule="auto"/>
      </w:pPr>
      <w:r>
        <w:continuationSeparator/>
      </w:r>
    </w:p>
  </w:endnote>
  <w:endnote w:type="continuationNotice" w:id="1">
    <w:p w14:paraId="31A10523" w14:textId="77777777" w:rsidR="003D6DD3" w:rsidRDefault="003D6D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5E093" w14:textId="77777777" w:rsidR="003D6DD3" w:rsidRDefault="003D6D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289D6E" w14:textId="77777777" w:rsidR="00220B07" w:rsidRDefault="00220B07" w:rsidP="004D7D20">
      <w:pPr>
        <w:spacing w:after="0" w:line="240" w:lineRule="auto"/>
      </w:pPr>
      <w:r>
        <w:separator/>
      </w:r>
    </w:p>
  </w:footnote>
  <w:footnote w:type="continuationSeparator" w:id="0">
    <w:p w14:paraId="0468A2B3" w14:textId="77777777" w:rsidR="00220B07" w:rsidRDefault="00220B07" w:rsidP="004D7D20">
      <w:pPr>
        <w:spacing w:after="0" w:line="240" w:lineRule="auto"/>
      </w:pPr>
      <w:r>
        <w:continuationSeparator/>
      </w:r>
    </w:p>
  </w:footnote>
  <w:footnote w:type="continuationNotice" w:id="1">
    <w:p w14:paraId="6C75AEE3" w14:textId="77777777" w:rsidR="003D6DD3" w:rsidRDefault="003D6D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7450493"/>
      <w:docPartObj>
        <w:docPartGallery w:val="Page Numbers (Top of Page)"/>
        <w:docPartUnique/>
      </w:docPartObj>
    </w:sdtPr>
    <w:sdtEndPr>
      <w:rPr>
        <w:rFonts w:ascii="Times New Roman" w:hAnsi="Times New Roman" w:cs="Times New Roman"/>
        <w:sz w:val="24"/>
        <w:szCs w:val="24"/>
      </w:rPr>
    </w:sdtEndPr>
    <w:sdtContent>
      <w:p w14:paraId="6AB3F191" w14:textId="6907065D" w:rsidR="001F4EF1" w:rsidRPr="0018184F" w:rsidRDefault="001F4EF1">
        <w:pPr>
          <w:pStyle w:val="Header"/>
          <w:jc w:val="center"/>
          <w:rPr>
            <w:rFonts w:ascii="Times New Roman" w:hAnsi="Times New Roman" w:cs="Times New Roman"/>
            <w:sz w:val="24"/>
            <w:szCs w:val="24"/>
          </w:rPr>
        </w:pPr>
        <w:r w:rsidRPr="0018184F">
          <w:rPr>
            <w:rFonts w:ascii="Times New Roman" w:hAnsi="Times New Roman" w:cs="Times New Roman"/>
            <w:sz w:val="24"/>
            <w:szCs w:val="24"/>
          </w:rPr>
          <w:fldChar w:fldCharType="begin"/>
        </w:r>
        <w:r w:rsidRPr="0018184F">
          <w:rPr>
            <w:rFonts w:ascii="Times New Roman" w:hAnsi="Times New Roman" w:cs="Times New Roman"/>
            <w:sz w:val="24"/>
            <w:szCs w:val="24"/>
          </w:rPr>
          <w:instrText>PAGE   \* MERGEFORMAT</w:instrText>
        </w:r>
        <w:r w:rsidRPr="0018184F">
          <w:rPr>
            <w:rFonts w:ascii="Times New Roman" w:hAnsi="Times New Roman" w:cs="Times New Roman"/>
            <w:sz w:val="24"/>
            <w:szCs w:val="24"/>
          </w:rPr>
          <w:fldChar w:fldCharType="separate"/>
        </w:r>
        <w:r w:rsidRPr="0018184F">
          <w:rPr>
            <w:rFonts w:ascii="Times New Roman" w:hAnsi="Times New Roman" w:cs="Times New Roman"/>
            <w:sz w:val="24"/>
            <w:szCs w:val="24"/>
          </w:rPr>
          <w:t>2</w:t>
        </w:r>
        <w:r w:rsidRPr="0018184F">
          <w:rPr>
            <w:rFonts w:ascii="Times New Roman" w:hAnsi="Times New Roman" w:cs="Times New Roman"/>
            <w:sz w:val="24"/>
            <w:szCs w:val="24"/>
          </w:rPr>
          <w:fldChar w:fldCharType="end"/>
        </w:r>
      </w:p>
    </w:sdtContent>
  </w:sdt>
  <w:p w14:paraId="4713B36F" w14:textId="77777777" w:rsidR="00914B51" w:rsidRDefault="00914B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3B2170"/>
    <w:multiLevelType w:val="hybridMultilevel"/>
    <w:tmpl w:val="C0B43BC2"/>
    <w:lvl w:ilvl="0" w:tplc="04260011">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FFB42F2"/>
    <w:multiLevelType w:val="hybridMultilevel"/>
    <w:tmpl w:val="BA96983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A3943EE"/>
    <w:multiLevelType w:val="hybridMultilevel"/>
    <w:tmpl w:val="0F548D9E"/>
    <w:lvl w:ilvl="0" w:tplc="6AF48CB0">
      <w:start w:val="1"/>
      <w:numFmt w:val="decimal"/>
      <w:lvlText w:val="%1)"/>
      <w:lvlJc w:val="left"/>
      <w:pPr>
        <w:ind w:left="720" w:hanging="360"/>
      </w:pPr>
      <w:rPr>
        <w:rFonts w:eastAsiaTheme="minorHAnsi" w:hint="default"/>
        <w:b w:val="0"/>
        <w:bCs/>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A503F61"/>
    <w:multiLevelType w:val="hybridMultilevel"/>
    <w:tmpl w:val="5F0AA1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E462498"/>
    <w:multiLevelType w:val="hybridMultilevel"/>
    <w:tmpl w:val="427E457E"/>
    <w:lvl w:ilvl="0" w:tplc="ED0EDB0E">
      <w:start w:val="2023"/>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58F611BD"/>
    <w:multiLevelType w:val="hybridMultilevel"/>
    <w:tmpl w:val="B336C4A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9D1651A"/>
    <w:multiLevelType w:val="hybridMultilevel"/>
    <w:tmpl w:val="BE7A03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4D863B4"/>
    <w:multiLevelType w:val="hybridMultilevel"/>
    <w:tmpl w:val="5178C144"/>
    <w:lvl w:ilvl="0" w:tplc="D80E3586">
      <w:start w:val="1"/>
      <w:numFmt w:val="decimal"/>
      <w:lvlText w:val="%1)"/>
      <w:lvlJc w:val="left"/>
      <w:pPr>
        <w:ind w:left="644" w:hanging="360"/>
      </w:pPr>
      <w:rPr>
        <w:rFonts w:eastAsiaTheme="minorHAnsi" w:hint="default"/>
        <w:b w:val="0"/>
        <w:bCs/>
        <w:color w:val="000000" w:themeColor="text1"/>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16cid:durableId="2020741383">
    <w:abstractNumId w:val="4"/>
  </w:num>
  <w:num w:numId="2" w16cid:durableId="219558385">
    <w:abstractNumId w:val="3"/>
  </w:num>
  <w:num w:numId="3" w16cid:durableId="253784293">
    <w:abstractNumId w:val="6"/>
  </w:num>
  <w:num w:numId="4" w16cid:durableId="1561595583">
    <w:abstractNumId w:val="5"/>
  </w:num>
  <w:num w:numId="5" w16cid:durableId="249589050">
    <w:abstractNumId w:val="2"/>
  </w:num>
  <w:num w:numId="6" w16cid:durableId="1527475671">
    <w:abstractNumId w:val="7"/>
  </w:num>
  <w:num w:numId="7" w16cid:durableId="1752435063">
    <w:abstractNumId w:val="1"/>
  </w:num>
  <w:num w:numId="8" w16cid:durableId="1752120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D20"/>
    <w:rsid w:val="00005D3B"/>
    <w:rsid w:val="000064B0"/>
    <w:rsid w:val="00013443"/>
    <w:rsid w:val="000151B7"/>
    <w:rsid w:val="000161E9"/>
    <w:rsid w:val="0003590D"/>
    <w:rsid w:val="000424A4"/>
    <w:rsid w:val="000434F8"/>
    <w:rsid w:val="000435A0"/>
    <w:rsid w:val="000508B6"/>
    <w:rsid w:val="00052B8F"/>
    <w:rsid w:val="00053045"/>
    <w:rsid w:val="000620CA"/>
    <w:rsid w:val="00070518"/>
    <w:rsid w:val="000711B5"/>
    <w:rsid w:val="000754BB"/>
    <w:rsid w:val="00080175"/>
    <w:rsid w:val="00083B07"/>
    <w:rsid w:val="00084683"/>
    <w:rsid w:val="00090BE5"/>
    <w:rsid w:val="00093104"/>
    <w:rsid w:val="00093390"/>
    <w:rsid w:val="00094025"/>
    <w:rsid w:val="00095825"/>
    <w:rsid w:val="000A0EE9"/>
    <w:rsid w:val="000A360D"/>
    <w:rsid w:val="000A49BC"/>
    <w:rsid w:val="000B0418"/>
    <w:rsid w:val="000B0F0C"/>
    <w:rsid w:val="000B18AB"/>
    <w:rsid w:val="000B1C7D"/>
    <w:rsid w:val="000B491E"/>
    <w:rsid w:val="000B4A2E"/>
    <w:rsid w:val="000B4B85"/>
    <w:rsid w:val="000B78B0"/>
    <w:rsid w:val="000C3D3E"/>
    <w:rsid w:val="000C4902"/>
    <w:rsid w:val="000C5A78"/>
    <w:rsid w:val="000C76AC"/>
    <w:rsid w:val="000D6E98"/>
    <w:rsid w:val="000D7B1E"/>
    <w:rsid w:val="000D7D7D"/>
    <w:rsid w:val="000E0289"/>
    <w:rsid w:val="000E1D27"/>
    <w:rsid w:val="000E5859"/>
    <w:rsid w:val="000E6700"/>
    <w:rsid w:val="000E7A67"/>
    <w:rsid w:val="000F752E"/>
    <w:rsid w:val="00100A93"/>
    <w:rsid w:val="0010365E"/>
    <w:rsid w:val="0010496E"/>
    <w:rsid w:val="0011303F"/>
    <w:rsid w:val="001133A1"/>
    <w:rsid w:val="001143B9"/>
    <w:rsid w:val="00114A09"/>
    <w:rsid w:val="00120B7E"/>
    <w:rsid w:val="00123692"/>
    <w:rsid w:val="00124E98"/>
    <w:rsid w:val="00147132"/>
    <w:rsid w:val="00147622"/>
    <w:rsid w:val="0015367A"/>
    <w:rsid w:val="00153B44"/>
    <w:rsid w:val="001542D5"/>
    <w:rsid w:val="00163E05"/>
    <w:rsid w:val="00170221"/>
    <w:rsid w:val="00171022"/>
    <w:rsid w:val="00171027"/>
    <w:rsid w:val="00171BCB"/>
    <w:rsid w:val="0018184F"/>
    <w:rsid w:val="001827C1"/>
    <w:rsid w:val="0018395C"/>
    <w:rsid w:val="00184704"/>
    <w:rsid w:val="0018544C"/>
    <w:rsid w:val="00187BC0"/>
    <w:rsid w:val="00190A3D"/>
    <w:rsid w:val="00190DDF"/>
    <w:rsid w:val="001A2F7D"/>
    <w:rsid w:val="001A77AD"/>
    <w:rsid w:val="001C03E8"/>
    <w:rsid w:val="001D0779"/>
    <w:rsid w:val="001D09A2"/>
    <w:rsid w:val="001D1F57"/>
    <w:rsid w:val="001E045D"/>
    <w:rsid w:val="001E0BB0"/>
    <w:rsid w:val="001E34F2"/>
    <w:rsid w:val="001E42C3"/>
    <w:rsid w:val="001E701B"/>
    <w:rsid w:val="001F4814"/>
    <w:rsid w:val="001F4EF1"/>
    <w:rsid w:val="001F60BD"/>
    <w:rsid w:val="001F61C1"/>
    <w:rsid w:val="001F6CE3"/>
    <w:rsid w:val="00200F33"/>
    <w:rsid w:val="00202AE7"/>
    <w:rsid w:val="0020468E"/>
    <w:rsid w:val="0020694F"/>
    <w:rsid w:val="00207652"/>
    <w:rsid w:val="00210B1F"/>
    <w:rsid w:val="00210DC8"/>
    <w:rsid w:val="002113FD"/>
    <w:rsid w:val="00211D34"/>
    <w:rsid w:val="002126D1"/>
    <w:rsid w:val="00212A26"/>
    <w:rsid w:val="00213E69"/>
    <w:rsid w:val="002155A8"/>
    <w:rsid w:val="0021670E"/>
    <w:rsid w:val="00220B07"/>
    <w:rsid w:val="00220B6E"/>
    <w:rsid w:val="00220EB4"/>
    <w:rsid w:val="0022165C"/>
    <w:rsid w:val="00222660"/>
    <w:rsid w:val="00222B03"/>
    <w:rsid w:val="002236AC"/>
    <w:rsid w:val="0022614E"/>
    <w:rsid w:val="002378B0"/>
    <w:rsid w:val="002408A7"/>
    <w:rsid w:val="00242E4C"/>
    <w:rsid w:val="002444B9"/>
    <w:rsid w:val="00245BE9"/>
    <w:rsid w:val="00246C08"/>
    <w:rsid w:val="00251046"/>
    <w:rsid w:val="00253CC3"/>
    <w:rsid w:val="002545A1"/>
    <w:rsid w:val="00255F29"/>
    <w:rsid w:val="002621A4"/>
    <w:rsid w:val="00262A34"/>
    <w:rsid w:val="00264A42"/>
    <w:rsid w:val="00267DB0"/>
    <w:rsid w:val="0027276E"/>
    <w:rsid w:val="00272B3D"/>
    <w:rsid w:val="00283B21"/>
    <w:rsid w:val="00283D41"/>
    <w:rsid w:val="00284336"/>
    <w:rsid w:val="0029575A"/>
    <w:rsid w:val="002A339E"/>
    <w:rsid w:val="002A6CA2"/>
    <w:rsid w:val="002A7FBC"/>
    <w:rsid w:val="002B53AD"/>
    <w:rsid w:val="002B7368"/>
    <w:rsid w:val="002C4E0D"/>
    <w:rsid w:val="002C6295"/>
    <w:rsid w:val="002D09E1"/>
    <w:rsid w:val="002D3FFE"/>
    <w:rsid w:val="002D4A37"/>
    <w:rsid w:val="002E1327"/>
    <w:rsid w:val="002E5FC9"/>
    <w:rsid w:val="002E635F"/>
    <w:rsid w:val="002F017B"/>
    <w:rsid w:val="002F10D7"/>
    <w:rsid w:val="002F1C0C"/>
    <w:rsid w:val="00300178"/>
    <w:rsid w:val="00304AD5"/>
    <w:rsid w:val="0030749C"/>
    <w:rsid w:val="003118D1"/>
    <w:rsid w:val="00312CED"/>
    <w:rsid w:val="00313DCA"/>
    <w:rsid w:val="00316588"/>
    <w:rsid w:val="00316B11"/>
    <w:rsid w:val="00317F16"/>
    <w:rsid w:val="00321062"/>
    <w:rsid w:val="00324765"/>
    <w:rsid w:val="003260EC"/>
    <w:rsid w:val="00326F2F"/>
    <w:rsid w:val="003311CD"/>
    <w:rsid w:val="0033120C"/>
    <w:rsid w:val="00331694"/>
    <w:rsid w:val="003340A7"/>
    <w:rsid w:val="00342ED8"/>
    <w:rsid w:val="00343634"/>
    <w:rsid w:val="003442A2"/>
    <w:rsid w:val="003502E8"/>
    <w:rsid w:val="00350CEB"/>
    <w:rsid w:val="003514E7"/>
    <w:rsid w:val="003528D3"/>
    <w:rsid w:val="00352A34"/>
    <w:rsid w:val="003537BC"/>
    <w:rsid w:val="00361DD9"/>
    <w:rsid w:val="0036658F"/>
    <w:rsid w:val="00366CC3"/>
    <w:rsid w:val="003770FF"/>
    <w:rsid w:val="003876A6"/>
    <w:rsid w:val="003912A6"/>
    <w:rsid w:val="0039219C"/>
    <w:rsid w:val="0039234F"/>
    <w:rsid w:val="00392C6F"/>
    <w:rsid w:val="003934A3"/>
    <w:rsid w:val="00396BD7"/>
    <w:rsid w:val="003A1547"/>
    <w:rsid w:val="003A7C34"/>
    <w:rsid w:val="003B01FF"/>
    <w:rsid w:val="003B0CFE"/>
    <w:rsid w:val="003B0F31"/>
    <w:rsid w:val="003B33BA"/>
    <w:rsid w:val="003B5C31"/>
    <w:rsid w:val="003B5D29"/>
    <w:rsid w:val="003B64AC"/>
    <w:rsid w:val="003B7C70"/>
    <w:rsid w:val="003C2B3E"/>
    <w:rsid w:val="003C66B5"/>
    <w:rsid w:val="003C7DF0"/>
    <w:rsid w:val="003D16BA"/>
    <w:rsid w:val="003D1C04"/>
    <w:rsid w:val="003D3435"/>
    <w:rsid w:val="003D6DD3"/>
    <w:rsid w:val="003E0020"/>
    <w:rsid w:val="003E04EB"/>
    <w:rsid w:val="003E188C"/>
    <w:rsid w:val="003E559F"/>
    <w:rsid w:val="003E67CA"/>
    <w:rsid w:val="003F20B8"/>
    <w:rsid w:val="003F28DE"/>
    <w:rsid w:val="003F2BDA"/>
    <w:rsid w:val="0040095C"/>
    <w:rsid w:val="00404CD6"/>
    <w:rsid w:val="004050B5"/>
    <w:rsid w:val="0041157E"/>
    <w:rsid w:val="00422A7C"/>
    <w:rsid w:val="00425EFF"/>
    <w:rsid w:val="00426B2C"/>
    <w:rsid w:val="00430307"/>
    <w:rsid w:val="00430443"/>
    <w:rsid w:val="00430A44"/>
    <w:rsid w:val="00437266"/>
    <w:rsid w:val="00441B3E"/>
    <w:rsid w:val="00442D8A"/>
    <w:rsid w:val="0044564D"/>
    <w:rsid w:val="004463D3"/>
    <w:rsid w:val="00450105"/>
    <w:rsid w:val="0045084D"/>
    <w:rsid w:val="00450C86"/>
    <w:rsid w:val="00456FAA"/>
    <w:rsid w:val="00460FAE"/>
    <w:rsid w:val="004615E5"/>
    <w:rsid w:val="0046451C"/>
    <w:rsid w:val="00465DD0"/>
    <w:rsid w:val="00474807"/>
    <w:rsid w:val="004772FB"/>
    <w:rsid w:val="00481633"/>
    <w:rsid w:val="004816A5"/>
    <w:rsid w:val="00481987"/>
    <w:rsid w:val="00483096"/>
    <w:rsid w:val="00483FEF"/>
    <w:rsid w:val="00484225"/>
    <w:rsid w:val="00494F09"/>
    <w:rsid w:val="004A5D40"/>
    <w:rsid w:val="004A6F4E"/>
    <w:rsid w:val="004B1DE5"/>
    <w:rsid w:val="004B3BBE"/>
    <w:rsid w:val="004B6B4B"/>
    <w:rsid w:val="004C1527"/>
    <w:rsid w:val="004C4324"/>
    <w:rsid w:val="004D065F"/>
    <w:rsid w:val="004D1EB8"/>
    <w:rsid w:val="004D5218"/>
    <w:rsid w:val="004D63C1"/>
    <w:rsid w:val="004D7821"/>
    <w:rsid w:val="004D7D20"/>
    <w:rsid w:val="004E0F0D"/>
    <w:rsid w:val="004E1445"/>
    <w:rsid w:val="004E2C66"/>
    <w:rsid w:val="004E3E7D"/>
    <w:rsid w:val="004E57D1"/>
    <w:rsid w:val="004E638F"/>
    <w:rsid w:val="004F068C"/>
    <w:rsid w:val="004F0FE1"/>
    <w:rsid w:val="004F226D"/>
    <w:rsid w:val="004F4693"/>
    <w:rsid w:val="004F5C09"/>
    <w:rsid w:val="004F756C"/>
    <w:rsid w:val="005028D8"/>
    <w:rsid w:val="0050352A"/>
    <w:rsid w:val="00503C7F"/>
    <w:rsid w:val="00504FEA"/>
    <w:rsid w:val="0050610A"/>
    <w:rsid w:val="00512B97"/>
    <w:rsid w:val="00513099"/>
    <w:rsid w:val="00520B95"/>
    <w:rsid w:val="005255B2"/>
    <w:rsid w:val="0052655A"/>
    <w:rsid w:val="00526F3D"/>
    <w:rsid w:val="005322CF"/>
    <w:rsid w:val="00533C38"/>
    <w:rsid w:val="005364B7"/>
    <w:rsid w:val="00541E16"/>
    <w:rsid w:val="005441A6"/>
    <w:rsid w:val="0055187E"/>
    <w:rsid w:val="00553DBF"/>
    <w:rsid w:val="0056003E"/>
    <w:rsid w:val="00561840"/>
    <w:rsid w:val="00563073"/>
    <w:rsid w:val="00564771"/>
    <w:rsid w:val="00567DEF"/>
    <w:rsid w:val="005717A7"/>
    <w:rsid w:val="00571F5D"/>
    <w:rsid w:val="005721A2"/>
    <w:rsid w:val="00572AC8"/>
    <w:rsid w:val="00572BF3"/>
    <w:rsid w:val="0057360C"/>
    <w:rsid w:val="00573BDC"/>
    <w:rsid w:val="00577222"/>
    <w:rsid w:val="00580783"/>
    <w:rsid w:val="0059070B"/>
    <w:rsid w:val="00590EF4"/>
    <w:rsid w:val="0059249F"/>
    <w:rsid w:val="00592E64"/>
    <w:rsid w:val="005936F6"/>
    <w:rsid w:val="00593C7F"/>
    <w:rsid w:val="00593EB6"/>
    <w:rsid w:val="005945BA"/>
    <w:rsid w:val="00595003"/>
    <w:rsid w:val="0059513F"/>
    <w:rsid w:val="005A2AB1"/>
    <w:rsid w:val="005A371C"/>
    <w:rsid w:val="005B0D79"/>
    <w:rsid w:val="005B38B3"/>
    <w:rsid w:val="005B682A"/>
    <w:rsid w:val="005B73FE"/>
    <w:rsid w:val="005B7F87"/>
    <w:rsid w:val="005C66D7"/>
    <w:rsid w:val="005C6F27"/>
    <w:rsid w:val="005C7A4E"/>
    <w:rsid w:val="005D0938"/>
    <w:rsid w:val="005D1EB8"/>
    <w:rsid w:val="005D5510"/>
    <w:rsid w:val="005E2284"/>
    <w:rsid w:val="005E2F55"/>
    <w:rsid w:val="005E3B80"/>
    <w:rsid w:val="005E4E66"/>
    <w:rsid w:val="005E5BF6"/>
    <w:rsid w:val="005E64B3"/>
    <w:rsid w:val="005E64DE"/>
    <w:rsid w:val="005E667B"/>
    <w:rsid w:val="005E6F27"/>
    <w:rsid w:val="005F36CC"/>
    <w:rsid w:val="005F39F8"/>
    <w:rsid w:val="005F55F5"/>
    <w:rsid w:val="005F6090"/>
    <w:rsid w:val="00601D56"/>
    <w:rsid w:val="00603D98"/>
    <w:rsid w:val="00606810"/>
    <w:rsid w:val="00606FCF"/>
    <w:rsid w:val="00607B93"/>
    <w:rsid w:val="00610997"/>
    <w:rsid w:val="00611ADF"/>
    <w:rsid w:val="0061557D"/>
    <w:rsid w:val="006177DB"/>
    <w:rsid w:val="00621B68"/>
    <w:rsid w:val="00624B33"/>
    <w:rsid w:val="00624CE8"/>
    <w:rsid w:val="006307A1"/>
    <w:rsid w:val="00630FA7"/>
    <w:rsid w:val="00631049"/>
    <w:rsid w:val="00633E46"/>
    <w:rsid w:val="0063607A"/>
    <w:rsid w:val="00642BC4"/>
    <w:rsid w:val="006434F2"/>
    <w:rsid w:val="006452B4"/>
    <w:rsid w:val="00646E9C"/>
    <w:rsid w:val="00650410"/>
    <w:rsid w:val="00653039"/>
    <w:rsid w:val="00653960"/>
    <w:rsid w:val="006544A3"/>
    <w:rsid w:val="00656FF8"/>
    <w:rsid w:val="00657769"/>
    <w:rsid w:val="00663D14"/>
    <w:rsid w:val="00665096"/>
    <w:rsid w:val="00665CAD"/>
    <w:rsid w:val="00673281"/>
    <w:rsid w:val="00680E40"/>
    <w:rsid w:val="0068263E"/>
    <w:rsid w:val="006827F2"/>
    <w:rsid w:val="0068372E"/>
    <w:rsid w:val="00686149"/>
    <w:rsid w:val="00686B6E"/>
    <w:rsid w:val="00690450"/>
    <w:rsid w:val="00690E9C"/>
    <w:rsid w:val="00693683"/>
    <w:rsid w:val="00694456"/>
    <w:rsid w:val="006952E1"/>
    <w:rsid w:val="006A116C"/>
    <w:rsid w:val="006A3B94"/>
    <w:rsid w:val="006A4445"/>
    <w:rsid w:val="006A4DF4"/>
    <w:rsid w:val="006A6073"/>
    <w:rsid w:val="006A7227"/>
    <w:rsid w:val="006A7880"/>
    <w:rsid w:val="006B3466"/>
    <w:rsid w:val="006C220F"/>
    <w:rsid w:val="006C34E1"/>
    <w:rsid w:val="006C564A"/>
    <w:rsid w:val="006C63DE"/>
    <w:rsid w:val="006D077B"/>
    <w:rsid w:val="006D0C5C"/>
    <w:rsid w:val="006D5F36"/>
    <w:rsid w:val="006D6D82"/>
    <w:rsid w:val="006F1505"/>
    <w:rsid w:val="006F1514"/>
    <w:rsid w:val="006F5239"/>
    <w:rsid w:val="007048E4"/>
    <w:rsid w:val="00705A1B"/>
    <w:rsid w:val="00710686"/>
    <w:rsid w:val="00714C92"/>
    <w:rsid w:val="0071625E"/>
    <w:rsid w:val="0071733C"/>
    <w:rsid w:val="007200D7"/>
    <w:rsid w:val="0072150E"/>
    <w:rsid w:val="00721BEA"/>
    <w:rsid w:val="00724E3E"/>
    <w:rsid w:val="00731A18"/>
    <w:rsid w:val="0073254C"/>
    <w:rsid w:val="00736400"/>
    <w:rsid w:val="00736D49"/>
    <w:rsid w:val="00737059"/>
    <w:rsid w:val="0074061A"/>
    <w:rsid w:val="007437A8"/>
    <w:rsid w:val="00743F02"/>
    <w:rsid w:val="00744299"/>
    <w:rsid w:val="00745C0D"/>
    <w:rsid w:val="0075214E"/>
    <w:rsid w:val="007539DC"/>
    <w:rsid w:val="007603AA"/>
    <w:rsid w:val="00760EAA"/>
    <w:rsid w:val="0076100E"/>
    <w:rsid w:val="007657EB"/>
    <w:rsid w:val="007719B2"/>
    <w:rsid w:val="00772185"/>
    <w:rsid w:val="00772972"/>
    <w:rsid w:val="00773392"/>
    <w:rsid w:val="007747FE"/>
    <w:rsid w:val="0078228E"/>
    <w:rsid w:val="007824EB"/>
    <w:rsid w:val="0078600A"/>
    <w:rsid w:val="007867B7"/>
    <w:rsid w:val="00786B14"/>
    <w:rsid w:val="00786D5D"/>
    <w:rsid w:val="00787487"/>
    <w:rsid w:val="00795313"/>
    <w:rsid w:val="00797204"/>
    <w:rsid w:val="00797917"/>
    <w:rsid w:val="007A4E6A"/>
    <w:rsid w:val="007A4EB3"/>
    <w:rsid w:val="007A62CE"/>
    <w:rsid w:val="007B1360"/>
    <w:rsid w:val="007B1C7B"/>
    <w:rsid w:val="007B4A8B"/>
    <w:rsid w:val="007B5799"/>
    <w:rsid w:val="007B5F5A"/>
    <w:rsid w:val="007C030A"/>
    <w:rsid w:val="007C059F"/>
    <w:rsid w:val="007C3713"/>
    <w:rsid w:val="007D3FB7"/>
    <w:rsid w:val="007D5747"/>
    <w:rsid w:val="007E15C8"/>
    <w:rsid w:val="007E1BB5"/>
    <w:rsid w:val="007E4E5C"/>
    <w:rsid w:val="007E64D8"/>
    <w:rsid w:val="007F2C8A"/>
    <w:rsid w:val="007F76C7"/>
    <w:rsid w:val="00800B4C"/>
    <w:rsid w:val="00803773"/>
    <w:rsid w:val="008051E4"/>
    <w:rsid w:val="0081067B"/>
    <w:rsid w:val="00817418"/>
    <w:rsid w:val="00821405"/>
    <w:rsid w:val="00822E71"/>
    <w:rsid w:val="00825D1F"/>
    <w:rsid w:val="00830037"/>
    <w:rsid w:val="008305DC"/>
    <w:rsid w:val="00832E34"/>
    <w:rsid w:val="0083376C"/>
    <w:rsid w:val="00834471"/>
    <w:rsid w:val="00835821"/>
    <w:rsid w:val="00835D81"/>
    <w:rsid w:val="00836D64"/>
    <w:rsid w:val="00837AF5"/>
    <w:rsid w:val="0084323D"/>
    <w:rsid w:val="00845440"/>
    <w:rsid w:val="00846811"/>
    <w:rsid w:val="00850217"/>
    <w:rsid w:val="00851C5D"/>
    <w:rsid w:val="00853301"/>
    <w:rsid w:val="00854E07"/>
    <w:rsid w:val="00855326"/>
    <w:rsid w:val="00855380"/>
    <w:rsid w:val="00855E83"/>
    <w:rsid w:val="00857843"/>
    <w:rsid w:val="00861A27"/>
    <w:rsid w:val="008642EF"/>
    <w:rsid w:val="00866469"/>
    <w:rsid w:val="00866AB0"/>
    <w:rsid w:val="00871F76"/>
    <w:rsid w:val="008740A8"/>
    <w:rsid w:val="00877C44"/>
    <w:rsid w:val="0088259C"/>
    <w:rsid w:val="00883734"/>
    <w:rsid w:val="008839BC"/>
    <w:rsid w:val="00887050"/>
    <w:rsid w:val="0089023F"/>
    <w:rsid w:val="0089395E"/>
    <w:rsid w:val="00894B59"/>
    <w:rsid w:val="008950CA"/>
    <w:rsid w:val="008A5625"/>
    <w:rsid w:val="008B03F7"/>
    <w:rsid w:val="008B75D0"/>
    <w:rsid w:val="008B7C5A"/>
    <w:rsid w:val="008C0B17"/>
    <w:rsid w:val="008C500E"/>
    <w:rsid w:val="008D0C81"/>
    <w:rsid w:val="008D1AFB"/>
    <w:rsid w:val="008D29E8"/>
    <w:rsid w:val="008D711F"/>
    <w:rsid w:val="008D76DE"/>
    <w:rsid w:val="008E09D5"/>
    <w:rsid w:val="008E20D6"/>
    <w:rsid w:val="008E292D"/>
    <w:rsid w:val="008F10D3"/>
    <w:rsid w:val="008F15D4"/>
    <w:rsid w:val="008F3CCB"/>
    <w:rsid w:val="008F7432"/>
    <w:rsid w:val="009004C9"/>
    <w:rsid w:val="00901F92"/>
    <w:rsid w:val="009051B9"/>
    <w:rsid w:val="00905308"/>
    <w:rsid w:val="00905C0A"/>
    <w:rsid w:val="00905FAA"/>
    <w:rsid w:val="009063AF"/>
    <w:rsid w:val="0090644A"/>
    <w:rsid w:val="00906B10"/>
    <w:rsid w:val="009070B0"/>
    <w:rsid w:val="0090791E"/>
    <w:rsid w:val="0091059E"/>
    <w:rsid w:val="00911FF5"/>
    <w:rsid w:val="00912565"/>
    <w:rsid w:val="0091404B"/>
    <w:rsid w:val="00914189"/>
    <w:rsid w:val="00914420"/>
    <w:rsid w:val="00914B51"/>
    <w:rsid w:val="00914D5A"/>
    <w:rsid w:val="00921BDC"/>
    <w:rsid w:val="00927070"/>
    <w:rsid w:val="009271B0"/>
    <w:rsid w:val="00931484"/>
    <w:rsid w:val="00933455"/>
    <w:rsid w:val="009335D5"/>
    <w:rsid w:val="009500E7"/>
    <w:rsid w:val="0095203D"/>
    <w:rsid w:val="00952874"/>
    <w:rsid w:val="00954061"/>
    <w:rsid w:val="00963458"/>
    <w:rsid w:val="0096351E"/>
    <w:rsid w:val="00964FB9"/>
    <w:rsid w:val="009668C0"/>
    <w:rsid w:val="0097280D"/>
    <w:rsid w:val="00977615"/>
    <w:rsid w:val="009822D4"/>
    <w:rsid w:val="0098477F"/>
    <w:rsid w:val="00987987"/>
    <w:rsid w:val="00990586"/>
    <w:rsid w:val="00991A8E"/>
    <w:rsid w:val="0099587C"/>
    <w:rsid w:val="0099611F"/>
    <w:rsid w:val="00996D7D"/>
    <w:rsid w:val="009A1C47"/>
    <w:rsid w:val="009A5CC3"/>
    <w:rsid w:val="009B0544"/>
    <w:rsid w:val="009B1075"/>
    <w:rsid w:val="009B4AC9"/>
    <w:rsid w:val="009B6162"/>
    <w:rsid w:val="009B620B"/>
    <w:rsid w:val="009C26BD"/>
    <w:rsid w:val="009C3525"/>
    <w:rsid w:val="009C3909"/>
    <w:rsid w:val="009C4CD0"/>
    <w:rsid w:val="009D1970"/>
    <w:rsid w:val="009D4CEA"/>
    <w:rsid w:val="009D53DE"/>
    <w:rsid w:val="009D5D38"/>
    <w:rsid w:val="009E2007"/>
    <w:rsid w:val="009E6A95"/>
    <w:rsid w:val="009F0576"/>
    <w:rsid w:val="009F2D2F"/>
    <w:rsid w:val="009F35B1"/>
    <w:rsid w:val="009F5A05"/>
    <w:rsid w:val="00A0153E"/>
    <w:rsid w:val="00A035D4"/>
    <w:rsid w:val="00A04F30"/>
    <w:rsid w:val="00A10615"/>
    <w:rsid w:val="00A1067C"/>
    <w:rsid w:val="00A11EBC"/>
    <w:rsid w:val="00A16630"/>
    <w:rsid w:val="00A202C9"/>
    <w:rsid w:val="00A23583"/>
    <w:rsid w:val="00A25755"/>
    <w:rsid w:val="00A25DB6"/>
    <w:rsid w:val="00A30F49"/>
    <w:rsid w:val="00A320DA"/>
    <w:rsid w:val="00A33C75"/>
    <w:rsid w:val="00A4254A"/>
    <w:rsid w:val="00A46015"/>
    <w:rsid w:val="00A46872"/>
    <w:rsid w:val="00A5170B"/>
    <w:rsid w:val="00A5303D"/>
    <w:rsid w:val="00A551E7"/>
    <w:rsid w:val="00A61684"/>
    <w:rsid w:val="00A6283A"/>
    <w:rsid w:val="00A63E4F"/>
    <w:rsid w:val="00A72E41"/>
    <w:rsid w:val="00A77246"/>
    <w:rsid w:val="00A85BEA"/>
    <w:rsid w:val="00A85FCE"/>
    <w:rsid w:val="00A969C9"/>
    <w:rsid w:val="00A9721F"/>
    <w:rsid w:val="00AA0144"/>
    <w:rsid w:val="00AA0C6F"/>
    <w:rsid w:val="00AA195C"/>
    <w:rsid w:val="00AA60AF"/>
    <w:rsid w:val="00AA7600"/>
    <w:rsid w:val="00AB1BB3"/>
    <w:rsid w:val="00AB3B6E"/>
    <w:rsid w:val="00AB4AF8"/>
    <w:rsid w:val="00AB6F6C"/>
    <w:rsid w:val="00AC0F79"/>
    <w:rsid w:val="00AC2934"/>
    <w:rsid w:val="00AC6272"/>
    <w:rsid w:val="00AC77DE"/>
    <w:rsid w:val="00AD2183"/>
    <w:rsid w:val="00AD22F2"/>
    <w:rsid w:val="00AD392C"/>
    <w:rsid w:val="00AE1C96"/>
    <w:rsid w:val="00AF035B"/>
    <w:rsid w:val="00AF06BE"/>
    <w:rsid w:val="00AF07DF"/>
    <w:rsid w:val="00AF3B0F"/>
    <w:rsid w:val="00AF5404"/>
    <w:rsid w:val="00AF562C"/>
    <w:rsid w:val="00AF595C"/>
    <w:rsid w:val="00AF7C4C"/>
    <w:rsid w:val="00B00AAB"/>
    <w:rsid w:val="00B01E24"/>
    <w:rsid w:val="00B0665F"/>
    <w:rsid w:val="00B124CD"/>
    <w:rsid w:val="00B13592"/>
    <w:rsid w:val="00B14282"/>
    <w:rsid w:val="00B14785"/>
    <w:rsid w:val="00B2040A"/>
    <w:rsid w:val="00B20F58"/>
    <w:rsid w:val="00B276C5"/>
    <w:rsid w:val="00B305D2"/>
    <w:rsid w:val="00B30615"/>
    <w:rsid w:val="00B32AF1"/>
    <w:rsid w:val="00B353B7"/>
    <w:rsid w:val="00B35D22"/>
    <w:rsid w:val="00B3777E"/>
    <w:rsid w:val="00B43E2A"/>
    <w:rsid w:val="00B5670E"/>
    <w:rsid w:val="00B626DA"/>
    <w:rsid w:val="00B62FBC"/>
    <w:rsid w:val="00B821A5"/>
    <w:rsid w:val="00B82618"/>
    <w:rsid w:val="00B82D19"/>
    <w:rsid w:val="00B83DAD"/>
    <w:rsid w:val="00B84167"/>
    <w:rsid w:val="00B86164"/>
    <w:rsid w:val="00B87207"/>
    <w:rsid w:val="00B87BDC"/>
    <w:rsid w:val="00B90C07"/>
    <w:rsid w:val="00B91AFC"/>
    <w:rsid w:val="00B91D57"/>
    <w:rsid w:val="00B922C6"/>
    <w:rsid w:val="00B93124"/>
    <w:rsid w:val="00BA1C43"/>
    <w:rsid w:val="00BA3686"/>
    <w:rsid w:val="00BA7F17"/>
    <w:rsid w:val="00BB0686"/>
    <w:rsid w:val="00BB1B0C"/>
    <w:rsid w:val="00BB6E66"/>
    <w:rsid w:val="00BC0110"/>
    <w:rsid w:val="00BC3468"/>
    <w:rsid w:val="00BC411D"/>
    <w:rsid w:val="00BE0897"/>
    <w:rsid w:val="00BE22D3"/>
    <w:rsid w:val="00BE4C75"/>
    <w:rsid w:val="00BF0572"/>
    <w:rsid w:val="00BF0AFB"/>
    <w:rsid w:val="00BF2932"/>
    <w:rsid w:val="00BF2CD2"/>
    <w:rsid w:val="00BF4920"/>
    <w:rsid w:val="00BF5BB6"/>
    <w:rsid w:val="00C0271D"/>
    <w:rsid w:val="00C038AF"/>
    <w:rsid w:val="00C05D6D"/>
    <w:rsid w:val="00C07599"/>
    <w:rsid w:val="00C079C4"/>
    <w:rsid w:val="00C11DFC"/>
    <w:rsid w:val="00C12CF8"/>
    <w:rsid w:val="00C15062"/>
    <w:rsid w:val="00C1689F"/>
    <w:rsid w:val="00C22386"/>
    <w:rsid w:val="00C246CB"/>
    <w:rsid w:val="00C2758D"/>
    <w:rsid w:val="00C3120B"/>
    <w:rsid w:val="00C31C47"/>
    <w:rsid w:val="00C32E3F"/>
    <w:rsid w:val="00C33A7E"/>
    <w:rsid w:val="00C35107"/>
    <w:rsid w:val="00C356AD"/>
    <w:rsid w:val="00C36164"/>
    <w:rsid w:val="00C36F5E"/>
    <w:rsid w:val="00C40FB8"/>
    <w:rsid w:val="00C41B8C"/>
    <w:rsid w:val="00C448D1"/>
    <w:rsid w:val="00C519B1"/>
    <w:rsid w:val="00C52D72"/>
    <w:rsid w:val="00C56AB3"/>
    <w:rsid w:val="00C57D77"/>
    <w:rsid w:val="00C63B1D"/>
    <w:rsid w:val="00C675B0"/>
    <w:rsid w:val="00C710EB"/>
    <w:rsid w:val="00C745C6"/>
    <w:rsid w:val="00C774DB"/>
    <w:rsid w:val="00C77D1C"/>
    <w:rsid w:val="00C833B0"/>
    <w:rsid w:val="00C8601A"/>
    <w:rsid w:val="00C91862"/>
    <w:rsid w:val="00C9333A"/>
    <w:rsid w:val="00C935B1"/>
    <w:rsid w:val="00C93E3F"/>
    <w:rsid w:val="00C94171"/>
    <w:rsid w:val="00C95193"/>
    <w:rsid w:val="00C952EC"/>
    <w:rsid w:val="00C95A9B"/>
    <w:rsid w:val="00C96650"/>
    <w:rsid w:val="00CA0E4F"/>
    <w:rsid w:val="00CA281E"/>
    <w:rsid w:val="00CA3C0C"/>
    <w:rsid w:val="00CA4A7A"/>
    <w:rsid w:val="00CA5AD7"/>
    <w:rsid w:val="00CA6589"/>
    <w:rsid w:val="00CA67B3"/>
    <w:rsid w:val="00CA7D59"/>
    <w:rsid w:val="00CB29D1"/>
    <w:rsid w:val="00CB2ED4"/>
    <w:rsid w:val="00CB36F6"/>
    <w:rsid w:val="00CB5D37"/>
    <w:rsid w:val="00CB67BA"/>
    <w:rsid w:val="00CC035C"/>
    <w:rsid w:val="00CC2033"/>
    <w:rsid w:val="00CC4A55"/>
    <w:rsid w:val="00CD37E5"/>
    <w:rsid w:val="00CD41A9"/>
    <w:rsid w:val="00CD4AE2"/>
    <w:rsid w:val="00CE18CE"/>
    <w:rsid w:val="00CF274B"/>
    <w:rsid w:val="00CF4CC7"/>
    <w:rsid w:val="00CF6ED5"/>
    <w:rsid w:val="00D06984"/>
    <w:rsid w:val="00D073F4"/>
    <w:rsid w:val="00D10CD9"/>
    <w:rsid w:val="00D12A74"/>
    <w:rsid w:val="00D34E4F"/>
    <w:rsid w:val="00D36BB8"/>
    <w:rsid w:val="00D430B7"/>
    <w:rsid w:val="00D43BAD"/>
    <w:rsid w:val="00D44481"/>
    <w:rsid w:val="00D466AC"/>
    <w:rsid w:val="00D46953"/>
    <w:rsid w:val="00D50716"/>
    <w:rsid w:val="00D519F7"/>
    <w:rsid w:val="00D53004"/>
    <w:rsid w:val="00D57B18"/>
    <w:rsid w:val="00D6542B"/>
    <w:rsid w:val="00D67D2E"/>
    <w:rsid w:val="00D70FDF"/>
    <w:rsid w:val="00D71FB4"/>
    <w:rsid w:val="00D720FB"/>
    <w:rsid w:val="00D738B1"/>
    <w:rsid w:val="00D756DA"/>
    <w:rsid w:val="00D824A0"/>
    <w:rsid w:val="00D82979"/>
    <w:rsid w:val="00D84FB8"/>
    <w:rsid w:val="00D87F65"/>
    <w:rsid w:val="00D90B21"/>
    <w:rsid w:val="00D91805"/>
    <w:rsid w:val="00D91C56"/>
    <w:rsid w:val="00D96AA6"/>
    <w:rsid w:val="00DA32E6"/>
    <w:rsid w:val="00DB0246"/>
    <w:rsid w:val="00DB3F7D"/>
    <w:rsid w:val="00DB62BD"/>
    <w:rsid w:val="00DC0200"/>
    <w:rsid w:val="00DC0682"/>
    <w:rsid w:val="00DC329B"/>
    <w:rsid w:val="00DC34D4"/>
    <w:rsid w:val="00DC58C2"/>
    <w:rsid w:val="00DD59EA"/>
    <w:rsid w:val="00DE1D4F"/>
    <w:rsid w:val="00DE2569"/>
    <w:rsid w:val="00DE4AC5"/>
    <w:rsid w:val="00DE54D0"/>
    <w:rsid w:val="00DE5B1C"/>
    <w:rsid w:val="00DF425D"/>
    <w:rsid w:val="00DF78B8"/>
    <w:rsid w:val="00E007AB"/>
    <w:rsid w:val="00E01603"/>
    <w:rsid w:val="00E02C21"/>
    <w:rsid w:val="00E0471F"/>
    <w:rsid w:val="00E0655E"/>
    <w:rsid w:val="00E07624"/>
    <w:rsid w:val="00E162D4"/>
    <w:rsid w:val="00E20DE8"/>
    <w:rsid w:val="00E22880"/>
    <w:rsid w:val="00E2293F"/>
    <w:rsid w:val="00E23FFB"/>
    <w:rsid w:val="00E30339"/>
    <w:rsid w:val="00E30836"/>
    <w:rsid w:val="00E31905"/>
    <w:rsid w:val="00E337E7"/>
    <w:rsid w:val="00E349E3"/>
    <w:rsid w:val="00E366A0"/>
    <w:rsid w:val="00E4676A"/>
    <w:rsid w:val="00E47C44"/>
    <w:rsid w:val="00E56492"/>
    <w:rsid w:val="00E64D49"/>
    <w:rsid w:val="00E6507D"/>
    <w:rsid w:val="00E657DE"/>
    <w:rsid w:val="00E660E3"/>
    <w:rsid w:val="00E67036"/>
    <w:rsid w:val="00E67EA0"/>
    <w:rsid w:val="00E73DEF"/>
    <w:rsid w:val="00E82790"/>
    <w:rsid w:val="00E829A1"/>
    <w:rsid w:val="00E82C41"/>
    <w:rsid w:val="00E83B23"/>
    <w:rsid w:val="00E85A18"/>
    <w:rsid w:val="00E87461"/>
    <w:rsid w:val="00E9618B"/>
    <w:rsid w:val="00E97A1C"/>
    <w:rsid w:val="00E97E14"/>
    <w:rsid w:val="00EA061E"/>
    <w:rsid w:val="00EA0CC6"/>
    <w:rsid w:val="00EA29D6"/>
    <w:rsid w:val="00EA2EB2"/>
    <w:rsid w:val="00EA3C17"/>
    <w:rsid w:val="00EA667A"/>
    <w:rsid w:val="00EB6818"/>
    <w:rsid w:val="00EC27B8"/>
    <w:rsid w:val="00EC34DC"/>
    <w:rsid w:val="00EC44FD"/>
    <w:rsid w:val="00EC5CCC"/>
    <w:rsid w:val="00EC64B3"/>
    <w:rsid w:val="00EC77D2"/>
    <w:rsid w:val="00ED3376"/>
    <w:rsid w:val="00EE014A"/>
    <w:rsid w:val="00EE426C"/>
    <w:rsid w:val="00EE4CD7"/>
    <w:rsid w:val="00EE6112"/>
    <w:rsid w:val="00EE61B4"/>
    <w:rsid w:val="00EF64CC"/>
    <w:rsid w:val="00EF78EF"/>
    <w:rsid w:val="00F00503"/>
    <w:rsid w:val="00F00555"/>
    <w:rsid w:val="00F0440B"/>
    <w:rsid w:val="00F1192A"/>
    <w:rsid w:val="00F11EC5"/>
    <w:rsid w:val="00F1508E"/>
    <w:rsid w:val="00F22887"/>
    <w:rsid w:val="00F235E3"/>
    <w:rsid w:val="00F238A9"/>
    <w:rsid w:val="00F23FE0"/>
    <w:rsid w:val="00F24CF6"/>
    <w:rsid w:val="00F2777F"/>
    <w:rsid w:val="00F31808"/>
    <w:rsid w:val="00F31EE6"/>
    <w:rsid w:val="00F324FE"/>
    <w:rsid w:val="00F32B6E"/>
    <w:rsid w:val="00F3350F"/>
    <w:rsid w:val="00F36222"/>
    <w:rsid w:val="00F40618"/>
    <w:rsid w:val="00F40D1D"/>
    <w:rsid w:val="00F41E0D"/>
    <w:rsid w:val="00F42394"/>
    <w:rsid w:val="00F46692"/>
    <w:rsid w:val="00F51E6A"/>
    <w:rsid w:val="00F52256"/>
    <w:rsid w:val="00F53C50"/>
    <w:rsid w:val="00F55EC3"/>
    <w:rsid w:val="00F575D8"/>
    <w:rsid w:val="00F60AF6"/>
    <w:rsid w:val="00F60D95"/>
    <w:rsid w:val="00F622F3"/>
    <w:rsid w:val="00F6715F"/>
    <w:rsid w:val="00F701EA"/>
    <w:rsid w:val="00F7772F"/>
    <w:rsid w:val="00F84934"/>
    <w:rsid w:val="00F85D18"/>
    <w:rsid w:val="00F86492"/>
    <w:rsid w:val="00F910CC"/>
    <w:rsid w:val="00F93234"/>
    <w:rsid w:val="00F96434"/>
    <w:rsid w:val="00F96A4F"/>
    <w:rsid w:val="00FA0D6A"/>
    <w:rsid w:val="00FA3BAB"/>
    <w:rsid w:val="00FA57FC"/>
    <w:rsid w:val="00FA7BCF"/>
    <w:rsid w:val="00FB112C"/>
    <w:rsid w:val="00FB3963"/>
    <w:rsid w:val="00FB465B"/>
    <w:rsid w:val="00FB6B83"/>
    <w:rsid w:val="00FC0BBE"/>
    <w:rsid w:val="00FC0EB4"/>
    <w:rsid w:val="00FC1BCE"/>
    <w:rsid w:val="00FC2E36"/>
    <w:rsid w:val="00FC38CB"/>
    <w:rsid w:val="00FC4C67"/>
    <w:rsid w:val="00FC6320"/>
    <w:rsid w:val="00FC692D"/>
    <w:rsid w:val="00FC6B3E"/>
    <w:rsid w:val="00FD0CE5"/>
    <w:rsid w:val="00FD0DC2"/>
    <w:rsid w:val="00FD2007"/>
    <w:rsid w:val="00FD3D93"/>
    <w:rsid w:val="00FE310F"/>
    <w:rsid w:val="00FF05EA"/>
    <w:rsid w:val="00FF13B2"/>
    <w:rsid w:val="00FF1CBC"/>
    <w:rsid w:val="00FF2C31"/>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FB681"/>
  <w15:docId w15:val="{2FCABF7B-984B-4A85-B6F0-4B516849C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7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E6A95"/>
    <w:rPr>
      <w:sz w:val="16"/>
      <w:szCs w:val="16"/>
    </w:rPr>
  </w:style>
  <w:style w:type="paragraph" w:styleId="CommentText">
    <w:name w:val="annotation text"/>
    <w:basedOn w:val="Normal"/>
    <w:link w:val="CommentTextChar"/>
    <w:uiPriority w:val="99"/>
    <w:unhideWhenUsed/>
    <w:rsid w:val="009E6A95"/>
    <w:pPr>
      <w:spacing w:line="240" w:lineRule="auto"/>
    </w:pPr>
    <w:rPr>
      <w:sz w:val="20"/>
      <w:szCs w:val="20"/>
    </w:rPr>
  </w:style>
  <w:style w:type="character" w:customStyle="1" w:styleId="CommentTextChar">
    <w:name w:val="Comment Text Char"/>
    <w:basedOn w:val="DefaultParagraphFont"/>
    <w:link w:val="CommentText"/>
    <w:uiPriority w:val="99"/>
    <w:rsid w:val="009E6A95"/>
    <w:rPr>
      <w:sz w:val="20"/>
      <w:szCs w:val="20"/>
    </w:rPr>
  </w:style>
  <w:style w:type="paragraph" w:styleId="CommentSubject">
    <w:name w:val="annotation subject"/>
    <w:basedOn w:val="CommentText"/>
    <w:next w:val="CommentText"/>
    <w:link w:val="CommentSubjectChar"/>
    <w:uiPriority w:val="99"/>
    <w:semiHidden/>
    <w:unhideWhenUsed/>
    <w:rsid w:val="009E6A95"/>
    <w:rPr>
      <w:b/>
      <w:bCs/>
    </w:rPr>
  </w:style>
  <w:style w:type="character" w:customStyle="1" w:styleId="CommentSubjectChar">
    <w:name w:val="Comment Subject Char"/>
    <w:basedOn w:val="CommentTextChar"/>
    <w:link w:val="CommentSubject"/>
    <w:uiPriority w:val="99"/>
    <w:semiHidden/>
    <w:rsid w:val="009E6A95"/>
    <w:rPr>
      <w:b/>
      <w:bCs/>
      <w:sz w:val="20"/>
      <w:szCs w:val="20"/>
    </w:rPr>
  </w:style>
  <w:style w:type="paragraph" w:styleId="ListParagraph">
    <w:name w:val="List Paragraph"/>
    <w:basedOn w:val="Normal"/>
    <w:uiPriority w:val="34"/>
    <w:qFormat/>
    <w:rsid w:val="00210B1F"/>
    <w:pPr>
      <w:ind w:left="720"/>
      <w:contextualSpacing/>
    </w:pPr>
  </w:style>
  <w:style w:type="character" w:styleId="Hyperlink">
    <w:name w:val="Hyperlink"/>
    <w:basedOn w:val="DefaultParagraphFont"/>
    <w:uiPriority w:val="99"/>
    <w:unhideWhenUsed/>
    <w:rsid w:val="000C4902"/>
    <w:rPr>
      <w:color w:val="0563C1"/>
      <w:u w:val="single"/>
    </w:rPr>
  </w:style>
  <w:style w:type="character" w:styleId="UnresolvedMention">
    <w:name w:val="Unresolved Mention"/>
    <w:basedOn w:val="DefaultParagraphFont"/>
    <w:uiPriority w:val="99"/>
    <w:semiHidden/>
    <w:unhideWhenUsed/>
    <w:rsid w:val="009B0544"/>
    <w:rPr>
      <w:color w:val="605E5C"/>
      <w:shd w:val="clear" w:color="auto" w:fill="E1DFDD"/>
    </w:rPr>
  </w:style>
  <w:style w:type="paragraph" w:styleId="Revision">
    <w:name w:val="Revision"/>
    <w:hidden/>
    <w:uiPriority w:val="99"/>
    <w:semiHidden/>
    <w:rsid w:val="00324765"/>
    <w:pPr>
      <w:spacing w:after="0" w:line="240" w:lineRule="auto"/>
    </w:pPr>
  </w:style>
  <w:style w:type="paragraph" w:styleId="FootnoteText">
    <w:name w:val="footnote text"/>
    <w:basedOn w:val="Normal"/>
    <w:link w:val="FootnoteTextChar"/>
    <w:uiPriority w:val="99"/>
    <w:unhideWhenUsed/>
    <w:rsid w:val="00665CAD"/>
    <w:pPr>
      <w:spacing w:after="0" w:line="240" w:lineRule="auto"/>
    </w:pPr>
    <w:rPr>
      <w:sz w:val="20"/>
      <w:szCs w:val="20"/>
      <w:lang w:val="ru-RU"/>
    </w:rPr>
  </w:style>
  <w:style w:type="character" w:customStyle="1" w:styleId="FootnoteTextChar">
    <w:name w:val="Footnote Text Char"/>
    <w:basedOn w:val="DefaultParagraphFont"/>
    <w:link w:val="FootnoteText"/>
    <w:uiPriority w:val="99"/>
    <w:rsid w:val="00665CAD"/>
    <w:rPr>
      <w:sz w:val="20"/>
      <w:szCs w:val="20"/>
      <w:lang w:val="ru-RU"/>
    </w:rPr>
  </w:style>
  <w:style w:type="character" w:styleId="FootnoteReference">
    <w:name w:val="footnote reference"/>
    <w:basedOn w:val="DefaultParagraphFont"/>
    <w:uiPriority w:val="99"/>
    <w:unhideWhenUsed/>
    <w:rsid w:val="00665CAD"/>
    <w:rPr>
      <w:vertAlign w:val="superscript"/>
    </w:rPr>
  </w:style>
  <w:style w:type="paragraph" w:styleId="Header">
    <w:name w:val="header"/>
    <w:basedOn w:val="Normal"/>
    <w:link w:val="HeaderChar"/>
    <w:uiPriority w:val="99"/>
    <w:unhideWhenUsed/>
    <w:rsid w:val="00914B51"/>
    <w:pPr>
      <w:tabs>
        <w:tab w:val="center" w:pos="4153"/>
        <w:tab w:val="right" w:pos="8306"/>
      </w:tabs>
      <w:spacing w:after="0" w:line="240" w:lineRule="auto"/>
    </w:pPr>
  </w:style>
  <w:style w:type="character" w:customStyle="1" w:styleId="HeaderChar">
    <w:name w:val="Header Char"/>
    <w:basedOn w:val="DefaultParagraphFont"/>
    <w:link w:val="Header"/>
    <w:uiPriority w:val="99"/>
    <w:rsid w:val="00914B51"/>
  </w:style>
  <w:style w:type="paragraph" w:styleId="Footer">
    <w:name w:val="footer"/>
    <w:basedOn w:val="Normal"/>
    <w:link w:val="FooterChar"/>
    <w:uiPriority w:val="99"/>
    <w:unhideWhenUsed/>
    <w:rsid w:val="00914B51"/>
    <w:pPr>
      <w:tabs>
        <w:tab w:val="center" w:pos="4153"/>
        <w:tab w:val="right" w:pos="8306"/>
      </w:tabs>
      <w:spacing w:after="0" w:line="240" w:lineRule="auto"/>
    </w:pPr>
  </w:style>
  <w:style w:type="character" w:customStyle="1" w:styleId="FooterChar">
    <w:name w:val="Footer Char"/>
    <w:basedOn w:val="DefaultParagraphFont"/>
    <w:link w:val="Footer"/>
    <w:uiPriority w:val="99"/>
    <w:rsid w:val="00914B51"/>
  </w:style>
  <w:style w:type="character" w:customStyle="1" w:styleId="cf01">
    <w:name w:val="cf01"/>
    <w:basedOn w:val="DefaultParagraphFont"/>
    <w:rsid w:val="007B1360"/>
    <w:rPr>
      <w:rFonts w:ascii="Segoe UI" w:hAnsi="Segoe UI" w:cs="Segoe UI" w:hint="default"/>
      <w:color w:val="333333"/>
      <w:sz w:val="18"/>
      <w:szCs w:val="18"/>
    </w:rPr>
  </w:style>
  <w:style w:type="character" w:customStyle="1" w:styleId="cf11">
    <w:name w:val="cf11"/>
    <w:basedOn w:val="DefaultParagraphFont"/>
    <w:rsid w:val="007B1360"/>
    <w:rPr>
      <w:rFonts w:ascii="Segoe UI" w:hAnsi="Segoe UI" w:cs="Segoe UI" w:hint="default"/>
      <w:color w:val="333333"/>
      <w:sz w:val="18"/>
      <w:szCs w:val="18"/>
      <w:shd w:val="clear" w:color="auto" w:fill="FFFFFF"/>
    </w:rPr>
  </w:style>
  <w:style w:type="character" w:customStyle="1" w:styleId="ui-provider">
    <w:name w:val="ui-provider"/>
    <w:basedOn w:val="DefaultParagraphFont"/>
    <w:rsid w:val="007B1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969927">
      <w:bodyDiv w:val="1"/>
      <w:marLeft w:val="0"/>
      <w:marRight w:val="0"/>
      <w:marTop w:val="0"/>
      <w:marBottom w:val="0"/>
      <w:divBdr>
        <w:top w:val="none" w:sz="0" w:space="0" w:color="auto"/>
        <w:left w:val="none" w:sz="0" w:space="0" w:color="auto"/>
        <w:bottom w:val="none" w:sz="0" w:space="0" w:color="auto"/>
        <w:right w:val="none" w:sz="0" w:space="0" w:color="auto"/>
      </w:divBdr>
    </w:div>
    <w:div w:id="474447218">
      <w:bodyDiv w:val="1"/>
      <w:marLeft w:val="0"/>
      <w:marRight w:val="0"/>
      <w:marTop w:val="0"/>
      <w:marBottom w:val="0"/>
      <w:divBdr>
        <w:top w:val="none" w:sz="0" w:space="0" w:color="auto"/>
        <w:left w:val="none" w:sz="0" w:space="0" w:color="auto"/>
        <w:bottom w:val="none" w:sz="0" w:space="0" w:color="auto"/>
        <w:right w:val="none" w:sz="0" w:space="0" w:color="auto"/>
      </w:divBdr>
    </w:div>
    <w:div w:id="981930715">
      <w:bodyDiv w:val="1"/>
      <w:marLeft w:val="0"/>
      <w:marRight w:val="0"/>
      <w:marTop w:val="0"/>
      <w:marBottom w:val="0"/>
      <w:divBdr>
        <w:top w:val="none" w:sz="0" w:space="0" w:color="auto"/>
        <w:left w:val="none" w:sz="0" w:space="0" w:color="auto"/>
        <w:bottom w:val="none" w:sz="0" w:space="0" w:color="auto"/>
        <w:right w:val="none" w:sz="0" w:space="0" w:color="auto"/>
      </w:divBdr>
    </w:div>
    <w:div w:id="14037193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E828A5-75A6-40F1-857E-E2ED37AC0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6E1010F-DB22-44E1-A48B-7B8376DB2A32}">
  <ds:schemaRefs>
    <ds:schemaRef ds:uri="http://schemas.microsoft.com/sharepoint/v3/contenttype/forms"/>
  </ds:schemaRefs>
</ds:datastoreItem>
</file>

<file path=customXml/itemProps3.xml><?xml version="1.0" encoding="utf-8"?>
<ds:datastoreItem xmlns:ds="http://schemas.openxmlformats.org/officeDocument/2006/customXml" ds:itemID="{5ACE6A7A-868C-4ACF-B4A5-561D6042EDC5}">
  <ds:schemaRefs>
    <ds:schemaRef ds:uri="http://schemas.openxmlformats.org/officeDocument/2006/bibliography"/>
  </ds:schemaRefs>
</ds:datastoreItem>
</file>

<file path=customXml/itemProps4.xml><?xml version="1.0" encoding="utf-8"?>
<ds:datastoreItem xmlns:ds="http://schemas.openxmlformats.org/officeDocument/2006/customXml" ds:itemID="{9D88E76C-957A-4E3B-97D0-C4F62E546F1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16261</Words>
  <Characters>9269</Characters>
  <Application>Microsoft Office Word</Application>
  <DocSecurity>0</DocSecurity>
  <Lines>77</Lines>
  <Paragraphs>50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Ivars Avotiņš</dc:creator>
  <cp:keywords/>
  <dc:description/>
  <cp:lastModifiedBy>Ilze Grava</cp:lastModifiedBy>
  <cp:revision>3</cp:revision>
  <cp:lastPrinted>2022-05-24T05:55:00Z</cp:lastPrinted>
  <dcterms:created xsi:type="dcterms:W3CDTF">2024-10-31T05:19:00Z</dcterms:created>
  <dcterms:modified xsi:type="dcterms:W3CDTF">2024-11-01T13:42:00Z</dcterms:modified>
</cp:coreProperties>
</file>