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8B8C3" w14:textId="4DA50552" w:rsidR="009B27BE" w:rsidRDefault="00CA28AB" w:rsidP="00920831">
      <w:pPr>
        <w:spacing w:after="0" w:line="240" w:lineRule="auto"/>
        <w:jc w:val="center"/>
        <w:rPr>
          <w:rFonts w:ascii="Times New Roman" w:hAnsi="Times New Roman" w:cs="Times New Roman"/>
          <w:b/>
          <w:bCs/>
          <w:sz w:val="24"/>
          <w:szCs w:val="24"/>
        </w:rPr>
      </w:pPr>
      <w:r w:rsidRPr="002864E4">
        <w:rPr>
          <w:rFonts w:ascii="Times New Roman" w:hAnsi="Times New Roman" w:cs="Times New Roman"/>
          <w:b/>
          <w:bCs/>
          <w:sz w:val="24"/>
          <w:szCs w:val="24"/>
        </w:rPr>
        <w:t xml:space="preserve">Latvijas Bankas noteikumu projekta </w:t>
      </w:r>
      <w:r w:rsidR="00571AF1">
        <w:rPr>
          <w:rFonts w:ascii="Times New Roman" w:hAnsi="Times New Roman" w:cs="Times New Roman"/>
          <w:b/>
          <w:bCs/>
          <w:sz w:val="24"/>
          <w:szCs w:val="24"/>
        </w:rPr>
        <w:t>"</w:t>
      </w:r>
      <w:bookmarkStart w:id="0" w:name="_Hlk176797092"/>
      <w:r w:rsidR="00313F62" w:rsidRPr="002864E4">
        <w:rPr>
          <w:rFonts w:ascii="Times New Roman" w:hAnsi="Times New Roman" w:cs="Times New Roman"/>
          <w:b/>
          <w:bCs/>
          <w:sz w:val="24"/>
          <w:szCs w:val="24"/>
        </w:rPr>
        <w:t>Noziedzīgi iegūtu līdzekļu legalizācijas un terorisma un proliferācijas finansēšanas novēršanas iekšējās kontroles sistēmas neatkarīga ārējā audita veikšanas noteikumi</w:t>
      </w:r>
      <w:bookmarkEnd w:id="0"/>
      <w:r w:rsidR="00571AF1">
        <w:rPr>
          <w:rFonts w:ascii="Times New Roman" w:hAnsi="Times New Roman" w:cs="Times New Roman"/>
          <w:b/>
          <w:bCs/>
          <w:sz w:val="24"/>
          <w:szCs w:val="24"/>
        </w:rPr>
        <w:t>"</w:t>
      </w:r>
      <w:r w:rsidR="003B481B" w:rsidRPr="002864E4">
        <w:rPr>
          <w:rFonts w:ascii="Times New Roman" w:hAnsi="Times New Roman" w:cs="Times New Roman"/>
          <w:b/>
          <w:bCs/>
          <w:sz w:val="24"/>
          <w:szCs w:val="24"/>
        </w:rPr>
        <w:t xml:space="preserve"> anotācija</w:t>
      </w:r>
    </w:p>
    <w:p w14:paraId="463575CD" w14:textId="77777777" w:rsidR="00D53122" w:rsidRPr="002864E4" w:rsidRDefault="00D53122" w:rsidP="00920831">
      <w:pPr>
        <w:spacing w:after="0" w:line="240" w:lineRule="auto"/>
        <w:jc w:val="center"/>
        <w:rPr>
          <w:rFonts w:ascii="Times New Roman" w:hAnsi="Times New Roman" w:cs="Times New Roman"/>
          <w:b/>
          <w:bCs/>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2864E4" w14:paraId="5016C45A" w14:textId="77777777" w:rsidTr="00E253DA">
        <w:trPr>
          <w:trHeight w:val="567"/>
        </w:trPr>
        <w:tc>
          <w:tcPr>
            <w:tcW w:w="1796" w:type="pct"/>
            <w:shd w:val="clear" w:color="auto" w:fill="auto"/>
            <w:hideMark/>
          </w:tcPr>
          <w:p w14:paraId="150030EE" w14:textId="77777777" w:rsidR="00A42788" w:rsidRPr="002864E4" w:rsidRDefault="00A42788" w:rsidP="000B4E0A">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Nosaukums</w:t>
            </w:r>
          </w:p>
          <w:p w14:paraId="4361E278" w14:textId="77777777" w:rsidR="00CA28AB" w:rsidRPr="002864E4" w:rsidRDefault="00CA28AB" w:rsidP="000B4E0A">
            <w:pPr>
              <w:spacing w:after="0" w:line="240" w:lineRule="auto"/>
              <w:rPr>
                <w:rFonts w:ascii="Times New Roman" w:eastAsia="Times New Roman" w:hAnsi="Times New Roman" w:cs="Times New Roman"/>
                <w:b/>
                <w:bCs/>
                <w:sz w:val="24"/>
                <w:szCs w:val="24"/>
                <w:lang w:eastAsia="lv-LV"/>
              </w:rPr>
            </w:pPr>
          </w:p>
        </w:tc>
        <w:bookmarkStart w:id="1" w:name="_Hlk175742142"/>
        <w:tc>
          <w:tcPr>
            <w:tcW w:w="3204" w:type="pct"/>
            <w:shd w:val="clear" w:color="auto" w:fill="auto"/>
          </w:tcPr>
          <w:p w14:paraId="1D39DE6D" w14:textId="28A1117D" w:rsidR="00E53DE9" w:rsidRPr="002864E4" w:rsidRDefault="00D53122" w:rsidP="00B95599">
            <w:pPr>
              <w:tabs>
                <w:tab w:val="left" w:pos="393"/>
              </w:tabs>
              <w:spacing w:before="120" w:after="0" w:line="240" w:lineRule="auto"/>
              <w:jc w:val="both"/>
              <w:rPr>
                <w:rFonts w:ascii="Times New Roman" w:eastAsia="Times New Roman" w:hAnsi="Times New Roman" w:cs="Times New Roman"/>
                <w:sz w:val="24"/>
                <w:szCs w:val="24"/>
                <w:lang w:eastAsia="lv-LV"/>
              </w:rPr>
            </w:pPr>
            <w:sdt>
              <w:sdtPr>
                <w:rPr>
                  <w:rFonts w:cs="Times New Roman"/>
                  <w:b/>
                  <w:szCs w:val="24"/>
                </w:rPr>
                <w:alias w:val="Nosaukums"/>
                <w:tag w:val="Nosaukums"/>
                <w:id w:val="25447728"/>
                <w:placeholder>
                  <w:docPart w:val="7EC30E1C2E854EC2B6A820590A88A3FE"/>
                </w:placeholder>
              </w:sdtPr>
              <w:sdtEndPr/>
              <w:sdtContent>
                <w:r w:rsidR="00711FBE" w:rsidRPr="002864E4">
                  <w:rPr>
                    <w:rFonts w:ascii="Times New Roman" w:hAnsi="Times New Roman" w:cs="Times New Roman"/>
                    <w:bCs/>
                    <w:sz w:val="24"/>
                    <w:szCs w:val="24"/>
                  </w:rPr>
                  <w:t>Noziedzīgi iegūtu līdzekļu legalizācijas un terorisma un proliferācijas finansēšanas novēršanas iekšējās kontroles sistēmas neatkarīga ārējā audita veikšanas noteikumi</w:t>
                </w:r>
                <w:r w:rsidR="002864E4" w:rsidRPr="002864E4">
                  <w:rPr>
                    <w:rFonts w:ascii="Times New Roman" w:hAnsi="Times New Roman" w:cs="Times New Roman"/>
                    <w:bCs/>
                    <w:sz w:val="24"/>
                    <w:szCs w:val="24"/>
                  </w:rPr>
                  <w:t xml:space="preserve"> (turpmāk</w:t>
                </w:r>
                <w:r w:rsidR="00B95599">
                  <w:rPr>
                    <w:rFonts w:ascii="Times New Roman" w:hAnsi="Times New Roman" w:cs="Times New Roman"/>
                    <w:bCs/>
                    <w:sz w:val="24"/>
                    <w:szCs w:val="24"/>
                  </w:rPr>
                  <w:t> </w:t>
                </w:r>
                <w:r w:rsidR="002864E4" w:rsidRPr="002864E4">
                  <w:rPr>
                    <w:rFonts w:ascii="Times New Roman" w:hAnsi="Times New Roman" w:cs="Times New Roman"/>
                    <w:bCs/>
                    <w:sz w:val="24"/>
                    <w:szCs w:val="24"/>
                  </w:rPr>
                  <w:t>– Noteikumu projekts).</w:t>
                </w:r>
              </w:sdtContent>
            </w:sdt>
            <w:bookmarkEnd w:id="1"/>
          </w:p>
        </w:tc>
      </w:tr>
      <w:tr w:rsidR="000B4E0A" w:rsidRPr="002864E4" w14:paraId="3198CF01" w14:textId="77777777" w:rsidTr="00E253DA">
        <w:trPr>
          <w:trHeight w:val="567"/>
        </w:trPr>
        <w:tc>
          <w:tcPr>
            <w:tcW w:w="1796" w:type="pct"/>
            <w:shd w:val="clear" w:color="auto" w:fill="auto"/>
            <w:hideMark/>
          </w:tcPr>
          <w:p w14:paraId="147798D9" w14:textId="77777777" w:rsidR="00A42788" w:rsidRPr="002864E4" w:rsidRDefault="00A42788" w:rsidP="000B4E0A">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Dokumenta veids</w:t>
            </w:r>
          </w:p>
          <w:p w14:paraId="4B2F82BD" w14:textId="77777777" w:rsidR="00CA28AB" w:rsidRPr="002864E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8B7788E" w14:textId="585951D2" w:rsidR="00E53DE9" w:rsidRPr="002864E4" w:rsidRDefault="002864E4" w:rsidP="00B95599">
            <w:pPr>
              <w:tabs>
                <w:tab w:val="left" w:pos="393"/>
              </w:tabs>
              <w:spacing w:before="120" w:after="0" w:line="240" w:lineRule="auto"/>
              <w:jc w:val="both"/>
              <w:rPr>
                <w:rFonts w:ascii="Times New Roman" w:eastAsia="Times New Roman" w:hAnsi="Times New Roman" w:cs="Times New Roman"/>
                <w:sz w:val="24"/>
                <w:szCs w:val="24"/>
                <w:lang w:eastAsia="lv-LV"/>
              </w:rPr>
            </w:pPr>
            <w:r w:rsidRPr="002864E4">
              <w:rPr>
                <w:rFonts w:ascii="Times New Roman" w:eastAsia="Times New Roman" w:hAnsi="Times New Roman" w:cs="Times New Roman"/>
                <w:sz w:val="24"/>
                <w:szCs w:val="24"/>
                <w:lang w:eastAsia="lv-LV"/>
              </w:rPr>
              <w:t>Latvijas Bankas noteikumi</w:t>
            </w:r>
          </w:p>
        </w:tc>
      </w:tr>
      <w:tr w:rsidR="000B4E0A" w:rsidRPr="002864E4" w14:paraId="24FD2629" w14:textId="77777777" w:rsidTr="00E253DA">
        <w:trPr>
          <w:trHeight w:val="567"/>
        </w:trPr>
        <w:tc>
          <w:tcPr>
            <w:tcW w:w="1796" w:type="pct"/>
            <w:shd w:val="clear" w:color="auto" w:fill="auto"/>
            <w:hideMark/>
          </w:tcPr>
          <w:p w14:paraId="4E4A3719" w14:textId="2945AE2B" w:rsidR="00A42788" w:rsidRPr="002864E4" w:rsidRDefault="00A42788" w:rsidP="000B4E0A">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Izdošanas pamatojums</w:t>
            </w:r>
          </w:p>
          <w:p w14:paraId="10309CD7" w14:textId="77777777" w:rsidR="00CA28AB" w:rsidRPr="002864E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1019BBF" w14:textId="2B381B06" w:rsidR="002864E4" w:rsidRPr="009567D8" w:rsidRDefault="002864E4" w:rsidP="00B95599">
            <w:pPr>
              <w:numPr>
                <w:ilvl w:val="0"/>
                <w:numId w:val="2"/>
              </w:numPr>
              <w:tabs>
                <w:tab w:val="left" w:pos="393"/>
              </w:tabs>
              <w:spacing w:before="120" w:after="0" w:line="240" w:lineRule="auto"/>
              <w:ind w:left="0" w:firstLine="0"/>
              <w:jc w:val="both"/>
              <w:rPr>
                <w:rFonts w:ascii="Times New Roman" w:eastAsia="Times New Roman" w:hAnsi="Times New Roman" w:cs="Times New Roman"/>
                <w:sz w:val="24"/>
                <w:szCs w:val="24"/>
                <w:lang w:eastAsia="lv-LV"/>
              </w:rPr>
            </w:pPr>
            <w:r w:rsidRPr="002864E4">
              <w:rPr>
                <w:rFonts w:ascii="Times New Roman" w:eastAsia="Times New Roman" w:hAnsi="Times New Roman" w:cs="Times New Roman"/>
                <w:sz w:val="24"/>
                <w:szCs w:val="24"/>
                <w:lang w:eastAsia="lv-LV"/>
              </w:rPr>
              <w:t xml:space="preserve">Noziedzīgi iegūtu līdzekļu legalizācijas un terorisma un proliferācijas finansēšanas novēršanas likuma </w:t>
            </w:r>
            <w:r w:rsidR="008015F8">
              <w:rPr>
                <w:rFonts w:ascii="Times New Roman" w:eastAsia="Times New Roman" w:hAnsi="Times New Roman" w:cs="Times New Roman"/>
                <w:sz w:val="24"/>
                <w:szCs w:val="24"/>
                <w:lang w:eastAsia="lv-LV"/>
              </w:rPr>
              <w:t>(turpmāk</w:t>
            </w:r>
            <w:r w:rsidR="00B95599">
              <w:rPr>
                <w:rFonts w:ascii="Times New Roman" w:eastAsia="Times New Roman" w:hAnsi="Times New Roman" w:cs="Times New Roman"/>
                <w:sz w:val="24"/>
                <w:szCs w:val="24"/>
                <w:lang w:eastAsia="lv-LV"/>
              </w:rPr>
              <w:t> </w:t>
            </w:r>
            <w:r w:rsidR="008015F8">
              <w:rPr>
                <w:rFonts w:ascii="Times New Roman" w:eastAsia="Times New Roman" w:hAnsi="Times New Roman" w:cs="Times New Roman"/>
                <w:sz w:val="24"/>
                <w:szCs w:val="24"/>
                <w:lang w:eastAsia="lv-LV"/>
              </w:rPr>
              <w:t xml:space="preserve">– Novēršanas likums) </w:t>
            </w:r>
            <w:r w:rsidRPr="002864E4">
              <w:rPr>
                <w:rFonts w:ascii="Times New Roman" w:eastAsia="Times New Roman" w:hAnsi="Times New Roman" w:cs="Times New Roman"/>
                <w:sz w:val="24"/>
                <w:szCs w:val="24"/>
                <w:lang w:eastAsia="lv-LV"/>
              </w:rPr>
              <w:t xml:space="preserve">47. panta otrās daļas </w:t>
            </w:r>
            <w:r w:rsidR="00512A9C">
              <w:rPr>
                <w:rFonts w:ascii="Times New Roman" w:eastAsia="Times New Roman" w:hAnsi="Times New Roman" w:cs="Times New Roman"/>
                <w:sz w:val="24"/>
                <w:szCs w:val="24"/>
                <w:lang w:eastAsia="lv-LV"/>
              </w:rPr>
              <w:t>2</w:t>
            </w:r>
            <w:r w:rsidRPr="002864E4">
              <w:rPr>
                <w:rFonts w:ascii="Times New Roman" w:eastAsia="Times New Roman" w:hAnsi="Times New Roman" w:cs="Times New Roman"/>
                <w:sz w:val="24"/>
                <w:szCs w:val="24"/>
                <w:lang w:eastAsia="lv-LV"/>
              </w:rPr>
              <w:t>. punkts</w:t>
            </w:r>
            <w:r w:rsidR="00FA55BA">
              <w:rPr>
                <w:rFonts w:ascii="Times New Roman" w:eastAsia="Times New Roman" w:hAnsi="Times New Roman" w:cs="Times New Roman"/>
                <w:sz w:val="24"/>
                <w:szCs w:val="24"/>
                <w:lang w:eastAsia="lv-LV"/>
              </w:rPr>
              <w:t>;</w:t>
            </w:r>
          </w:p>
          <w:p w14:paraId="33FDA704" w14:textId="53E8473C" w:rsidR="00711FBE" w:rsidRPr="002864E4" w:rsidRDefault="002864E4" w:rsidP="00B95599">
            <w:pPr>
              <w:numPr>
                <w:ilvl w:val="0"/>
                <w:numId w:val="2"/>
              </w:numPr>
              <w:tabs>
                <w:tab w:val="left" w:pos="393"/>
              </w:tabs>
              <w:spacing w:before="120" w:after="0" w:line="240" w:lineRule="auto"/>
              <w:ind w:left="0" w:firstLine="0"/>
              <w:jc w:val="both"/>
              <w:rPr>
                <w:rFonts w:ascii="Times New Roman" w:eastAsia="Times New Roman" w:hAnsi="Times New Roman" w:cs="Times New Roman"/>
                <w:sz w:val="24"/>
                <w:szCs w:val="24"/>
                <w:lang w:eastAsia="lv-LV"/>
              </w:rPr>
            </w:pPr>
            <w:r w:rsidRPr="002864E4">
              <w:rPr>
                <w:rFonts w:ascii="Times New Roman" w:eastAsia="Times New Roman" w:hAnsi="Times New Roman" w:cs="Times New Roman"/>
                <w:sz w:val="24"/>
                <w:szCs w:val="24"/>
                <w:lang w:eastAsia="lv-LV"/>
              </w:rPr>
              <w:t>Latvijas Bankas likuma pārejas noteikumu 3. punkts.</w:t>
            </w:r>
          </w:p>
        </w:tc>
      </w:tr>
      <w:tr w:rsidR="000B4E0A" w:rsidRPr="002864E4" w14:paraId="59028CAC" w14:textId="77777777" w:rsidTr="00E253DA">
        <w:trPr>
          <w:trHeight w:val="567"/>
        </w:trPr>
        <w:tc>
          <w:tcPr>
            <w:tcW w:w="1796" w:type="pct"/>
            <w:shd w:val="clear" w:color="auto" w:fill="auto"/>
            <w:hideMark/>
          </w:tcPr>
          <w:p w14:paraId="1EADC757" w14:textId="77777777" w:rsidR="00A42788" w:rsidRPr="002864E4" w:rsidRDefault="00A42788" w:rsidP="000B4E0A">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Mērķis un būtība</w:t>
            </w:r>
          </w:p>
          <w:p w14:paraId="0BC52349" w14:textId="77777777" w:rsidR="00CA28AB" w:rsidRPr="002864E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CD3C9A7" w14:textId="2B8318EA" w:rsidR="00E53DE9" w:rsidRDefault="009567D8" w:rsidP="00B95599">
            <w:pPr>
              <w:pStyle w:val="NApunkts1"/>
              <w:numPr>
                <w:ilvl w:val="0"/>
                <w:numId w:val="0"/>
              </w:numPr>
              <w:tabs>
                <w:tab w:val="left" w:pos="393"/>
              </w:tabs>
              <w:spacing w:before="120"/>
            </w:pPr>
            <w:r>
              <w:t xml:space="preserve">Ņemot vērā </w:t>
            </w:r>
            <w:r w:rsidRPr="002864E4">
              <w:t>Latvijas Bankas likuma pārejas noteikumu 3. punkt</w:t>
            </w:r>
            <w:r>
              <w:t xml:space="preserve">u, kas nosaka, ka </w:t>
            </w:r>
            <w:r w:rsidRPr="009567D8">
              <w:t>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w:t>
            </w:r>
            <w:r w:rsidR="00B95599">
              <w:t> </w:t>
            </w:r>
            <w:r w:rsidRPr="009567D8">
              <w:t>gada 31.</w:t>
            </w:r>
            <w:r w:rsidR="00B95599">
              <w:t> </w:t>
            </w:r>
            <w:r w:rsidRPr="009567D8">
              <w:t>decembrim</w:t>
            </w:r>
            <w:r>
              <w:t>, ir nepieciešams nodrošināt normatīvo regulējumu, kas paredz finanšu tirgus dalībnieku n</w:t>
            </w:r>
            <w:r w:rsidRPr="002864E4">
              <w:t>oziedzīgi iegūtu līdzekļu legalizācijas un terorisma un proliferācijas finansēšanas novēršanas iekšējās kontroles sistēmas neatkarīga izvērtējuma veikšanas</w:t>
            </w:r>
            <w:r>
              <w:t xml:space="preserve"> kārtību.</w:t>
            </w:r>
          </w:p>
          <w:p w14:paraId="7958BEE1" w14:textId="227178EB" w:rsidR="009567D8" w:rsidRDefault="00C375B6" w:rsidP="00B95599">
            <w:pPr>
              <w:pStyle w:val="NApunkts1"/>
              <w:numPr>
                <w:ilvl w:val="0"/>
                <w:numId w:val="0"/>
              </w:numPr>
              <w:tabs>
                <w:tab w:val="left" w:pos="393"/>
              </w:tabs>
              <w:spacing w:before="120"/>
            </w:pPr>
            <w:r>
              <w:t>Noteikumu projekts aizstās Fi</w:t>
            </w:r>
            <w:r w:rsidR="009567D8" w:rsidRPr="002864E4">
              <w:t>nanšu un kapitāla tirgus komisijas 2020.</w:t>
            </w:r>
            <w:r w:rsidR="00FA55BA">
              <w:t> gada 1. septembra</w:t>
            </w:r>
            <w:r w:rsidR="009567D8" w:rsidRPr="002864E4">
              <w:t xml:space="preserve"> normatīv</w:t>
            </w:r>
            <w:r>
              <w:t>os</w:t>
            </w:r>
            <w:r w:rsidR="009567D8" w:rsidRPr="002864E4">
              <w:t xml:space="preserve"> noteikum</w:t>
            </w:r>
            <w:r>
              <w:t>us</w:t>
            </w:r>
            <w:r w:rsidR="009567D8" w:rsidRPr="002864E4">
              <w:t xml:space="preserve"> Nr.</w:t>
            </w:r>
            <w:r w:rsidR="00B95599">
              <w:t> </w:t>
            </w:r>
            <w:r w:rsidR="009567D8" w:rsidRPr="002864E4">
              <w:t>148 "Noziedzīgi iegūtu līdzekļu legalizācijas un terorisma un proliferācijas finansēšanas novēršanas iekšējās kontroles sistēmas neatkarīga izvērtējuma veikšanas normatīvie noteikumi"</w:t>
            </w:r>
            <w:r w:rsidR="009567D8">
              <w:t xml:space="preserve"> (turpmāk</w:t>
            </w:r>
            <w:r w:rsidR="00B95599">
              <w:t> </w:t>
            </w:r>
            <w:r w:rsidR="009567D8">
              <w:t>– Noteikumi Nr.</w:t>
            </w:r>
            <w:r w:rsidR="00B95599">
              <w:t> </w:t>
            </w:r>
            <w:r w:rsidR="009567D8">
              <w:t>148).</w:t>
            </w:r>
          </w:p>
          <w:p w14:paraId="3644AF7C" w14:textId="4BBD397E" w:rsidR="009567D8" w:rsidRPr="00571AF1" w:rsidRDefault="009567D8" w:rsidP="00B95599">
            <w:pPr>
              <w:tabs>
                <w:tab w:val="left" w:pos="393"/>
              </w:tabs>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Noteikumu projekts </w:t>
            </w:r>
            <w:r w:rsidRPr="00571AF1">
              <w:rPr>
                <w:rFonts w:ascii="Times New Roman" w:eastAsia="Times New Roman" w:hAnsi="Times New Roman" w:cs="Times New Roman"/>
                <w:sz w:val="24"/>
                <w:szCs w:val="24"/>
              </w:rPr>
              <w:t>saturiski ir līdzīgs Noteikumiem Nr. </w:t>
            </w:r>
            <w:r w:rsidR="0085387B" w:rsidRPr="00571AF1">
              <w:rPr>
                <w:rFonts w:ascii="Times New Roman" w:eastAsia="Times New Roman" w:hAnsi="Times New Roman" w:cs="Times New Roman"/>
                <w:sz w:val="24"/>
                <w:szCs w:val="24"/>
              </w:rPr>
              <w:t>148</w:t>
            </w:r>
            <w:r w:rsidRPr="00571AF1">
              <w:rPr>
                <w:rFonts w:ascii="Times New Roman" w:eastAsia="Times New Roman" w:hAnsi="Times New Roman" w:cs="Times New Roman"/>
                <w:sz w:val="24"/>
                <w:szCs w:val="24"/>
              </w:rPr>
              <w:t>, tomēr tajā ir šādas būtiskas izmaiņas</w:t>
            </w:r>
            <w:r w:rsidR="0085387B" w:rsidRPr="00571AF1">
              <w:rPr>
                <w:rFonts w:ascii="Times New Roman" w:eastAsia="Times New Roman" w:hAnsi="Times New Roman" w:cs="Times New Roman"/>
                <w:sz w:val="24"/>
                <w:szCs w:val="24"/>
              </w:rPr>
              <w:t>:</w:t>
            </w:r>
          </w:p>
          <w:p w14:paraId="32CA0D62" w14:textId="7D81669A" w:rsidR="0085387B" w:rsidRPr="00571AF1" w:rsidRDefault="00FA55BA" w:rsidP="00B95599">
            <w:pPr>
              <w:pStyle w:val="ListParagraph"/>
              <w:numPr>
                <w:ilvl w:val="0"/>
                <w:numId w:val="3"/>
              </w:numPr>
              <w:tabs>
                <w:tab w:val="left" w:pos="393"/>
              </w:tabs>
              <w:spacing w:before="120" w:after="0" w:line="240" w:lineRule="auto"/>
              <w:ind w:left="0" w:firstLine="0"/>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EB26D7" w:rsidRPr="00571AF1">
              <w:rPr>
                <w:rFonts w:ascii="Times New Roman" w:eastAsia="Times New Roman" w:hAnsi="Times New Roman" w:cs="Times New Roman"/>
                <w:sz w:val="24"/>
                <w:szCs w:val="24"/>
              </w:rPr>
              <w:t xml:space="preserve">oteikts </w:t>
            </w:r>
            <w:r w:rsidR="00D05D95">
              <w:rPr>
                <w:rFonts w:ascii="Times New Roman" w:eastAsia="Times New Roman" w:hAnsi="Times New Roman" w:cs="Times New Roman"/>
                <w:sz w:val="24"/>
                <w:szCs w:val="24"/>
              </w:rPr>
              <w:t>ilgāks</w:t>
            </w:r>
            <w:r w:rsidR="00D05D95" w:rsidRPr="00571AF1">
              <w:rPr>
                <w:rFonts w:ascii="Times New Roman" w:eastAsia="Times New Roman" w:hAnsi="Times New Roman" w:cs="Times New Roman"/>
                <w:sz w:val="24"/>
                <w:szCs w:val="24"/>
              </w:rPr>
              <w:t xml:space="preserve"> </w:t>
            </w:r>
            <w:r w:rsidR="0085387B" w:rsidRPr="00571AF1">
              <w:rPr>
                <w:rFonts w:ascii="Times New Roman" w:eastAsia="Times New Roman" w:hAnsi="Times New Roman" w:cs="Times New Roman"/>
                <w:sz w:val="24"/>
                <w:szCs w:val="24"/>
              </w:rPr>
              <w:t>periods, kurā</w:t>
            </w:r>
            <w:r w:rsidR="00EB26D7" w:rsidRPr="00571AF1">
              <w:rPr>
                <w:rFonts w:ascii="Times New Roman" w:eastAsia="Times New Roman" w:hAnsi="Times New Roman" w:cs="Times New Roman"/>
                <w:sz w:val="24"/>
                <w:szCs w:val="24"/>
              </w:rPr>
              <w:t xml:space="preserve"> finanšu</w:t>
            </w:r>
            <w:r w:rsidR="0085387B" w:rsidRPr="00571AF1">
              <w:rPr>
                <w:rFonts w:ascii="Times New Roman" w:eastAsia="Times New Roman" w:hAnsi="Times New Roman" w:cs="Times New Roman"/>
                <w:sz w:val="24"/>
                <w:szCs w:val="24"/>
              </w:rPr>
              <w:t xml:space="preserve"> tirgus dalībniekiem jāveic iekšējās kontroles sistēmas neatkarīgs ārējais audits</w:t>
            </w:r>
            <w:r w:rsidR="008015F8" w:rsidRPr="00571AF1">
              <w:rPr>
                <w:rFonts w:ascii="Times New Roman" w:eastAsia="Times New Roman" w:hAnsi="Times New Roman" w:cs="Times New Roman"/>
                <w:sz w:val="24"/>
                <w:szCs w:val="24"/>
              </w:rPr>
              <w:t xml:space="preserve"> (turpmāk</w:t>
            </w:r>
            <w:r w:rsidR="00B95599" w:rsidRPr="00571AF1">
              <w:rPr>
                <w:rFonts w:ascii="Times New Roman" w:eastAsia="Times New Roman" w:hAnsi="Times New Roman" w:cs="Times New Roman"/>
                <w:sz w:val="24"/>
                <w:szCs w:val="24"/>
              </w:rPr>
              <w:t> </w:t>
            </w:r>
            <w:r w:rsidR="008015F8" w:rsidRPr="00571AF1">
              <w:rPr>
                <w:rFonts w:ascii="Times New Roman" w:eastAsia="Times New Roman" w:hAnsi="Times New Roman" w:cs="Times New Roman"/>
                <w:sz w:val="24"/>
                <w:szCs w:val="24"/>
              </w:rPr>
              <w:t>– audits)</w:t>
            </w:r>
            <w:r w:rsidR="0085387B" w:rsidRPr="00571AF1">
              <w:rPr>
                <w:rFonts w:ascii="Times New Roman" w:eastAsia="Times New Roman" w:hAnsi="Times New Roman" w:cs="Times New Roman"/>
                <w:sz w:val="24"/>
                <w:szCs w:val="24"/>
              </w:rPr>
              <w:t>. Šis periods, identiski kā Noteikumos Nr.</w:t>
            </w:r>
            <w:r w:rsidR="00B95599" w:rsidRPr="00571AF1">
              <w:rPr>
                <w:rFonts w:ascii="Times New Roman" w:eastAsia="Times New Roman" w:hAnsi="Times New Roman" w:cs="Times New Roman"/>
                <w:sz w:val="24"/>
                <w:szCs w:val="24"/>
              </w:rPr>
              <w:t> </w:t>
            </w:r>
            <w:r w:rsidR="0085387B" w:rsidRPr="00571AF1">
              <w:rPr>
                <w:rFonts w:ascii="Times New Roman" w:eastAsia="Times New Roman" w:hAnsi="Times New Roman" w:cs="Times New Roman"/>
                <w:sz w:val="24"/>
                <w:szCs w:val="24"/>
              </w:rPr>
              <w:t xml:space="preserve">148, </w:t>
            </w:r>
            <w:r w:rsidR="00260FA2" w:rsidRPr="00571AF1">
              <w:rPr>
                <w:rFonts w:ascii="Times New Roman" w:eastAsia="Times New Roman" w:hAnsi="Times New Roman" w:cs="Times New Roman"/>
                <w:sz w:val="24"/>
                <w:szCs w:val="24"/>
              </w:rPr>
              <w:t xml:space="preserve">ir atkarīgs no </w:t>
            </w:r>
            <w:r w:rsidR="00EB26D7" w:rsidRPr="00571AF1">
              <w:rPr>
                <w:rFonts w:ascii="Times New Roman" w:eastAsia="Times New Roman" w:hAnsi="Times New Roman" w:cs="Times New Roman"/>
                <w:sz w:val="24"/>
                <w:szCs w:val="24"/>
              </w:rPr>
              <w:t xml:space="preserve">finanšu </w:t>
            </w:r>
            <w:r w:rsidR="00260FA2" w:rsidRPr="00571AF1">
              <w:rPr>
                <w:rFonts w:ascii="Times New Roman" w:eastAsia="Times New Roman" w:hAnsi="Times New Roman" w:cs="Times New Roman"/>
                <w:sz w:val="24"/>
                <w:szCs w:val="24"/>
              </w:rPr>
              <w:t>tirgus dalībniekam</w:t>
            </w:r>
            <w:r w:rsidR="00EB26D7" w:rsidRPr="00571AF1">
              <w:rPr>
                <w:rFonts w:ascii="Times New Roman" w:eastAsia="Times New Roman" w:hAnsi="Times New Roman" w:cs="Times New Roman"/>
                <w:sz w:val="24"/>
                <w:szCs w:val="24"/>
              </w:rPr>
              <w:t xml:space="preserve"> </w:t>
            </w:r>
            <w:r w:rsidR="00260FA2" w:rsidRPr="00571AF1">
              <w:rPr>
                <w:rFonts w:ascii="Times New Roman" w:eastAsia="Times New Roman" w:hAnsi="Times New Roman" w:cs="Times New Roman"/>
                <w:sz w:val="24"/>
                <w:szCs w:val="24"/>
              </w:rPr>
              <w:t>piemītošā noziedzīgi iegūtu līdzekļu legalizācijas un terorisma un proliferācijas finansēšanas riska (turpmāk</w:t>
            </w:r>
            <w:r w:rsidR="00B95599" w:rsidRPr="00571AF1">
              <w:rPr>
                <w:rFonts w:ascii="Times New Roman" w:eastAsia="Times New Roman" w:hAnsi="Times New Roman" w:cs="Times New Roman"/>
                <w:sz w:val="24"/>
                <w:szCs w:val="24"/>
              </w:rPr>
              <w:t> </w:t>
            </w:r>
            <w:r w:rsidR="00260FA2" w:rsidRPr="00571AF1">
              <w:rPr>
                <w:rFonts w:ascii="Times New Roman" w:eastAsia="Times New Roman" w:hAnsi="Times New Roman" w:cs="Times New Roman"/>
                <w:sz w:val="24"/>
                <w:szCs w:val="24"/>
              </w:rPr>
              <w:t xml:space="preserve">– NILLTPF risks) līmeņa, </w:t>
            </w:r>
            <w:r w:rsidR="00C5201C" w:rsidRPr="00571AF1">
              <w:rPr>
                <w:rFonts w:ascii="Times New Roman" w:eastAsia="Times New Roman" w:hAnsi="Times New Roman" w:cs="Times New Roman"/>
                <w:sz w:val="24"/>
                <w:szCs w:val="24"/>
              </w:rPr>
              <w:t xml:space="preserve">paredzot auditu veikt ar šādu </w:t>
            </w:r>
            <w:r w:rsidR="00EB26D7" w:rsidRPr="00571AF1">
              <w:rPr>
                <w:rFonts w:ascii="Times New Roman" w:eastAsia="Times New Roman" w:hAnsi="Times New Roman" w:cs="Times New Roman"/>
                <w:sz w:val="24"/>
                <w:szCs w:val="24"/>
              </w:rPr>
              <w:t>regularitāt</w:t>
            </w:r>
            <w:r w:rsidR="00C5201C" w:rsidRPr="00571AF1">
              <w:rPr>
                <w:rFonts w:ascii="Times New Roman" w:eastAsia="Times New Roman" w:hAnsi="Times New Roman" w:cs="Times New Roman"/>
                <w:sz w:val="24"/>
                <w:szCs w:val="24"/>
              </w:rPr>
              <w:t>i</w:t>
            </w:r>
            <w:r w:rsidR="00260FA2" w:rsidRPr="00571AF1">
              <w:rPr>
                <w:rFonts w:ascii="Times New Roman" w:eastAsia="Times New Roman" w:hAnsi="Times New Roman" w:cs="Times New Roman"/>
                <w:sz w:val="24"/>
                <w:szCs w:val="24"/>
              </w:rPr>
              <w:t>:</w:t>
            </w:r>
          </w:p>
          <w:p w14:paraId="3E6E8B46" w14:textId="0A4F8309" w:rsidR="00260FA2" w:rsidRPr="00571AF1" w:rsidRDefault="00EB26D7" w:rsidP="00331906">
            <w:pPr>
              <w:pStyle w:val="ListParagraph"/>
              <w:numPr>
                <w:ilvl w:val="0"/>
                <w:numId w:val="4"/>
              </w:numPr>
              <w:tabs>
                <w:tab w:val="left" w:pos="393"/>
              </w:tabs>
              <w:spacing w:after="0" w:line="240" w:lineRule="auto"/>
              <w:ind w:left="0" w:firstLine="0"/>
              <w:contextualSpacing w:val="0"/>
              <w:jc w:val="both"/>
              <w:rPr>
                <w:rFonts w:ascii="Times New Roman" w:eastAsia="Times New Roman" w:hAnsi="Times New Roman" w:cs="Times New Roman"/>
                <w:sz w:val="24"/>
                <w:szCs w:val="24"/>
              </w:rPr>
            </w:pPr>
            <w:r w:rsidRPr="00571AF1">
              <w:rPr>
                <w:rFonts w:ascii="Times New Roman" w:eastAsia="Times New Roman" w:hAnsi="Times New Roman" w:cs="Times New Roman"/>
                <w:sz w:val="24"/>
                <w:szCs w:val="24"/>
              </w:rPr>
              <w:t>finanšu tirgus dalībnieks, kam piemīt</w:t>
            </w:r>
            <w:r w:rsidR="00260FA2" w:rsidRPr="00571AF1">
              <w:rPr>
                <w:rFonts w:ascii="Times New Roman" w:eastAsia="Times New Roman" w:hAnsi="Times New Roman" w:cs="Times New Roman"/>
                <w:sz w:val="24"/>
                <w:szCs w:val="24"/>
              </w:rPr>
              <w:t xml:space="preserve"> zem</w:t>
            </w:r>
            <w:r w:rsidRPr="00571AF1">
              <w:rPr>
                <w:rFonts w:ascii="Times New Roman" w:eastAsia="Times New Roman" w:hAnsi="Times New Roman" w:cs="Times New Roman"/>
                <w:sz w:val="24"/>
                <w:szCs w:val="24"/>
              </w:rPr>
              <w:t>s</w:t>
            </w:r>
            <w:r w:rsidR="00260FA2" w:rsidRPr="00571AF1">
              <w:rPr>
                <w:rFonts w:ascii="Times New Roman" w:eastAsia="Times New Roman" w:hAnsi="Times New Roman" w:cs="Times New Roman"/>
                <w:sz w:val="24"/>
                <w:szCs w:val="24"/>
              </w:rPr>
              <w:t xml:space="preserve"> NILLTPF risk</w:t>
            </w:r>
            <w:r w:rsidRPr="00571AF1">
              <w:rPr>
                <w:rFonts w:ascii="Times New Roman" w:eastAsia="Times New Roman" w:hAnsi="Times New Roman" w:cs="Times New Roman"/>
                <w:sz w:val="24"/>
                <w:szCs w:val="24"/>
              </w:rPr>
              <w:t>s</w:t>
            </w:r>
            <w:r w:rsidR="00331906">
              <w:rPr>
                <w:rFonts w:ascii="Times New Roman" w:eastAsia="Times New Roman" w:hAnsi="Times New Roman" w:cs="Times New Roman"/>
                <w:sz w:val="24"/>
                <w:szCs w:val="24"/>
              </w:rPr>
              <w:t> </w:t>
            </w:r>
            <w:r w:rsidR="00260FA2" w:rsidRPr="00571AF1">
              <w:rPr>
                <w:rFonts w:ascii="Times New Roman" w:eastAsia="Times New Roman" w:hAnsi="Times New Roman" w:cs="Times New Roman"/>
                <w:sz w:val="24"/>
                <w:szCs w:val="24"/>
              </w:rPr>
              <w:t xml:space="preserve">– </w:t>
            </w:r>
            <w:r w:rsidRPr="00571AF1">
              <w:rPr>
                <w:rFonts w:ascii="Times New Roman" w:eastAsia="Times New Roman" w:hAnsi="Times New Roman" w:cs="Times New Roman"/>
                <w:sz w:val="24"/>
                <w:szCs w:val="24"/>
              </w:rPr>
              <w:t>reizi piecos gados (iepriekš</w:t>
            </w:r>
            <w:r w:rsidR="00B95599" w:rsidRPr="00571AF1">
              <w:rPr>
                <w:rFonts w:ascii="Times New Roman" w:eastAsia="Times New Roman" w:hAnsi="Times New Roman" w:cs="Times New Roman"/>
                <w:sz w:val="24"/>
                <w:szCs w:val="24"/>
              </w:rPr>
              <w:t> </w:t>
            </w:r>
            <w:r w:rsidRPr="00571AF1">
              <w:rPr>
                <w:rFonts w:ascii="Times New Roman" w:eastAsia="Times New Roman" w:hAnsi="Times New Roman" w:cs="Times New Roman"/>
                <w:sz w:val="24"/>
                <w:szCs w:val="24"/>
              </w:rPr>
              <w:t>– reizi četros gados)</w:t>
            </w:r>
            <w:r w:rsidR="00260FA2" w:rsidRPr="00571AF1">
              <w:rPr>
                <w:rFonts w:ascii="Times New Roman" w:eastAsia="Times New Roman" w:hAnsi="Times New Roman" w:cs="Times New Roman"/>
                <w:sz w:val="24"/>
                <w:szCs w:val="24"/>
              </w:rPr>
              <w:t>;</w:t>
            </w:r>
          </w:p>
          <w:p w14:paraId="382C7970" w14:textId="579EBD14" w:rsidR="00260FA2" w:rsidRPr="00571AF1" w:rsidRDefault="00EB26D7" w:rsidP="00331906">
            <w:pPr>
              <w:pStyle w:val="ListParagraph"/>
              <w:numPr>
                <w:ilvl w:val="0"/>
                <w:numId w:val="4"/>
              </w:numPr>
              <w:tabs>
                <w:tab w:val="left" w:pos="393"/>
              </w:tabs>
              <w:spacing w:after="0" w:line="240" w:lineRule="auto"/>
              <w:ind w:left="0" w:firstLine="0"/>
              <w:contextualSpacing w:val="0"/>
              <w:jc w:val="both"/>
              <w:rPr>
                <w:rFonts w:ascii="Times New Roman" w:eastAsia="Times New Roman" w:hAnsi="Times New Roman" w:cs="Times New Roman"/>
                <w:sz w:val="24"/>
                <w:szCs w:val="24"/>
              </w:rPr>
            </w:pPr>
            <w:r w:rsidRPr="00571AF1">
              <w:rPr>
                <w:rFonts w:ascii="Times New Roman" w:eastAsia="Times New Roman" w:hAnsi="Times New Roman" w:cs="Times New Roman"/>
                <w:sz w:val="24"/>
                <w:szCs w:val="24"/>
              </w:rPr>
              <w:lastRenderedPageBreak/>
              <w:t xml:space="preserve">finanšu tirgus dalībnieks, kam piemīt </w:t>
            </w:r>
            <w:r w:rsidR="00260FA2" w:rsidRPr="00571AF1">
              <w:rPr>
                <w:rFonts w:ascii="Times New Roman" w:eastAsia="Times New Roman" w:hAnsi="Times New Roman" w:cs="Times New Roman"/>
                <w:sz w:val="24"/>
                <w:szCs w:val="24"/>
              </w:rPr>
              <w:t>vidēji zem</w:t>
            </w:r>
            <w:r w:rsidRPr="00571AF1">
              <w:rPr>
                <w:rFonts w:ascii="Times New Roman" w:eastAsia="Times New Roman" w:hAnsi="Times New Roman" w:cs="Times New Roman"/>
                <w:sz w:val="24"/>
                <w:szCs w:val="24"/>
              </w:rPr>
              <w:t>s</w:t>
            </w:r>
            <w:r w:rsidR="00260FA2" w:rsidRPr="00571AF1">
              <w:rPr>
                <w:rFonts w:ascii="Times New Roman" w:eastAsia="Times New Roman" w:hAnsi="Times New Roman" w:cs="Times New Roman"/>
                <w:sz w:val="24"/>
                <w:szCs w:val="24"/>
              </w:rPr>
              <w:t xml:space="preserve"> NILLTPF risk</w:t>
            </w:r>
            <w:r w:rsidRPr="00571AF1">
              <w:rPr>
                <w:rFonts w:ascii="Times New Roman" w:eastAsia="Times New Roman" w:hAnsi="Times New Roman" w:cs="Times New Roman"/>
                <w:sz w:val="24"/>
                <w:szCs w:val="24"/>
              </w:rPr>
              <w:t>s</w:t>
            </w:r>
            <w:r w:rsidR="00B95599" w:rsidRPr="00571AF1">
              <w:rPr>
                <w:rFonts w:ascii="Times New Roman" w:eastAsia="Times New Roman" w:hAnsi="Times New Roman" w:cs="Times New Roman"/>
                <w:sz w:val="24"/>
                <w:szCs w:val="24"/>
              </w:rPr>
              <w:t> </w:t>
            </w:r>
            <w:r w:rsidR="00260FA2" w:rsidRPr="00571AF1">
              <w:rPr>
                <w:rFonts w:ascii="Times New Roman" w:eastAsia="Times New Roman" w:hAnsi="Times New Roman" w:cs="Times New Roman"/>
                <w:sz w:val="24"/>
                <w:szCs w:val="24"/>
              </w:rPr>
              <w:t xml:space="preserve">– </w:t>
            </w:r>
            <w:r w:rsidRPr="00571AF1">
              <w:rPr>
                <w:rFonts w:ascii="Times New Roman" w:eastAsia="Times New Roman" w:hAnsi="Times New Roman" w:cs="Times New Roman"/>
                <w:sz w:val="24"/>
                <w:szCs w:val="24"/>
              </w:rPr>
              <w:t>reizi četros gados (iepriekš</w:t>
            </w:r>
            <w:r w:rsidR="00331906">
              <w:rPr>
                <w:rFonts w:ascii="Times New Roman" w:eastAsia="Times New Roman" w:hAnsi="Times New Roman" w:cs="Times New Roman"/>
                <w:sz w:val="24"/>
                <w:szCs w:val="24"/>
              </w:rPr>
              <w:t> </w:t>
            </w:r>
            <w:r w:rsidRPr="00571AF1">
              <w:rPr>
                <w:rFonts w:ascii="Times New Roman" w:eastAsia="Times New Roman" w:hAnsi="Times New Roman" w:cs="Times New Roman"/>
                <w:sz w:val="24"/>
                <w:szCs w:val="24"/>
              </w:rPr>
              <w:t>– reizi gados)</w:t>
            </w:r>
            <w:r w:rsidR="00260FA2" w:rsidRPr="00571AF1">
              <w:rPr>
                <w:rFonts w:ascii="Times New Roman" w:eastAsia="Times New Roman" w:hAnsi="Times New Roman" w:cs="Times New Roman"/>
                <w:sz w:val="24"/>
                <w:szCs w:val="24"/>
              </w:rPr>
              <w:t>;</w:t>
            </w:r>
          </w:p>
          <w:p w14:paraId="51359FB6" w14:textId="74B6081B" w:rsidR="00260FA2" w:rsidRPr="00331906" w:rsidRDefault="00EB26D7" w:rsidP="00331906">
            <w:pPr>
              <w:pStyle w:val="ListParagraph"/>
              <w:numPr>
                <w:ilvl w:val="0"/>
                <w:numId w:val="4"/>
              </w:numPr>
              <w:tabs>
                <w:tab w:val="left" w:pos="393"/>
              </w:tabs>
              <w:spacing w:after="0" w:line="240" w:lineRule="auto"/>
              <w:ind w:left="0" w:firstLine="0"/>
              <w:contextualSpacing w:val="0"/>
              <w:jc w:val="both"/>
              <w:rPr>
                <w:rFonts w:ascii="Times New Roman" w:eastAsia="Times New Roman" w:hAnsi="Times New Roman" w:cs="Times New Roman"/>
                <w:sz w:val="24"/>
                <w:szCs w:val="24"/>
              </w:rPr>
            </w:pPr>
            <w:r w:rsidRPr="00571AF1">
              <w:rPr>
                <w:rFonts w:ascii="Times New Roman" w:eastAsia="Times New Roman" w:hAnsi="Times New Roman" w:cs="Times New Roman"/>
                <w:sz w:val="24"/>
                <w:szCs w:val="24"/>
              </w:rPr>
              <w:t>finanšu tirgus dalībnieks, kam piemīt</w:t>
            </w:r>
            <w:r w:rsidR="00260FA2" w:rsidRPr="00571AF1">
              <w:rPr>
                <w:rFonts w:ascii="Times New Roman" w:eastAsia="Times New Roman" w:hAnsi="Times New Roman" w:cs="Times New Roman"/>
                <w:sz w:val="24"/>
                <w:szCs w:val="24"/>
              </w:rPr>
              <w:t xml:space="preserve"> vidēji augst</w:t>
            </w:r>
            <w:r w:rsidRPr="00571AF1">
              <w:rPr>
                <w:rFonts w:ascii="Times New Roman" w:eastAsia="Times New Roman" w:hAnsi="Times New Roman" w:cs="Times New Roman"/>
                <w:sz w:val="24"/>
                <w:szCs w:val="24"/>
              </w:rPr>
              <w:t>s</w:t>
            </w:r>
            <w:r w:rsidR="00260FA2" w:rsidRPr="00571AF1">
              <w:rPr>
                <w:rFonts w:ascii="Times New Roman" w:eastAsia="Times New Roman" w:hAnsi="Times New Roman" w:cs="Times New Roman"/>
                <w:sz w:val="24"/>
                <w:szCs w:val="24"/>
              </w:rPr>
              <w:t xml:space="preserve"> NILLTPF risk</w:t>
            </w:r>
            <w:r w:rsidRPr="00571AF1">
              <w:rPr>
                <w:rFonts w:ascii="Times New Roman" w:eastAsia="Times New Roman" w:hAnsi="Times New Roman" w:cs="Times New Roman"/>
                <w:sz w:val="24"/>
                <w:szCs w:val="24"/>
              </w:rPr>
              <w:t>s</w:t>
            </w:r>
            <w:r w:rsidR="00B95599" w:rsidRPr="00571AF1">
              <w:rPr>
                <w:rFonts w:ascii="Times New Roman" w:eastAsia="Times New Roman" w:hAnsi="Times New Roman" w:cs="Times New Roman"/>
                <w:sz w:val="24"/>
                <w:szCs w:val="24"/>
              </w:rPr>
              <w:t> </w:t>
            </w:r>
            <w:r w:rsidR="00260FA2" w:rsidRPr="00571AF1">
              <w:rPr>
                <w:rFonts w:ascii="Times New Roman" w:eastAsia="Times New Roman" w:hAnsi="Times New Roman" w:cs="Times New Roman"/>
                <w:sz w:val="24"/>
                <w:szCs w:val="24"/>
              </w:rPr>
              <w:t>–</w:t>
            </w:r>
            <w:r w:rsidRPr="00571AF1">
              <w:rPr>
                <w:rFonts w:ascii="Times New Roman" w:eastAsia="Times New Roman" w:hAnsi="Times New Roman" w:cs="Times New Roman"/>
                <w:sz w:val="24"/>
                <w:szCs w:val="24"/>
              </w:rPr>
              <w:t xml:space="preserve"> reizi </w:t>
            </w:r>
            <w:r w:rsidR="00D05D95">
              <w:rPr>
                <w:rFonts w:ascii="Times New Roman" w:eastAsia="Times New Roman" w:hAnsi="Times New Roman" w:cs="Times New Roman"/>
                <w:sz w:val="24"/>
                <w:szCs w:val="24"/>
              </w:rPr>
              <w:t>trijos</w:t>
            </w:r>
            <w:r w:rsidR="00D05D95" w:rsidRPr="00571AF1">
              <w:rPr>
                <w:rFonts w:ascii="Times New Roman" w:eastAsia="Times New Roman" w:hAnsi="Times New Roman" w:cs="Times New Roman"/>
                <w:sz w:val="24"/>
                <w:szCs w:val="24"/>
              </w:rPr>
              <w:t xml:space="preserve"> </w:t>
            </w:r>
            <w:r w:rsidRPr="00571AF1">
              <w:rPr>
                <w:rFonts w:ascii="Times New Roman" w:eastAsia="Times New Roman" w:hAnsi="Times New Roman" w:cs="Times New Roman"/>
                <w:sz w:val="24"/>
                <w:szCs w:val="24"/>
              </w:rPr>
              <w:t>gados (iepriekš</w:t>
            </w:r>
            <w:r w:rsidR="00331906">
              <w:rPr>
                <w:rFonts w:ascii="Times New Roman" w:eastAsia="Times New Roman" w:hAnsi="Times New Roman" w:cs="Times New Roman"/>
                <w:sz w:val="24"/>
                <w:szCs w:val="24"/>
              </w:rPr>
              <w:t> –</w:t>
            </w:r>
            <w:r w:rsidRPr="00331906">
              <w:rPr>
                <w:rFonts w:ascii="Times New Roman" w:eastAsia="Times New Roman" w:hAnsi="Times New Roman" w:cs="Times New Roman"/>
                <w:sz w:val="24"/>
                <w:szCs w:val="24"/>
              </w:rPr>
              <w:t xml:space="preserve"> reizi 18</w:t>
            </w:r>
            <w:r w:rsidR="00B95599" w:rsidRPr="00331906">
              <w:rPr>
                <w:rFonts w:ascii="Times New Roman" w:eastAsia="Times New Roman" w:hAnsi="Times New Roman" w:cs="Times New Roman"/>
                <w:sz w:val="24"/>
                <w:szCs w:val="24"/>
              </w:rPr>
              <w:t> </w:t>
            </w:r>
            <w:r w:rsidRPr="00331906">
              <w:rPr>
                <w:rFonts w:ascii="Times New Roman" w:eastAsia="Times New Roman" w:hAnsi="Times New Roman" w:cs="Times New Roman"/>
                <w:sz w:val="24"/>
                <w:szCs w:val="24"/>
              </w:rPr>
              <w:t>mēnešos)</w:t>
            </w:r>
            <w:r w:rsidR="00260FA2" w:rsidRPr="00331906">
              <w:rPr>
                <w:rFonts w:ascii="Times New Roman" w:eastAsia="Times New Roman" w:hAnsi="Times New Roman" w:cs="Times New Roman"/>
                <w:sz w:val="24"/>
                <w:szCs w:val="24"/>
              </w:rPr>
              <w:t>;</w:t>
            </w:r>
          </w:p>
          <w:p w14:paraId="169FC4DD" w14:textId="36ACAC77" w:rsidR="00260FA2" w:rsidRPr="00331906" w:rsidRDefault="00C5201C" w:rsidP="00331906">
            <w:pPr>
              <w:pStyle w:val="ListParagraph"/>
              <w:numPr>
                <w:ilvl w:val="0"/>
                <w:numId w:val="4"/>
              </w:numPr>
              <w:tabs>
                <w:tab w:val="left" w:pos="393"/>
              </w:tabs>
              <w:spacing w:after="0" w:line="240" w:lineRule="auto"/>
              <w:ind w:left="0" w:firstLine="0"/>
              <w:contextualSpacing w:val="0"/>
              <w:jc w:val="both"/>
              <w:rPr>
                <w:rFonts w:ascii="Times New Roman" w:eastAsia="Times New Roman" w:hAnsi="Times New Roman" w:cs="Times New Roman"/>
                <w:sz w:val="24"/>
                <w:szCs w:val="24"/>
              </w:rPr>
            </w:pPr>
            <w:r w:rsidRPr="00571AF1">
              <w:rPr>
                <w:rFonts w:ascii="Times New Roman" w:eastAsia="Times New Roman" w:hAnsi="Times New Roman" w:cs="Times New Roman"/>
                <w:sz w:val="24"/>
                <w:szCs w:val="24"/>
              </w:rPr>
              <w:t xml:space="preserve">finanšu tirgus dalībnieks, kam piemīt </w:t>
            </w:r>
            <w:r w:rsidR="00260FA2" w:rsidRPr="00571AF1">
              <w:rPr>
                <w:rFonts w:ascii="Times New Roman" w:eastAsia="Times New Roman" w:hAnsi="Times New Roman" w:cs="Times New Roman"/>
                <w:sz w:val="24"/>
                <w:szCs w:val="24"/>
              </w:rPr>
              <w:t>augst</w:t>
            </w:r>
            <w:r w:rsidRPr="00571AF1">
              <w:rPr>
                <w:rFonts w:ascii="Times New Roman" w:eastAsia="Times New Roman" w:hAnsi="Times New Roman" w:cs="Times New Roman"/>
                <w:sz w:val="24"/>
                <w:szCs w:val="24"/>
              </w:rPr>
              <w:t>s</w:t>
            </w:r>
            <w:r w:rsidR="00260FA2" w:rsidRPr="00571AF1">
              <w:rPr>
                <w:rFonts w:ascii="Times New Roman" w:eastAsia="Times New Roman" w:hAnsi="Times New Roman" w:cs="Times New Roman"/>
                <w:sz w:val="24"/>
                <w:szCs w:val="24"/>
              </w:rPr>
              <w:t xml:space="preserve"> NILLTPF risk</w:t>
            </w:r>
            <w:r w:rsidRPr="00571AF1">
              <w:rPr>
                <w:rFonts w:ascii="Times New Roman" w:eastAsia="Times New Roman" w:hAnsi="Times New Roman" w:cs="Times New Roman"/>
                <w:sz w:val="24"/>
                <w:szCs w:val="24"/>
              </w:rPr>
              <w:t>s</w:t>
            </w:r>
            <w:r w:rsidR="00B95599" w:rsidRPr="00571AF1">
              <w:rPr>
                <w:rFonts w:ascii="Times New Roman" w:eastAsia="Times New Roman" w:hAnsi="Times New Roman" w:cs="Times New Roman"/>
                <w:sz w:val="24"/>
                <w:szCs w:val="24"/>
              </w:rPr>
              <w:t> </w:t>
            </w:r>
            <w:r w:rsidR="00260FA2" w:rsidRPr="00571AF1">
              <w:rPr>
                <w:rFonts w:ascii="Times New Roman" w:eastAsia="Times New Roman" w:hAnsi="Times New Roman" w:cs="Times New Roman"/>
                <w:sz w:val="24"/>
                <w:szCs w:val="24"/>
              </w:rPr>
              <w:t xml:space="preserve">– </w:t>
            </w:r>
            <w:r w:rsidR="00EB26D7" w:rsidRPr="00571AF1">
              <w:rPr>
                <w:rFonts w:ascii="Times New Roman" w:eastAsia="Times New Roman" w:hAnsi="Times New Roman" w:cs="Times New Roman"/>
                <w:sz w:val="24"/>
                <w:szCs w:val="24"/>
              </w:rPr>
              <w:t>reizi divos gados (iepriekš</w:t>
            </w:r>
            <w:r w:rsidR="00331906">
              <w:rPr>
                <w:rFonts w:ascii="Times New Roman" w:eastAsia="Times New Roman" w:hAnsi="Times New Roman" w:cs="Times New Roman"/>
                <w:sz w:val="24"/>
                <w:szCs w:val="24"/>
              </w:rPr>
              <w:t> –</w:t>
            </w:r>
            <w:r w:rsidR="00EB26D7" w:rsidRPr="00331906">
              <w:rPr>
                <w:rFonts w:ascii="Times New Roman" w:eastAsia="Times New Roman" w:hAnsi="Times New Roman" w:cs="Times New Roman"/>
                <w:sz w:val="24"/>
                <w:szCs w:val="24"/>
              </w:rPr>
              <w:t xml:space="preserve"> reizi 18</w:t>
            </w:r>
            <w:r w:rsidR="00B95599" w:rsidRPr="00331906">
              <w:rPr>
                <w:rFonts w:ascii="Times New Roman" w:eastAsia="Times New Roman" w:hAnsi="Times New Roman" w:cs="Times New Roman"/>
                <w:sz w:val="24"/>
                <w:szCs w:val="24"/>
              </w:rPr>
              <w:t> </w:t>
            </w:r>
            <w:r w:rsidR="00EB26D7" w:rsidRPr="00331906">
              <w:rPr>
                <w:rFonts w:ascii="Times New Roman" w:eastAsia="Times New Roman" w:hAnsi="Times New Roman" w:cs="Times New Roman"/>
                <w:sz w:val="24"/>
                <w:szCs w:val="24"/>
              </w:rPr>
              <w:t>mēnešos)</w:t>
            </w:r>
            <w:r w:rsidR="00331906">
              <w:rPr>
                <w:rFonts w:ascii="Times New Roman" w:eastAsia="Times New Roman" w:hAnsi="Times New Roman" w:cs="Times New Roman"/>
                <w:sz w:val="24"/>
                <w:szCs w:val="24"/>
              </w:rPr>
              <w:t>;</w:t>
            </w:r>
          </w:p>
          <w:p w14:paraId="109C977C" w14:textId="4BDA8AB3" w:rsidR="009567D8" w:rsidRPr="00571AF1" w:rsidRDefault="00331906" w:rsidP="00B95599">
            <w:pPr>
              <w:pStyle w:val="ListParagraph"/>
              <w:numPr>
                <w:ilvl w:val="0"/>
                <w:numId w:val="3"/>
              </w:numPr>
              <w:tabs>
                <w:tab w:val="left" w:pos="393"/>
              </w:tabs>
              <w:spacing w:before="120" w:after="0" w:line="240" w:lineRule="auto"/>
              <w:ind w:left="0" w:firstLine="0"/>
              <w:contextualSpacing w:val="0"/>
              <w:jc w:val="both"/>
              <w:rPr>
                <w:rFonts w:ascii="Times New Roman" w:hAnsi="Times New Roman" w:cs="Times New Roman"/>
              </w:rPr>
            </w:pPr>
            <w:r>
              <w:rPr>
                <w:rFonts w:ascii="Times New Roman" w:eastAsia="Times New Roman" w:hAnsi="Times New Roman" w:cs="Times New Roman"/>
                <w:sz w:val="24"/>
                <w:szCs w:val="24"/>
              </w:rPr>
              <w:t>m</w:t>
            </w:r>
            <w:r w:rsidR="00260FA2" w:rsidRPr="00571AF1">
              <w:rPr>
                <w:rFonts w:ascii="Times New Roman" w:eastAsia="Times New Roman" w:hAnsi="Times New Roman" w:cs="Times New Roman"/>
                <w:sz w:val="24"/>
                <w:szCs w:val="24"/>
              </w:rPr>
              <w:t xml:space="preserve">ainīts </w:t>
            </w:r>
            <w:r w:rsidR="00D05D95">
              <w:rPr>
                <w:rFonts w:ascii="Times New Roman" w:eastAsia="Times New Roman" w:hAnsi="Times New Roman" w:cs="Times New Roman"/>
                <w:sz w:val="24"/>
                <w:szCs w:val="24"/>
              </w:rPr>
              <w:t xml:space="preserve">to </w:t>
            </w:r>
            <w:r w:rsidR="00260FA2" w:rsidRPr="00571AF1">
              <w:rPr>
                <w:rFonts w:ascii="Times New Roman" w:eastAsia="Times New Roman" w:hAnsi="Times New Roman" w:cs="Times New Roman"/>
                <w:sz w:val="24"/>
                <w:szCs w:val="24"/>
              </w:rPr>
              <w:t>subjektu</w:t>
            </w:r>
            <w:r w:rsidR="00D05D95" w:rsidRPr="00571AF1">
              <w:rPr>
                <w:rFonts w:ascii="Times New Roman" w:eastAsia="Times New Roman" w:hAnsi="Times New Roman" w:cs="Times New Roman"/>
                <w:sz w:val="24"/>
                <w:szCs w:val="24"/>
              </w:rPr>
              <w:t xml:space="preserve"> tvērums</w:t>
            </w:r>
            <w:r w:rsidR="00260FA2" w:rsidRPr="00571AF1">
              <w:rPr>
                <w:rFonts w:ascii="Times New Roman" w:eastAsia="Times New Roman" w:hAnsi="Times New Roman" w:cs="Times New Roman"/>
                <w:sz w:val="24"/>
                <w:szCs w:val="24"/>
              </w:rPr>
              <w:t>, uz kuriem attiecas Noteikumu projekts</w:t>
            </w:r>
            <w:r w:rsidR="00D05D95">
              <w:rPr>
                <w:rFonts w:ascii="Times New Roman" w:eastAsia="Times New Roman" w:hAnsi="Times New Roman" w:cs="Times New Roman"/>
                <w:sz w:val="24"/>
                <w:szCs w:val="24"/>
              </w:rPr>
              <w:t> </w:t>
            </w:r>
            <w:r w:rsidR="00260FA2" w:rsidRPr="00571AF1">
              <w:rPr>
                <w:rFonts w:ascii="Times New Roman" w:eastAsia="Times New Roman" w:hAnsi="Times New Roman" w:cs="Times New Roman"/>
                <w:sz w:val="24"/>
                <w:szCs w:val="24"/>
              </w:rPr>
              <w:t>– Noteikumi Nr.</w:t>
            </w:r>
            <w:r w:rsidR="00B95599" w:rsidRPr="00571AF1">
              <w:rPr>
                <w:rFonts w:ascii="Times New Roman" w:eastAsia="Times New Roman" w:hAnsi="Times New Roman" w:cs="Times New Roman"/>
                <w:sz w:val="24"/>
                <w:szCs w:val="24"/>
              </w:rPr>
              <w:t> </w:t>
            </w:r>
            <w:r w:rsidR="00260FA2" w:rsidRPr="00571AF1">
              <w:rPr>
                <w:rFonts w:ascii="Times New Roman" w:eastAsia="Times New Roman" w:hAnsi="Times New Roman" w:cs="Times New Roman"/>
                <w:sz w:val="24"/>
                <w:szCs w:val="24"/>
              </w:rPr>
              <w:t xml:space="preserve">148 paredzēja, ka tie attiecas uz </w:t>
            </w:r>
            <w:r w:rsidR="008015F8" w:rsidRPr="00571AF1">
              <w:rPr>
                <w:rFonts w:ascii="Times New Roman" w:eastAsia="Times New Roman" w:hAnsi="Times New Roman" w:cs="Times New Roman"/>
                <w:sz w:val="24"/>
                <w:szCs w:val="24"/>
              </w:rPr>
              <w:t>kredītiestādēm, licencētām maksājumu un elektroniskās naudas iestādēm un dalībvalstu un trešo valstu kredītiestāžu un licencētu maksājumu un elektroniskās naudas iestāžu filiālēm Latvijas Republikā, savukārt Noteikumu projektā ietverta atsauce uz Novēršanas likuma 7.</w:t>
            </w:r>
            <w:r w:rsidR="00B95599" w:rsidRPr="00571AF1">
              <w:rPr>
                <w:rFonts w:ascii="Times New Roman" w:eastAsia="Times New Roman" w:hAnsi="Times New Roman" w:cs="Times New Roman"/>
                <w:sz w:val="24"/>
                <w:szCs w:val="24"/>
              </w:rPr>
              <w:t> </w:t>
            </w:r>
            <w:r w:rsidR="008015F8" w:rsidRPr="00571AF1">
              <w:rPr>
                <w:rFonts w:ascii="Times New Roman" w:eastAsia="Times New Roman" w:hAnsi="Times New Roman" w:cs="Times New Roman"/>
                <w:sz w:val="24"/>
                <w:szCs w:val="24"/>
              </w:rPr>
              <w:t>panta pirmās daļas 10.</w:t>
            </w:r>
            <w:r w:rsidR="00B95599" w:rsidRPr="00571AF1">
              <w:rPr>
                <w:rFonts w:ascii="Times New Roman" w:eastAsia="Times New Roman" w:hAnsi="Times New Roman" w:cs="Times New Roman"/>
                <w:sz w:val="24"/>
                <w:szCs w:val="24"/>
              </w:rPr>
              <w:t> </w:t>
            </w:r>
            <w:r w:rsidR="008015F8" w:rsidRPr="00571AF1">
              <w:rPr>
                <w:rFonts w:ascii="Times New Roman" w:eastAsia="Times New Roman" w:hAnsi="Times New Roman" w:cs="Times New Roman"/>
                <w:sz w:val="24"/>
                <w:szCs w:val="24"/>
              </w:rPr>
              <w:t>punktā uzskaitītajiem subjektiem. Šādas izmaiņas ir veiktas, jo tiek plānotas izmaiņas minēt</w:t>
            </w:r>
            <w:r w:rsidR="00E80B79">
              <w:rPr>
                <w:rFonts w:ascii="Times New Roman" w:eastAsia="Times New Roman" w:hAnsi="Times New Roman" w:cs="Times New Roman"/>
                <w:sz w:val="24"/>
                <w:szCs w:val="24"/>
              </w:rPr>
              <w:t>aj</w:t>
            </w:r>
            <w:r w:rsidR="008015F8" w:rsidRPr="00571AF1">
              <w:rPr>
                <w:rFonts w:ascii="Times New Roman" w:eastAsia="Times New Roman" w:hAnsi="Times New Roman" w:cs="Times New Roman"/>
                <w:sz w:val="24"/>
                <w:szCs w:val="24"/>
              </w:rPr>
              <w:t>ā Novēršanas likuma punktā, papildinot to ar ieguldījumu brokeru sabiedrībām. Rezultātā tiek novērsta eventuālā nepieciešamība grozīt Noteikumu projektu Novēršanas likuma izmaiņu gadījumā</w:t>
            </w:r>
            <w:r w:rsidR="00E80B79">
              <w:rPr>
                <w:rFonts w:ascii="Times New Roman" w:eastAsia="Times New Roman" w:hAnsi="Times New Roman" w:cs="Times New Roman"/>
                <w:sz w:val="24"/>
                <w:szCs w:val="24"/>
              </w:rPr>
              <w:t>;</w:t>
            </w:r>
          </w:p>
          <w:p w14:paraId="6DF21564" w14:textId="77777777" w:rsidR="008015F8" w:rsidRPr="007D7C3C" w:rsidRDefault="00E80B79" w:rsidP="00B95599">
            <w:pPr>
              <w:pStyle w:val="ListParagraph"/>
              <w:numPr>
                <w:ilvl w:val="0"/>
                <w:numId w:val="3"/>
              </w:numPr>
              <w:tabs>
                <w:tab w:val="left" w:pos="393"/>
              </w:tabs>
              <w:spacing w:before="120" w:after="0" w:line="240" w:lineRule="auto"/>
              <w:ind w:left="0" w:firstLine="0"/>
              <w:contextualSpacing w:val="0"/>
              <w:jc w:val="both"/>
              <w:rPr>
                <w:rFonts w:ascii="Times New Roman" w:hAnsi="Times New Roman" w:cs="Times New Roman"/>
              </w:rPr>
            </w:pPr>
            <w:r>
              <w:rPr>
                <w:rFonts w:ascii="Times New Roman" w:eastAsia="Times New Roman" w:hAnsi="Times New Roman" w:cs="Times New Roman"/>
                <w:sz w:val="24"/>
                <w:szCs w:val="24"/>
              </w:rPr>
              <w:t>n</w:t>
            </w:r>
            <w:r w:rsidR="008015F8" w:rsidRPr="00571AF1">
              <w:rPr>
                <w:rFonts w:ascii="Times New Roman" w:eastAsia="Times New Roman" w:hAnsi="Times New Roman" w:cs="Times New Roman"/>
                <w:sz w:val="24"/>
                <w:szCs w:val="24"/>
              </w:rPr>
              <w:t xml:space="preserve">o audita tvēruma ir izslēgta prasība vērtēt savstarpēji saistītu klientu grupu identifikācijas un dokumentēšanas prasību izvērtēšanu atbilstoši noteikumiem, kas nosaka klienta </w:t>
            </w:r>
            <w:r w:rsidR="00C12B23" w:rsidRPr="00571AF1">
              <w:rPr>
                <w:rFonts w:ascii="Times New Roman" w:eastAsia="Times New Roman" w:hAnsi="Times New Roman" w:cs="Times New Roman"/>
                <w:sz w:val="24"/>
                <w:szCs w:val="24"/>
              </w:rPr>
              <w:t>padziļinātu izpēti, jo</w:t>
            </w:r>
            <w:r w:rsidR="000C7D77">
              <w:rPr>
                <w:rFonts w:ascii="Times New Roman" w:eastAsia="Times New Roman" w:hAnsi="Times New Roman" w:cs="Times New Roman"/>
                <w:sz w:val="24"/>
                <w:szCs w:val="24"/>
              </w:rPr>
              <w:t>, izdodot</w:t>
            </w:r>
            <w:r w:rsidR="00C12B23" w:rsidRPr="00571AF1">
              <w:rPr>
                <w:rFonts w:ascii="Times New Roman" w:eastAsia="Times New Roman" w:hAnsi="Times New Roman" w:cs="Times New Roman"/>
                <w:sz w:val="24"/>
                <w:szCs w:val="24"/>
              </w:rPr>
              <w:t xml:space="preserve"> Finanšu un kapitāla tirgus komisijas </w:t>
            </w:r>
            <w:r w:rsidR="000C7D77">
              <w:rPr>
                <w:rFonts w:ascii="Times New Roman" w:eastAsia="Times New Roman" w:hAnsi="Times New Roman" w:cs="Times New Roman"/>
                <w:sz w:val="24"/>
                <w:szCs w:val="24"/>
              </w:rPr>
              <w:t>2021. gada</w:t>
            </w:r>
            <w:r w:rsidR="00275D64">
              <w:rPr>
                <w:rFonts w:ascii="Times New Roman" w:eastAsia="Times New Roman" w:hAnsi="Times New Roman" w:cs="Times New Roman"/>
                <w:sz w:val="24"/>
                <w:szCs w:val="24"/>
              </w:rPr>
              <w:t xml:space="preserve"> </w:t>
            </w:r>
            <w:r w:rsidR="000C7D77">
              <w:rPr>
                <w:rFonts w:ascii="Times New Roman" w:eastAsia="Times New Roman" w:hAnsi="Times New Roman" w:cs="Times New Roman"/>
                <w:sz w:val="24"/>
                <w:szCs w:val="24"/>
              </w:rPr>
              <w:t xml:space="preserve">12. janvāra </w:t>
            </w:r>
            <w:r w:rsidR="00C12B23" w:rsidRPr="00007791">
              <w:rPr>
                <w:rFonts w:ascii="Times New Roman" w:eastAsia="Times New Roman" w:hAnsi="Times New Roman" w:cs="Times New Roman"/>
                <w:sz w:val="24"/>
                <w:szCs w:val="24"/>
              </w:rPr>
              <w:t>normatīv</w:t>
            </w:r>
            <w:r w:rsidR="000C7D77">
              <w:rPr>
                <w:rFonts w:ascii="Times New Roman" w:eastAsia="Times New Roman" w:hAnsi="Times New Roman" w:cs="Times New Roman"/>
                <w:sz w:val="24"/>
                <w:szCs w:val="24"/>
              </w:rPr>
              <w:t>o</w:t>
            </w:r>
            <w:r w:rsidR="00C12B23" w:rsidRPr="00007791">
              <w:rPr>
                <w:rFonts w:ascii="Times New Roman" w:eastAsia="Times New Roman" w:hAnsi="Times New Roman" w:cs="Times New Roman"/>
                <w:sz w:val="24"/>
                <w:szCs w:val="24"/>
              </w:rPr>
              <w:t xml:space="preserve"> noteikum</w:t>
            </w:r>
            <w:r w:rsidR="000C7D77">
              <w:rPr>
                <w:rFonts w:ascii="Times New Roman" w:eastAsia="Times New Roman" w:hAnsi="Times New Roman" w:cs="Times New Roman"/>
                <w:sz w:val="24"/>
                <w:szCs w:val="24"/>
              </w:rPr>
              <w:t>u</w:t>
            </w:r>
            <w:r w:rsidR="00C12B23" w:rsidRPr="00007791">
              <w:rPr>
                <w:rFonts w:ascii="Times New Roman" w:eastAsia="Times New Roman" w:hAnsi="Times New Roman" w:cs="Times New Roman"/>
                <w:sz w:val="24"/>
                <w:szCs w:val="24"/>
              </w:rPr>
              <w:t xml:space="preserve"> Nr.</w:t>
            </w:r>
            <w:r w:rsidR="00B95599">
              <w:rPr>
                <w:rFonts w:ascii="Times New Roman" w:eastAsia="Times New Roman" w:hAnsi="Times New Roman" w:cs="Times New Roman"/>
                <w:sz w:val="24"/>
                <w:szCs w:val="24"/>
              </w:rPr>
              <w:t> </w:t>
            </w:r>
            <w:r w:rsidR="00C12B23" w:rsidRPr="00007791">
              <w:rPr>
                <w:rFonts w:ascii="Times New Roman" w:eastAsia="Times New Roman" w:hAnsi="Times New Roman" w:cs="Times New Roman"/>
                <w:sz w:val="24"/>
                <w:szCs w:val="24"/>
              </w:rPr>
              <w:t xml:space="preserve">5 </w:t>
            </w:r>
            <w:r w:rsidR="00C5201C">
              <w:rPr>
                <w:rFonts w:ascii="Times New Roman" w:eastAsia="Times New Roman" w:hAnsi="Times New Roman" w:cs="Times New Roman"/>
                <w:sz w:val="24"/>
                <w:szCs w:val="24"/>
              </w:rPr>
              <w:t>"</w:t>
            </w:r>
            <w:r w:rsidR="00C12B23" w:rsidRPr="00007791">
              <w:rPr>
                <w:rFonts w:ascii="Times New Roman" w:eastAsia="Times New Roman" w:hAnsi="Times New Roman" w:cs="Times New Roman"/>
                <w:sz w:val="24"/>
                <w:szCs w:val="24"/>
              </w:rPr>
              <w:t>Klientu izpētes, klientu padziļinātās izpētes un riska skaitliskā novērtējuma sistēmas izveides un informācijas tehnoloģiju prasību normatīvie noteikumi</w:t>
            </w:r>
            <w:r w:rsidR="00C5201C">
              <w:rPr>
                <w:rFonts w:ascii="Times New Roman" w:eastAsia="Times New Roman" w:hAnsi="Times New Roman" w:cs="Times New Roman"/>
                <w:sz w:val="24"/>
                <w:szCs w:val="24"/>
              </w:rPr>
              <w:t>"</w:t>
            </w:r>
            <w:r w:rsidR="00C12B23" w:rsidRPr="00007791">
              <w:rPr>
                <w:rFonts w:ascii="Times New Roman" w:eastAsia="Times New Roman" w:hAnsi="Times New Roman" w:cs="Times New Roman"/>
                <w:sz w:val="24"/>
                <w:szCs w:val="24"/>
              </w:rPr>
              <w:t xml:space="preserve"> </w:t>
            </w:r>
            <w:r w:rsidR="000C7D77">
              <w:rPr>
                <w:rFonts w:ascii="Times New Roman" w:eastAsia="Times New Roman" w:hAnsi="Times New Roman" w:cs="Times New Roman"/>
                <w:sz w:val="24"/>
                <w:szCs w:val="24"/>
              </w:rPr>
              <w:t xml:space="preserve">vietā attiecīgus Latvijas Bankas noteikumus, šo prasību </w:t>
            </w:r>
            <w:r w:rsidR="00C12B23" w:rsidRPr="00007791">
              <w:rPr>
                <w:rFonts w:ascii="Times New Roman" w:eastAsia="Times New Roman" w:hAnsi="Times New Roman" w:cs="Times New Roman"/>
                <w:sz w:val="24"/>
                <w:szCs w:val="24"/>
              </w:rPr>
              <w:t>paredz</w:t>
            </w:r>
            <w:r w:rsidR="000C7D77">
              <w:rPr>
                <w:rFonts w:ascii="Times New Roman" w:eastAsia="Times New Roman" w:hAnsi="Times New Roman" w:cs="Times New Roman"/>
                <w:sz w:val="24"/>
                <w:szCs w:val="24"/>
              </w:rPr>
              <w:t>ēts</w:t>
            </w:r>
            <w:r w:rsidR="00C12B23" w:rsidRPr="00007791">
              <w:rPr>
                <w:rFonts w:ascii="Times New Roman" w:eastAsia="Times New Roman" w:hAnsi="Times New Roman" w:cs="Times New Roman"/>
                <w:sz w:val="24"/>
                <w:szCs w:val="24"/>
              </w:rPr>
              <w:t xml:space="preserve"> atcelt.</w:t>
            </w:r>
          </w:p>
          <w:p w14:paraId="24E7505C" w14:textId="661DF4AF" w:rsidR="007D7C3C" w:rsidRPr="00C12B23" w:rsidRDefault="007D7C3C" w:rsidP="007D7C3C">
            <w:pPr>
              <w:pStyle w:val="ListParagraph"/>
              <w:tabs>
                <w:tab w:val="left" w:pos="393"/>
              </w:tabs>
              <w:spacing w:before="120" w:after="0" w:line="240" w:lineRule="auto"/>
              <w:ind w:left="0"/>
              <w:contextualSpacing w:val="0"/>
              <w:jc w:val="both"/>
              <w:rPr>
                <w:rFonts w:ascii="Times New Roman" w:hAnsi="Times New Roman" w:cs="Times New Roman"/>
              </w:rPr>
            </w:pPr>
            <w:r w:rsidRPr="007D7C3C">
              <w:rPr>
                <w:rFonts w:ascii="Times New Roman" w:eastAsia="Times New Roman" w:hAnsi="Times New Roman" w:cs="Times New Roman"/>
                <w:sz w:val="24"/>
                <w:szCs w:val="24"/>
              </w:rPr>
              <w:t>Ņemot vērā, ka Latvijas Republikas Saeimā 2024. gada 19. septembrī trešajā lasījumā ir apstiprināti grozījumi Novēršanas likuma 47. panta otrās daļas 2. punktā</w:t>
            </w:r>
            <w:r w:rsidRPr="007D7C3C">
              <w:rPr>
                <w:rFonts w:ascii="Times New Roman" w:eastAsia="Times New Roman" w:hAnsi="Times New Roman" w:cs="Times New Roman"/>
                <w:sz w:val="24"/>
                <w:szCs w:val="24"/>
                <w:vertAlign w:val="superscript"/>
              </w:rPr>
              <w:footnoteReference w:id="1"/>
            </w:r>
            <w:r w:rsidRPr="007D7C3C">
              <w:rPr>
                <w:rFonts w:ascii="Times New Roman" w:eastAsia="Times New Roman" w:hAnsi="Times New Roman" w:cs="Times New Roman"/>
                <w:sz w:val="24"/>
                <w:szCs w:val="24"/>
              </w:rPr>
              <w:t>, kas paredzēs vairs nevis Latvijas Bankas pienākumu izdot noteikumus, bet gan tiesības izdot noteikumus, Noteikumu projekts paredz regulējumu tikai daļā no Novēršanas likuma 47. panta otrās daļas 2. punktā ietvertā deleģējuma, jo plašāka regulējuma, tai skaitā par iekšējo auditu, noteikšana Latvijas Bankas ieskatā nav lietderīga.</w:t>
            </w:r>
          </w:p>
        </w:tc>
      </w:tr>
      <w:tr w:rsidR="000B4E0A" w:rsidRPr="002864E4" w14:paraId="5DF75A70" w14:textId="77777777" w:rsidTr="00E253DA">
        <w:trPr>
          <w:trHeight w:val="567"/>
        </w:trPr>
        <w:tc>
          <w:tcPr>
            <w:tcW w:w="1796" w:type="pct"/>
            <w:shd w:val="clear" w:color="auto" w:fill="auto"/>
            <w:hideMark/>
          </w:tcPr>
          <w:p w14:paraId="51DB859D" w14:textId="77777777" w:rsidR="00A42788" w:rsidRPr="002864E4" w:rsidRDefault="00A42788" w:rsidP="000B4E0A">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lastRenderedPageBreak/>
              <w:t>Leģitīmais mērķis</w:t>
            </w:r>
          </w:p>
          <w:p w14:paraId="6DA1BDC9" w14:textId="77777777" w:rsidR="00CA28AB" w:rsidRPr="002864E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7958C15" w14:textId="77777777" w:rsidR="00C375B6" w:rsidRPr="00F96501" w:rsidRDefault="00C375B6" w:rsidP="00B95599">
            <w:pPr>
              <w:pStyle w:val="ListParagraph"/>
              <w:shd w:val="clear" w:color="auto" w:fill="FFFFFF"/>
              <w:tabs>
                <w:tab w:val="left" w:pos="284"/>
                <w:tab w:val="left" w:pos="393"/>
                <w:tab w:val="left" w:pos="426"/>
              </w:tabs>
              <w:spacing w:before="120" w:after="0" w:line="240" w:lineRule="auto"/>
              <w:ind w:left="0"/>
              <w:contextualSpacing w:val="0"/>
              <w:jc w:val="both"/>
              <w:rPr>
                <w:rFonts w:ascii="Times New Roman" w:hAnsi="Times New Roman" w:cs="Times New Roman"/>
                <w:sz w:val="24"/>
                <w:szCs w:val="24"/>
              </w:rPr>
            </w:pPr>
            <w:r w:rsidRPr="00F96501">
              <w:rPr>
                <w:rFonts w:ascii="Times New Roman" w:hAnsi="Times New Roman" w:cs="Times New Roman"/>
                <w:sz w:val="24"/>
                <w:szCs w:val="24"/>
              </w:rPr>
              <w:t>Noteikumu projekta leģitīmais mērķis ir citu personu tiesību aizsardzība un sabiedrības labklājības nodrošināšana.</w:t>
            </w:r>
          </w:p>
          <w:p w14:paraId="70FABB7B" w14:textId="445D1A63" w:rsidR="00E53DE9" w:rsidRPr="002864E4" w:rsidRDefault="00C375B6" w:rsidP="00B95599">
            <w:pPr>
              <w:tabs>
                <w:tab w:val="left" w:pos="393"/>
              </w:tabs>
              <w:spacing w:before="120" w:after="0" w:line="240" w:lineRule="auto"/>
              <w:jc w:val="both"/>
              <w:rPr>
                <w:rFonts w:ascii="Times New Roman" w:eastAsia="Times New Roman" w:hAnsi="Times New Roman" w:cs="Times New Roman"/>
                <w:sz w:val="24"/>
                <w:szCs w:val="24"/>
                <w:lang w:eastAsia="lv-LV"/>
              </w:rPr>
            </w:pPr>
            <w:r w:rsidRPr="00F96501">
              <w:rPr>
                <w:rFonts w:ascii="Times New Roman" w:hAnsi="Times New Roman" w:cs="Times New Roman"/>
                <w:sz w:val="24"/>
                <w:szCs w:val="24"/>
              </w:rPr>
              <w:t xml:space="preserve">Noteikumu projekts nepieciešams, lai Latvijas Banka atbilstoši Latvijas Bankas </w:t>
            </w:r>
            <w:r>
              <w:rPr>
                <w:rFonts w:ascii="Times New Roman" w:hAnsi="Times New Roman" w:cs="Times New Roman"/>
                <w:sz w:val="24"/>
                <w:szCs w:val="24"/>
              </w:rPr>
              <w:t xml:space="preserve">likuma </w:t>
            </w:r>
            <w:r w:rsidRPr="00F96501">
              <w:rPr>
                <w:rFonts w:ascii="Times New Roman" w:hAnsi="Times New Roman" w:cs="Times New Roman"/>
                <w:sz w:val="24"/>
                <w:szCs w:val="24"/>
              </w:rPr>
              <w:t xml:space="preserve">48. panta pirmajai daļai īstenotu finanšu tirgus dalībnieku uzraudzību noziedzīgi iegūtu līdzekļu un legalizācijas un terorisma proliferācijas </w:t>
            </w:r>
            <w:r w:rsidRPr="00F96501">
              <w:rPr>
                <w:rFonts w:ascii="Times New Roman" w:hAnsi="Times New Roman" w:cs="Times New Roman"/>
                <w:sz w:val="24"/>
                <w:szCs w:val="24"/>
              </w:rPr>
              <w:lastRenderedPageBreak/>
              <w:t xml:space="preserve">finansēšanas novēršanas jomā. Nosakot finanšu tirgus dalībniekiem prasības un </w:t>
            </w:r>
            <w:r>
              <w:rPr>
                <w:rFonts w:ascii="Times New Roman" w:hAnsi="Times New Roman" w:cs="Times New Roman"/>
                <w:sz w:val="24"/>
                <w:szCs w:val="24"/>
              </w:rPr>
              <w:t>nosakot pienākumu veikt iekšējās kontroles sistēmas neatkarīgas ārējā audita</w:t>
            </w:r>
            <w:r w:rsidRPr="00F96501">
              <w:rPr>
                <w:rFonts w:ascii="Times New Roman" w:hAnsi="Times New Roman" w:cs="Times New Roman"/>
                <w:sz w:val="24"/>
                <w:szCs w:val="24"/>
              </w:rPr>
              <w:t xml:space="preserve"> pārbaudes </w:t>
            </w:r>
            <w:r>
              <w:rPr>
                <w:rFonts w:ascii="Times New Roman" w:hAnsi="Times New Roman" w:cs="Times New Roman"/>
                <w:sz w:val="24"/>
                <w:szCs w:val="24"/>
              </w:rPr>
              <w:t>nolūkā pārliecināties</w:t>
            </w:r>
            <w:r w:rsidR="00C9742E">
              <w:rPr>
                <w:rFonts w:ascii="Times New Roman" w:hAnsi="Times New Roman" w:cs="Times New Roman"/>
                <w:sz w:val="24"/>
                <w:szCs w:val="24"/>
              </w:rPr>
              <w:t>,</w:t>
            </w:r>
            <w:r>
              <w:rPr>
                <w:rFonts w:ascii="Times New Roman" w:hAnsi="Times New Roman" w:cs="Times New Roman"/>
                <w:sz w:val="24"/>
                <w:szCs w:val="24"/>
              </w:rPr>
              <w:t xml:space="preserve"> </w:t>
            </w:r>
            <w:r w:rsidRPr="00F96501">
              <w:rPr>
                <w:rFonts w:ascii="Times New Roman" w:hAnsi="Times New Roman" w:cs="Times New Roman"/>
                <w:sz w:val="24"/>
                <w:szCs w:val="24"/>
              </w:rPr>
              <w:t xml:space="preserve">vai un kā </w:t>
            </w:r>
            <w:r w:rsidR="00EB26D7">
              <w:rPr>
                <w:rFonts w:ascii="Times New Roman" w:hAnsi="Times New Roman" w:cs="Times New Roman"/>
                <w:sz w:val="24"/>
                <w:szCs w:val="24"/>
              </w:rPr>
              <w:t>tiek nodrošināta atbilstība</w:t>
            </w:r>
            <w:r w:rsidRPr="00F96501">
              <w:rPr>
                <w:rFonts w:ascii="Times New Roman" w:hAnsi="Times New Roman" w:cs="Times New Roman"/>
                <w:sz w:val="24"/>
                <w:szCs w:val="24"/>
              </w:rPr>
              <w:t>, Latvijas Banka nodrošina tai Latvijas Bankas likumā noteikto pienākumu – veicināt ieguldītāju un noguldītāju interešu aizsardzību un finanšu tirgus ilgtspējīgu attīstību un stabilitāti – izpildi</w:t>
            </w:r>
            <w:r w:rsidR="00B02250">
              <w:rPr>
                <w:rFonts w:ascii="Times New Roman" w:hAnsi="Times New Roman" w:cs="Times New Roman"/>
                <w:sz w:val="24"/>
                <w:szCs w:val="24"/>
              </w:rPr>
              <w:t>.</w:t>
            </w:r>
          </w:p>
        </w:tc>
      </w:tr>
      <w:tr w:rsidR="00B02250" w:rsidRPr="002864E4" w14:paraId="2653E741" w14:textId="77777777" w:rsidTr="00E253DA">
        <w:trPr>
          <w:trHeight w:val="567"/>
        </w:trPr>
        <w:tc>
          <w:tcPr>
            <w:tcW w:w="1796" w:type="pct"/>
            <w:shd w:val="clear" w:color="auto" w:fill="auto"/>
            <w:hideMark/>
          </w:tcPr>
          <w:p w14:paraId="75556528"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lastRenderedPageBreak/>
              <w:t>Samērīgums</w:t>
            </w:r>
          </w:p>
          <w:p w14:paraId="6816B401"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D8B4D39" w14:textId="73022157" w:rsidR="00B02250" w:rsidRPr="004E3F4A" w:rsidRDefault="00B02250" w:rsidP="00B95599">
            <w:pPr>
              <w:tabs>
                <w:tab w:val="left" w:pos="393"/>
              </w:tabs>
              <w:autoSpaceDE w:val="0"/>
              <w:autoSpaceDN w:val="0"/>
              <w:adjustRightInd w:val="0"/>
              <w:spacing w:before="120" w:after="0" w:line="240" w:lineRule="auto"/>
              <w:jc w:val="both"/>
              <w:rPr>
                <w:rFonts w:ascii="Times New Roman" w:hAnsi="Times New Roman" w:cs="Times New Roman"/>
                <w:sz w:val="24"/>
                <w:szCs w:val="24"/>
              </w:rPr>
            </w:pPr>
            <w:r w:rsidRPr="004E3F4A">
              <w:rPr>
                <w:rFonts w:ascii="Times New Roman" w:hAnsi="Times New Roman" w:cs="Times New Roman"/>
                <w:sz w:val="24"/>
                <w:szCs w:val="24"/>
              </w:rPr>
              <w:t>Atbilstošākais veids, kā noteikt vienotas prasības, kuras nodrošina</w:t>
            </w:r>
            <w:r>
              <w:rPr>
                <w:rFonts w:ascii="Times New Roman" w:hAnsi="Times New Roman" w:cs="Times New Roman"/>
                <w:sz w:val="24"/>
                <w:szCs w:val="24"/>
              </w:rPr>
              <w:t xml:space="preserve"> Novēršanas likumā </w:t>
            </w:r>
            <w:r w:rsidRPr="004E3F4A">
              <w:rPr>
                <w:rFonts w:ascii="Times New Roman" w:hAnsi="Times New Roman" w:cs="Times New Roman"/>
                <w:sz w:val="24"/>
                <w:szCs w:val="24"/>
              </w:rPr>
              <w:t xml:space="preserve">noteikto prasību izpildi, ir izdot </w:t>
            </w:r>
            <w:r>
              <w:rPr>
                <w:rFonts w:ascii="Times New Roman" w:hAnsi="Times New Roman" w:cs="Times New Roman"/>
                <w:sz w:val="24"/>
                <w:szCs w:val="24"/>
              </w:rPr>
              <w:t xml:space="preserve">visiem Latvijas Bankas uzraugāmajiem finanšu tirgus dalībniekiem </w:t>
            </w:r>
            <w:r w:rsidRPr="004E3F4A">
              <w:rPr>
                <w:rFonts w:ascii="Times New Roman" w:hAnsi="Times New Roman" w:cs="Times New Roman"/>
                <w:sz w:val="24"/>
                <w:szCs w:val="24"/>
              </w:rPr>
              <w:t>saistošus noteikumus</w:t>
            </w:r>
            <w:r>
              <w:rPr>
                <w:rFonts w:ascii="Times New Roman" w:hAnsi="Times New Roman" w:cs="Times New Roman"/>
                <w:sz w:val="24"/>
                <w:szCs w:val="24"/>
              </w:rPr>
              <w:t xml:space="preserve"> noziedzīgi iegūtu līdzekļu legalizācijas un terorisma un proliferācijas finansēšanas novēršanas jomā</w:t>
            </w:r>
            <w:r w:rsidRPr="004E3F4A">
              <w:rPr>
                <w:rFonts w:ascii="Times New Roman" w:hAnsi="Times New Roman" w:cs="Times New Roman"/>
                <w:sz w:val="24"/>
                <w:szCs w:val="24"/>
              </w:rPr>
              <w:t xml:space="preserve">, </w:t>
            </w:r>
            <w:r>
              <w:rPr>
                <w:rFonts w:ascii="Times New Roman" w:hAnsi="Times New Roman" w:cs="Times New Roman"/>
                <w:sz w:val="24"/>
                <w:szCs w:val="24"/>
              </w:rPr>
              <w:t xml:space="preserve">nosakot vienotas prasības iekšējās kontroles sistēmas izvērtēšanā, vienlaikus to regularitāti nosakot atbilstoši </w:t>
            </w:r>
            <w:r w:rsidR="00EB26D7">
              <w:rPr>
                <w:rFonts w:ascii="Times New Roman" w:hAnsi="Times New Roman" w:cs="Times New Roman"/>
                <w:sz w:val="24"/>
                <w:szCs w:val="24"/>
              </w:rPr>
              <w:t xml:space="preserve">finanšu tirgus dalībniekam </w:t>
            </w:r>
            <w:r>
              <w:rPr>
                <w:rFonts w:ascii="Times New Roman" w:hAnsi="Times New Roman" w:cs="Times New Roman"/>
                <w:sz w:val="24"/>
                <w:szCs w:val="24"/>
              </w:rPr>
              <w:t>piemītošajam riskam.</w:t>
            </w:r>
          </w:p>
          <w:p w14:paraId="541E5BBF" w14:textId="77777777" w:rsidR="00B02250" w:rsidRPr="004E3F4A" w:rsidRDefault="00B02250" w:rsidP="00B95599">
            <w:pPr>
              <w:tabs>
                <w:tab w:val="left" w:pos="393"/>
              </w:tabs>
              <w:autoSpaceDE w:val="0"/>
              <w:autoSpaceDN w:val="0"/>
              <w:adjustRightInd w:val="0"/>
              <w:spacing w:before="120"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t>Noteikumu p</w:t>
            </w:r>
            <w:r w:rsidRPr="004E3F4A">
              <w:rPr>
                <w:rFonts w:ascii="Times New Roman" w:eastAsia="Times New Roman" w:hAnsi="Times New Roman" w:cs="Times New Roman"/>
                <w:sz w:val="24"/>
                <w:szCs w:val="24"/>
                <w:lang w:eastAsia="lv-LV"/>
              </w:rPr>
              <w:t xml:space="preserve">rojekts kopumā un tajā ietvertās tiesību normas atbilst </w:t>
            </w:r>
            <w:r w:rsidRPr="004E3F4A">
              <w:rPr>
                <w:rFonts w:ascii="Times New Roman" w:hAnsi="Times New Roman" w:cs="Times New Roman"/>
                <w:sz w:val="24"/>
                <w:szCs w:val="24"/>
              </w:rPr>
              <w:t>samērīguma principam, jo:</w:t>
            </w:r>
          </w:p>
          <w:p w14:paraId="2BB298A3" w14:textId="77777777" w:rsidR="00B02250" w:rsidRPr="004E3F4A" w:rsidRDefault="00B02250" w:rsidP="00B95599">
            <w:pPr>
              <w:pStyle w:val="NApunkts2"/>
              <w:numPr>
                <w:ilvl w:val="0"/>
                <w:numId w:val="5"/>
              </w:numPr>
              <w:tabs>
                <w:tab w:val="left" w:pos="269"/>
                <w:tab w:val="left" w:pos="393"/>
              </w:tabs>
              <w:spacing w:before="120"/>
              <w:ind w:left="0" w:firstLine="0"/>
            </w:pPr>
            <w:r w:rsidRPr="004E3F4A">
              <w:t xml:space="preserve">pirmkārt, ar </w:t>
            </w:r>
            <w:r>
              <w:t xml:space="preserve">noteikumu </w:t>
            </w:r>
            <w:r w:rsidRPr="004E3F4A">
              <w:t>projektu un tajā ietvertajām prasībām tiek sasniegts leģitīmais mērķis (citu personu tiesību un sabiedrības labklājības aizsardzība);</w:t>
            </w:r>
          </w:p>
          <w:p w14:paraId="7D966E6B" w14:textId="77777777" w:rsidR="00B02250" w:rsidRPr="004E3F4A" w:rsidRDefault="00B02250" w:rsidP="00B95599">
            <w:pPr>
              <w:pStyle w:val="NApunkts2"/>
              <w:numPr>
                <w:ilvl w:val="0"/>
                <w:numId w:val="5"/>
              </w:numPr>
              <w:tabs>
                <w:tab w:val="left" w:pos="269"/>
                <w:tab w:val="left" w:pos="393"/>
              </w:tabs>
              <w:spacing w:before="120"/>
              <w:ind w:left="0" w:firstLine="0"/>
            </w:pPr>
            <w:r w:rsidRPr="004E3F4A">
              <w:t xml:space="preserve">otrkārt, </w:t>
            </w:r>
            <w:r>
              <w:t xml:space="preserve">nav </w:t>
            </w:r>
            <w:r w:rsidRPr="004E3F4A">
              <w:t>tād</w:t>
            </w:r>
            <w:r>
              <w:t>u</w:t>
            </w:r>
            <w:r w:rsidRPr="004E3F4A">
              <w:t xml:space="preserve"> alternatīv</w:t>
            </w:r>
            <w:r>
              <w:t>u</w:t>
            </w:r>
            <w:r w:rsidRPr="004E3F4A">
              <w:t xml:space="preserve"> līdzekļ</w:t>
            </w:r>
            <w:r>
              <w:t>u</w:t>
            </w:r>
            <w:r w:rsidRPr="004E3F4A">
              <w:t xml:space="preserve">, </w:t>
            </w:r>
            <w:r>
              <w:t xml:space="preserve">lai </w:t>
            </w:r>
            <w:r w:rsidRPr="004E3F4A">
              <w:t>sasniegtu leģitīmo mērķi tādā pašā kvalitātē;</w:t>
            </w:r>
          </w:p>
          <w:p w14:paraId="0F16EA79" w14:textId="71DFA2E9" w:rsidR="00B02250" w:rsidRPr="004E3F4A" w:rsidRDefault="00B02250" w:rsidP="00B95599">
            <w:pPr>
              <w:pStyle w:val="ListParagraph"/>
              <w:numPr>
                <w:ilvl w:val="0"/>
                <w:numId w:val="5"/>
              </w:numPr>
              <w:tabs>
                <w:tab w:val="left" w:pos="345"/>
                <w:tab w:val="left" w:pos="393"/>
              </w:tabs>
              <w:autoSpaceDE w:val="0"/>
              <w:autoSpaceDN w:val="0"/>
              <w:adjustRightInd w:val="0"/>
              <w:spacing w:before="120" w:after="0" w:line="240" w:lineRule="auto"/>
              <w:ind w:left="0" w:firstLine="0"/>
              <w:contextualSpacing w:val="0"/>
              <w:jc w:val="both"/>
              <w:rPr>
                <w:rFonts w:ascii="Times New Roman" w:hAnsi="Times New Roman" w:cs="Times New Roman"/>
                <w:sz w:val="24"/>
                <w:szCs w:val="24"/>
              </w:rPr>
            </w:pPr>
            <w:r w:rsidRPr="004E3F4A">
              <w:rPr>
                <w:rFonts w:ascii="Times New Roman" w:eastAsia="Times New Roman" w:hAnsi="Times New Roman" w:cs="Times New Roman"/>
                <w:sz w:val="24"/>
                <w:szCs w:val="24"/>
                <w:lang w:eastAsia="lv-LV"/>
              </w:rPr>
              <w:t xml:space="preserve">treškārt, labums, ko iegūs sabiedrība, būs lielāks par </w:t>
            </w:r>
            <w:r w:rsidR="00571AF1">
              <w:rPr>
                <w:rFonts w:ascii="Times New Roman" w:eastAsia="Times New Roman" w:hAnsi="Times New Roman" w:cs="Times New Roman"/>
                <w:sz w:val="24"/>
                <w:szCs w:val="24"/>
                <w:lang w:eastAsia="lv-LV"/>
              </w:rPr>
              <w:t xml:space="preserve">Noteikumu </w:t>
            </w:r>
            <w:r w:rsidRPr="004E3F4A">
              <w:rPr>
                <w:rFonts w:ascii="Times New Roman" w:hAnsi="Times New Roman" w:cs="Times New Roman"/>
                <w:sz w:val="24"/>
                <w:szCs w:val="24"/>
              </w:rPr>
              <w:t>projektā</w:t>
            </w:r>
            <w:r w:rsidRPr="004E3F4A">
              <w:rPr>
                <w:rFonts w:ascii="Times New Roman" w:eastAsia="Times New Roman" w:hAnsi="Times New Roman" w:cs="Times New Roman"/>
                <w:sz w:val="24"/>
                <w:szCs w:val="24"/>
                <w:lang w:eastAsia="lv-LV"/>
              </w:rPr>
              <w:t xml:space="preserve"> ietverto prasību radītajām</w:t>
            </w:r>
            <w:r w:rsidRPr="004E3F4A">
              <w:rPr>
                <w:rFonts w:ascii="Times New Roman" w:hAnsi="Times New Roman" w:cs="Times New Roman"/>
                <w:sz w:val="24"/>
                <w:szCs w:val="24"/>
              </w:rPr>
              <w:t xml:space="preserve"> negatīvajām sekām.</w:t>
            </w:r>
          </w:p>
          <w:p w14:paraId="7D2DD123" w14:textId="42CA1E6F" w:rsidR="00B02250" w:rsidRDefault="00B02250" w:rsidP="00700D84">
            <w:pPr>
              <w:pStyle w:val="NApunkts2"/>
              <w:numPr>
                <w:ilvl w:val="0"/>
                <w:numId w:val="0"/>
              </w:numPr>
              <w:tabs>
                <w:tab w:val="left" w:pos="393"/>
              </w:tabs>
              <w:spacing w:before="120"/>
            </w:pPr>
            <w:r>
              <w:t xml:space="preserve">Noteikumu </w:t>
            </w:r>
            <w:r w:rsidRPr="00863805">
              <w:t>projekts</w:t>
            </w:r>
            <w:r>
              <w:t xml:space="preserve"> </w:t>
            </w:r>
            <w:r w:rsidRPr="00863805">
              <w:t>uzlabo prasību uztveramību</w:t>
            </w:r>
            <w:r>
              <w:t>, kā arī nodrošina to, ka Latvijas Banka var īstenot finanšu tirgus dalībnieku uzraudzību noziedzīgi iegūtu līdzekļu legalizācijas un terorisma un proliferācijas finansēšanas novēršanas un sankciju risku pārvaldīšanas jomā. Šā mērķa sasniegšanai nav</w:t>
            </w:r>
            <w:r w:rsidRPr="00863805">
              <w:t xml:space="preserve"> alternatīv</w:t>
            </w:r>
            <w:r>
              <w:t>u</w:t>
            </w:r>
            <w:r w:rsidRPr="00863805">
              <w:t xml:space="preserve"> līdzekļ</w:t>
            </w:r>
            <w:r>
              <w:t>u</w:t>
            </w:r>
            <w:r w:rsidRPr="00863805">
              <w:t xml:space="preserve">, jo </w:t>
            </w:r>
            <w:r>
              <w:t xml:space="preserve">Novēršanas likums </w:t>
            </w:r>
            <w:r w:rsidRPr="00863805">
              <w:t>paredz tiešu deleģējumu Latvijas Bankai</w:t>
            </w:r>
            <w:r>
              <w:t xml:space="preserve"> noteikt prasības attiecīgajās jomās, ko var īstenot, izdodot noteikumus.</w:t>
            </w:r>
          </w:p>
          <w:p w14:paraId="61BD19DC" w14:textId="33C5FA72" w:rsidR="00B02250" w:rsidRPr="00942B9E" w:rsidRDefault="00B02250" w:rsidP="00700D84">
            <w:pPr>
              <w:pStyle w:val="NApunkts2"/>
              <w:numPr>
                <w:ilvl w:val="0"/>
                <w:numId w:val="0"/>
              </w:numPr>
              <w:tabs>
                <w:tab w:val="left" w:pos="393"/>
              </w:tabs>
              <w:spacing w:before="120"/>
            </w:pPr>
            <w:r w:rsidRPr="007E4315">
              <w:t xml:space="preserve">Atbilstošākais veids, kā noteikt </w:t>
            </w:r>
            <w:r>
              <w:t xml:space="preserve">finanšu tirgus dalībniekiem </w:t>
            </w:r>
            <w:r w:rsidRPr="007E4315">
              <w:t xml:space="preserve">vienotas un saistošas prasības, ir izdot tiem saistošus noteikumus. Citas alternatīvas jautājuma noregulēšanai un vienotu prasību noteikšanai nebūtu efektīvas un nesasniegtu izvirzīto </w:t>
            </w:r>
            <w:r w:rsidRPr="00235C65">
              <w:t>mērķi, jo nenodrošinātu minēto prasību vienveidīgu piemērošanu.</w:t>
            </w:r>
          </w:p>
          <w:p w14:paraId="4A046999" w14:textId="4D25BA5C" w:rsidR="00B02250" w:rsidRPr="00B02250" w:rsidRDefault="00B02250" w:rsidP="00B95599">
            <w:pPr>
              <w:tabs>
                <w:tab w:val="left" w:pos="393"/>
              </w:tabs>
              <w:spacing w:before="120" w:after="0" w:line="240" w:lineRule="auto"/>
              <w:jc w:val="both"/>
              <w:rPr>
                <w:rFonts w:ascii="Times New Roman" w:eastAsia="Times New Roman" w:hAnsi="Times New Roman" w:cs="Times New Roman"/>
                <w:sz w:val="24"/>
                <w:szCs w:val="24"/>
                <w:lang w:eastAsia="lv-LV"/>
              </w:rPr>
            </w:pPr>
            <w:r w:rsidRPr="00B02250">
              <w:rPr>
                <w:rFonts w:ascii="Times New Roman" w:hAnsi="Times New Roman" w:cs="Times New Roman"/>
                <w:sz w:val="24"/>
                <w:szCs w:val="24"/>
              </w:rPr>
              <w:t xml:space="preserve">Latvijas Bankai ir pienākums, ņemot vērā Novēršanas likumā noteikto deleģējumu, noteikt pienākumus finanšu tirgus dalībniekiem. Noteikumu projektā paredzētā regulējuma leģitīmais mērķis ir novērst noziedzīgi iegūtu līdzekļu legalizācijas un terorisma un proliferācijas finansēšanu, izmantojot finanšu tirgus dalībnieku darbību. </w:t>
            </w:r>
            <w:r w:rsidRPr="00B02250">
              <w:rPr>
                <w:rFonts w:ascii="Times New Roman" w:hAnsi="Times New Roman" w:cs="Times New Roman"/>
                <w:sz w:val="24"/>
                <w:szCs w:val="24"/>
              </w:rPr>
              <w:lastRenderedPageBreak/>
              <w:t>Ņemot vērā minēto, Noteikumu projektā paredzētais regulējums ir samērīgs, un regulējuma leģitīmo mērķi nebūtu iespējams sasniegt ar citiem līdzekļiem.</w:t>
            </w:r>
          </w:p>
        </w:tc>
      </w:tr>
      <w:tr w:rsidR="00B02250" w:rsidRPr="002864E4" w14:paraId="491DBA69" w14:textId="77777777" w:rsidTr="00E253DA">
        <w:trPr>
          <w:trHeight w:val="567"/>
        </w:trPr>
        <w:tc>
          <w:tcPr>
            <w:tcW w:w="1796" w:type="pct"/>
            <w:shd w:val="clear" w:color="auto" w:fill="auto"/>
            <w:hideMark/>
          </w:tcPr>
          <w:p w14:paraId="7BDB65D4"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lastRenderedPageBreak/>
              <w:t>Spēkā stāšanās</w:t>
            </w:r>
          </w:p>
          <w:p w14:paraId="2ADE5F37"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FF79BB8" w14:textId="7EE8BB7F" w:rsidR="00B02250" w:rsidRPr="002864E4" w:rsidRDefault="007A52DB" w:rsidP="00B95599">
            <w:pPr>
              <w:tabs>
                <w:tab w:val="left" w:pos="393"/>
              </w:tabs>
              <w:spacing w:before="120"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Noteikumi stāsies spēkā </w:t>
            </w:r>
            <w:r w:rsidR="00B02250" w:rsidRPr="002864E4">
              <w:rPr>
                <w:rFonts w:ascii="Times New Roman" w:eastAsia="Times New Roman" w:hAnsi="Times New Roman" w:cs="Times New Roman"/>
                <w:sz w:val="24"/>
                <w:szCs w:val="24"/>
                <w:lang w:eastAsia="lv-LV"/>
              </w:rPr>
              <w:t>2025.</w:t>
            </w:r>
            <w:r w:rsidR="00B95599">
              <w:rPr>
                <w:rFonts w:ascii="Times New Roman" w:eastAsia="Times New Roman" w:hAnsi="Times New Roman" w:cs="Times New Roman"/>
                <w:sz w:val="24"/>
                <w:szCs w:val="24"/>
                <w:lang w:eastAsia="lv-LV"/>
              </w:rPr>
              <w:t> </w:t>
            </w:r>
            <w:r w:rsidR="00B02250" w:rsidRPr="002864E4">
              <w:rPr>
                <w:rFonts w:ascii="Times New Roman" w:eastAsia="Times New Roman" w:hAnsi="Times New Roman" w:cs="Times New Roman"/>
                <w:sz w:val="24"/>
                <w:szCs w:val="24"/>
                <w:lang w:eastAsia="lv-LV"/>
              </w:rPr>
              <w:t>gada 1.</w:t>
            </w:r>
            <w:r w:rsidR="00B95599">
              <w:rPr>
                <w:rFonts w:ascii="Times New Roman" w:eastAsia="Times New Roman" w:hAnsi="Times New Roman" w:cs="Times New Roman"/>
                <w:sz w:val="24"/>
                <w:szCs w:val="24"/>
                <w:lang w:eastAsia="lv-LV"/>
              </w:rPr>
              <w:t> </w:t>
            </w:r>
            <w:r w:rsidR="00B02250" w:rsidRPr="002864E4">
              <w:rPr>
                <w:rFonts w:ascii="Times New Roman" w:eastAsia="Times New Roman" w:hAnsi="Times New Roman" w:cs="Times New Roman"/>
                <w:sz w:val="24"/>
                <w:szCs w:val="24"/>
                <w:lang w:eastAsia="lv-LV"/>
              </w:rPr>
              <w:t xml:space="preserve">janvārī, zaudējot spēku </w:t>
            </w:r>
            <w:r w:rsidR="00C9742E">
              <w:rPr>
                <w:rFonts w:ascii="Times New Roman" w:eastAsia="Times New Roman" w:hAnsi="Times New Roman" w:cs="Times New Roman"/>
                <w:sz w:val="24"/>
                <w:szCs w:val="24"/>
                <w:lang w:eastAsia="lv-LV"/>
              </w:rPr>
              <w:t>N</w:t>
            </w:r>
            <w:r w:rsidR="00B02250" w:rsidRPr="002864E4">
              <w:rPr>
                <w:rFonts w:ascii="Times New Roman" w:eastAsia="Times New Roman" w:hAnsi="Times New Roman" w:cs="Times New Roman"/>
                <w:sz w:val="24"/>
                <w:szCs w:val="24"/>
                <w:lang w:eastAsia="lv-LV"/>
              </w:rPr>
              <w:t>oteikumiem Nr.</w:t>
            </w:r>
            <w:r w:rsidR="00B95599">
              <w:rPr>
                <w:rFonts w:ascii="Times New Roman" w:eastAsia="Times New Roman" w:hAnsi="Times New Roman" w:cs="Times New Roman"/>
                <w:sz w:val="24"/>
                <w:szCs w:val="24"/>
                <w:lang w:eastAsia="lv-LV"/>
              </w:rPr>
              <w:t> </w:t>
            </w:r>
            <w:r w:rsidR="00B02250" w:rsidRPr="002864E4">
              <w:rPr>
                <w:rFonts w:ascii="Times New Roman" w:eastAsia="Times New Roman" w:hAnsi="Times New Roman" w:cs="Times New Roman"/>
                <w:sz w:val="24"/>
                <w:szCs w:val="24"/>
                <w:lang w:eastAsia="lv-LV"/>
              </w:rPr>
              <w:t>148</w:t>
            </w:r>
            <w:r>
              <w:rPr>
                <w:rFonts w:ascii="Times New Roman" w:eastAsia="Times New Roman" w:hAnsi="Times New Roman" w:cs="Times New Roman"/>
                <w:sz w:val="24"/>
                <w:szCs w:val="24"/>
                <w:lang w:eastAsia="lv-LV"/>
              </w:rPr>
              <w:t>.</w:t>
            </w:r>
          </w:p>
        </w:tc>
      </w:tr>
      <w:tr w:rsidR="00B02250" w:rsidRPr="002864E4" w14:paraId="0CCFA44D" w14:textId="77777777" w:rsidTr="00E253DA">
        <w:trPr>
          <w:trHeight w:val="567"/>
        </w:trPr>
        <w:tc>
          <w:tcPr>
            <w:tcW w:w="1796" w:type="pct"/>
            <w:shd w:val="clear" w:color="auto" w:fill="auto"/>
            <w:hideMark/>
          </w:tcPr>
          <w:p w14:paraId="14851C73"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Ietekme uz Latvijas Bankas budžetu</w:t>
            </w:r>
          </w:p>
          <w:p w14:paraId="51A11422"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B8E4A93" w14:textId="75F478A0" w:rsidR="00B02250" w:rsidRPr="002864E4" w:rsidRDefault="007A52DB" w:rsidP="00B95599">
            <w:pPr>
              <w:tabs>
                <w:tab w:val="left" w:pos="393"/>
              </w:tabs>
              <w:spacing w:before="120" w:after="0" w:line="240" w:lineRule="auto"/>
              <w:jc w:val="both"/>
              <w:rPr>
                <w:rFonts w:ascii="Times New Roman" w:eastAsia="Times New Roman" w:hAnsi="Times New Roman" w:cs="Times New Roman"/>
                <w:sz w:val="24"/>
                <w:szCs w:val="24"/>
                <w:lang w:eastAsia="lv-LV"/>
              </w:rPr>
            </w:pPr>
            <w:r w:rsidRPr="00E7790B">
              <w:rPr>
                <w:rFonts w:ascii="Times New Roman" w:eastAsia="Times New Roman" w:hAnsi="Times New Roman" w:cs="Times New Roman"/>
                <w:sz w:val="24"/>
                <w:szCs w:val="24"/>
              </w:rPr>
              <w:t>Noteikumu projekts neietekmē Latvijas Bankas budžeta ieņēmumus un izdevumus.</w:t>
            </w:r>
          </w:p>
        </w:tc>
      </w:tr>
      <w:tr w:rsidR="00B02250" w:rsidRPr="002864E4" w14:paraId="52C532EB" w14:textId="77777777" w:rsidTr="00E253DA">
        <w:trPr>
          <w:trHeight w:val="567"/>
        </w:trPr>
        <w:tc>
          <w:tcPr>
            <w:tcW w:w="1796" w:type="pct"/>
            <w:shd w:val="clear" w:color="auto" w:fill="auto"/>
            <w:hideMark/>
          </w:tcPr>
          <w:p w14:paraId="14DEC89C"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Administratīvā sloga un izmaksu novērtējums (tirgus dalībniekiem)</w:t>
            </w:r>
          </w:p>
          <w:p w14:paraId="41C2C9B6"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8C11811" w14:textId="52D05BB4" w:rsidR="00B02250" w:rsidRPr="002864E4" w:rsidRDefault="007A52DB" w:rsidP="00B95599">
            <w:pPr>
              <w:pStyle w:val="Default"/>
              <w:tabs>
                <w:tab w:val="left" w:pos="393"/>
              </w:tabs>
              <w:spacing w:before="120"/>
              <w:jc w:val="both"/>
              <w:rPr>
                <w:rFonts w:eastAsia="Times New Roman"/>
                <w:lang w:eastAsia="lv-LV"/>
              </w:rPr>
            </w:pPr>
            <w:r w:rsidRPr="00A71226">
              <w:t>Noteikumu projektā paredzētās prasības nerada papildu administratīvo slogu finanšu tirgus dalībniekiem, jo ietver jau šobrīd spēkā esošas prasības, atsevišķas prasības padarot mazāk stingras</w:t>
            </w:r>
            <w:r w:rsidR="001021C4">
              <w:t xml:space="preserve"> (Noteikumu</w:t>
            </w:r>
            <w:r w:rsidRPr="00A71226">
              <w:t xml:space="preserve"> </w:t>
            </w:r>
            <w:r w:rsidR="001021C4">
              <w:t>projekts paredz prasības retāk veikt iekšējās kontroles sistēmas neatkarīgu ārējo auditu).</w:t>
            </w:r>
          </w:p>
        </w:tc>
      </w:tr>
      <w:tr w:rsidR="00B02250" w:rsidRPr="002864E4" w14:paraId="5E2023EA" w14:textId="77777777" w:rsidTr="00E253DA">
        <w:trPr>
          <w:trHeight w:val="567"/>
        </w:trPr>
        <w:tc>
          <w:tcPr>
            <w:tcW w:w="1796" w:type="pct"/>
            <w:shd w:val="clear" w:color="auto" w:fill="auto"/>
            <w:hideMark/>
          </w:tcPr>
          <w:p w14:paraId="723F4D0A"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Saistītie dokumenti</w:t>
            </w:r>
          </w:p>
          <w:p w14:paraId="017B7983"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3F97B5D" w14:textId="77777777" w:rsidR="007A52DB" w:rsidRDefault="007A52DB" w:rsidP="00B95599">
            <w:pPr>
              <w:pStyle w:val="ListParagraph"/>
              <w:numPr>
                <w:ilvl w:val="0"/>
                <w:numId w:val="7"/>
              </w:numPr>
              <w:tabs>
                <w:tab w:val="left" w:pos="393"/>
              </w:tabs>
              <w:spacing w:before="120" w:after="0" w:line="240" w:lineRule="auto"/>
              <w:ind w:left="0" w:firstLine="0"/>
              <w:contextualSpacing w:val="0"/>
              <w:jc w:val="both"/>
              <w:rPr>
                <w:rFonts w:ascii="Times New Roman" w:eastAsia="Times New Roman" w:hAnsi="Times New Roman" w:cs="Times New Roman"/>
                <w:sz w:val="24"/>
                <w:szCs w:val="24"/>
                <w:lang w:eastAsia="lv-LV"/>
              </w:rPr>
            </w:pPr>
            <w:hyperlink r:id="rId11" w:history="1">
              <w:r>
                <w:rPr>
                  <w:rStyle w:val="Hyperlink"/>
                  <w:rFonts w:ascii="Times New Roman" w:eastAsia="Times New Roman" w:hAnsi="Times New Roman" w:cs="Times New Roman"/>
                  <w:sz w:val="24"/>
                  <w:szCs w:val="24"/>
                  <w:lang w:eastAsia="lv-LV"/>
                </w:rPr>
                <w:t>N</w:t>
              </w:r>
              <w:r w:rsidRPr="00942B9E">
                <w:rPr>
                  <w:rStyle w:val="Hyperlink"/>
                  <w:rFonts w:ascii="Times New Roman" w:eastAsia="Times New Roman" w:hAnsi="Times New Roman" w:cs="Times New Roman"/>
                  <w:sz w:val="24"/>
                  <w:szCs w:val="24"/>
                  <w:lang w:eastAsia="lv-LV"/>
                </w:rPr>
                <w:t>ovēršanas likums</w:t>
              </w:r>
            </w:hyperlink>
            <w:r>
              <w:rPr>
                <w:rFonts w:ascii="Times New Roman" w:eastAsia="Times New Roman" w:hAnsi="Times New Roman" w:cs="Times New Roman"/>
                <w:sz w:val="24"/>
                <w:szCs w:val="24"/>
                <w:lang w:eastAsia="lv-LV"/>
              </w:rPr>
              <w:t>;</w:t>
            </w:r>
          </w:p>
          <w:p w14:paraId="64C571BB" w14:textId="0EA74BA5" w:rsidR="00B02250" w:rsidRPr="00007791" w:rsidRDefault="00C9742E" w:rsidP="00B95599">
            <w:pPr>
              <w:pStyle w:val="ListParagraph"/>
              <w:numPr>
                <w:ilvl w:val="0"/>
                <w:numId w:val="7"/>
              </w:numPr>
              <w:tabs>
                <w:tab w:val="left" w:pos="393"/>
              </w:tabs>
              <w:spacing w:before="120" w:after="0" w:line="240" w:lineRule="auto"/>
              <w:ind w:left="0" w:firstLine="0"/>
              <w:contextualSpacing w:val="0"/>
              <w:jc w:val="both"/>
              <w:rPr>
                <w:rStyle w:val="Hyperlink"/>
                <w:rFonts w:ascii="Times New Roman" w:eastAsia="Times New Roman" w:hAnsi="Times New Roman" w:cs="Times New Roman"/>
                <w:color w:val="auto"/>
                <w:sz w:val="24"/>
                <w:szCs w:val="24"/>
                <w:u w:val="none"/>
                <w:lang w:eastAsia="lv-LV"/>
              </w:rPr>
            </w:pPr>
            <w:hyperlink r:id="rId12" w:history="1">
              <w:r>
                <w:rPr>
                  <w:rStyle w:val="Hyperlink"/>
                  <w:rFonts w:ascii="Times New Roman" w:eastAsia="Times New Roman" w:hAnsi="Times New Roman" w:cs="Times New Roman"/>
                  <w:sz w:val="24"/>
                  <w:szCs w:val="24"/>
                  <w:lang w:eastAsia="lv-LV"/>
                </w:rPr>
                <w:t>Noteikumi Nr. 148</w:t>
              </w:r>
            </w:hyperlink>
            <w:r w:rsidR="00007791">
              <w:rPr>
                <w:rStyle w:val="Hyperlink"/>
                <w:rFonts w:ascii="Times New Roman" w:eastAsia="Times New Roman" w:hAnsi="Times New Roman" w:cs="Times New Roman"/>
                <w:sz w:val="24"/>
                <w:szCs w:val="24"/>
                <w:lang w:eastAsia="lv-LV"/>
              </w:rPr>
              <w:t>;</w:t>
            </w:r>
          </w:p>
          <w:p w14:paraId="78F15A3F" w14:textId="416DEE46" w:rsidR="00C5201C" w:rsidRPr="007A52DB" w:rsidRDefault="00C9742E" w:rsidP="0031348B">
            <w:pPr>
              <w:pStyle w:val="ListParagraph"/>
              <w:numPr>
                <w:ilvl w:val="0"/>
                <w:numId w:val="7"/>
              </w:numPr>
              <w:tabs>
                <w:tab w:val="left" w:pos="393"/>
              </w:tabs>
              <w:spacing w:before="120" w:after="0" w:line="240" w:lineRule="auto"/>
              <w:ind w:left="0" w:firstLine="0"/>
              <w:contextualSpacing w:val="0"/>
              <w:jc w:val="both"/>
              <w:rPr>
                <w:rFonts w:ascii="Times New Roman" w:eastAsia="Times New Roman" w:hAnsi="Times New Roman" w:cs="Times New Roman"/>
                <w:sz w:val="24"/>
                <w:szCs w:val="24"/>
                <w:lang w:eastAsia="lv-LV"/>
              </w:rPr>
            </w:pPr>
            <w:hyperlink r:id="rId13" w:history="1">
              <w:r w:rsidRPr="00C9742E">
                <w:rPr>
                  <w:rStyle w:val="Hyperlink"/>
                  <w:rFonts w:ascii="Times New Roman" w:eastAsia="Times New Roman" w:hAnsi="Times New Roman" w:cs="Times New Roman"/>
                  <w:sz w:val="24"/>
                  <w:szCs w:val="24"/>
                </w:rPr>
                <w:t>Finanšu un kapitāla tirgus komisijas 2021. gada 12. janvāra normatīvie noteikumi Nr. 5 "Klientu izpētes, klientu padziļinātās izpētes un riska skaitliskā novērtējuma sistēmas izveides un informācijas tehnoloģiju prasību normatīvie noteikumi"</w:t>
              </w:r>
            </w:hyperlink>
            <w:r>
              <w:rPr>
                <w:rFonts w:ascii="Times New Roman" w:eastAsia="Times New Roman" w:hAnsi="Times New Roman" w:cs="Times New Roman"/>
                <w:sz w:val="24"/>
                <w:szCs w:val="24"/>
              </w:rPr>
              <w:t>.</w:t>
            </w:r>
            <w:hyperlink r:id="rId14" w:history="1"/>
          </w:p>
        </w:tc>
      </w:tr>
      <w:tr w:rsidR="00B02250" w:rsidRPr="002864E4" w14:paraId="41E0B5C3" w14:textId="77777777" w:rsidTr="00E253DA">
        <w:trPr>
          <w:trHeight w:val="567"/>
        </w:trPr>
        <w:tc>
          <w:tcPr>
            <w:tcW w:w="1796" w:type="pct"/>
            <w:shd w:val="clear" w:color="auto" w:fill="auto"/>
            <w:hideMark/>
          </w:tcPr>
          <w:p w14:paraId="120EA526"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Saskaņošana ar Eiropas Centrālo banku</w:t>
            </w:r>
          </w:p>
          <w:p w14:paraId="56E24DD0"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2D00871" w14:textId="3ECE7B7C" w:rsidR="00B02250" w:rsidRPr="002864E4" w:rsidRDefault="00B02250" w:rsidP="00B95599">
            <w:pPr>
              <w:tabs>
                <w:tab w:val="left" w:pos="393"/>
              </w:tabs>
              <w:spacing w:before="120" w:after="0" w:line="240" w:lineRule="auto"/>
              <w:jc w:val="both"/>
              <w:rPr>
                <w:rFonts w:ascii="Times New Roman" w:eastAsia="Times New Roman" w:hAnsi="Times New Roman" w:cs="Times New Roman"/>
                <w:sz w:val="24"/>
                <w:szCs w:val="24"/>
                <w:lang w:eastAsia="lv-LV"/>
              </w:rPr>
            </w:pPr>
            <w:r w:rsidRPr="002864E4">
              <w:rPr>
                <w:rFonts w:ascii="Times New Roman" w:eastAsia="Times New Roman" w:hAnsi="Times New Roman" w:cs="Times New Roman"/>
                <w:sz w:val="24"/>
                <w:szCs w:val="24"/>
                <w:lang w:eastAsia="lv-LV"/>
              </w:rPr>
              <w:t>Nav nepieciešama</w:t>
            </w:r>
            <w:r w:rsidR="00C9742E">
              <w:rPr>
                <w:rFonts w:ascii="Times New Roman" w:eastAsia="Times New Roman" w:hAnsi="Times New Roman" w:cs="Times New Roman"/>
                <w:sz w:val="24"/>
                <w:szCs w:val="24"/>
                <w:lang w:eastAsia="lv-LV"/>
              </w:rPr>
              <w:t>.</w:t>
            </w:r>
          </w:p>
        </w:tc>
      </w:tr>
      <w:tr w:rsidR="00B02250" w:rsidRPr="002864E4" w14:paraId="6D4723D2" w14:textId="77777777" w:rsidTr="00E253DA">
        <w:trPr>
          <w:trHeight w:val="567"/>
        </w:trPr>
        <w:tc>
          <w:tcPr>
            <w:tcW w:w="1796" w:type="pct"/>
            <w:shd w:val="clear" w:color="auto" w:fill="auto"/>
            <w:hideMark/>
          </w:tcPr>
          <w:p w14:paraId="5FD4A6C8" w14:textId="500473DA" w:rsidR="00B02250" w:rsidRPr="002864E4" w:rsidRDefault="00E5685E" w:rsidP="00B02250">
            <w:pPr>
              <w:spacing w:after="0" w:line="240" w:lineRule="auto"/>
              <w:rPr>
                <w:rFonts w:ascii="Times New Roman" w:eastAsia="Times New Roman" w:hAnsi="Times New Roman" w:cs="Times New Roman"/>
                <w:b/>
                <w:bCs/>
                <w:sz w:val="24"/>
                <w:szCs w:val="24"/>
                <w:lang w:eastAsia="lv-LV"/>
              </w:rPr>
            </w:pPr>
            <w:r w:rsidRPr="00E5685E">
              <w:rPr>
                <w:rFonts w:ascii="Times New Roman" w:eastAsia="Times New Roman" w:hAnsi="Times New Roman" w:cs="Times New Roman"/>
                <w:b/>
                <w:bCs/>
                <w:sz w:val="24"/>
                <w:szCs w:val="24"/>
                <w:lang w:eastAsia="lv-LV"/>
              </w:rPr>
              <w:t>Saskaņošana ar citām publiskām un privātām personām</w:t>
            </w:r>
          </w:p>
        </w:tc>
        <w:tc>
          <w:tcPr>
            <w:tcW w:w="3204" w:type="pct"/>
            <w:shd w:val="clear" w:color="auto" w:fill="auto"/>
          </w:tcPr>
          <w:p w14:paraId="5AC43E75" w14:textId="109F07EE" w:rsidR="00E5685E" w:rsidRPr="00E5685E" w:rsidRDefault="00E5685E" w:rsidP="00E5685E">
            <w:pPr>
              <w:tabs>
                <w:tab w:val="left" w:pos="393"/>
              </w:tabs>
              <w:spacing w:before="120" w:after="0" w:line="240" w:lineRule="auto"/>
              <w:jc w:val="both"/>
              <w:rPr>
                <w:rFonts w:ascii="Times New Roman" w:hAnsi="Times New Roman" w:cs="Times New Roman"/>
                <w:sz w:val="24"/>
                <w:szCs w:val="24"/>
              </w:rPr>
            </w:pPr>
            <w:r w:rsidRPr="00E5685E">
              <w:rPr>
                <w:rFonts w:ascii="Times New Roman" w:hAnsi="Times New Roman" w:cs="Times New Roman"/>
                <w:sz w:val="24"/>
                <w:szCs w:val="24"/>
              </w:rPr>
              <w:t xml:space="preserve">Noteikumu projekts </w:t>
            </w:r>
            <w:r>
              <w:rPr>
                <w:rFonts w:ascii="Times New Roman" w:hAnsi="Times New Roman" w:cs="Times New Roman"/>
                <w:sz w:val="24"/>
                <w:szCs w:val="24"/>
              </w:rPr>
              <w:t>09.10.2024.</w:t>
            </w:r>
            <w:r w:rsidRPr="00E5685E">
              <w:rPr>
                <w:rFonts w:ascii="Times New Roman" w:hAnsi="Times New Roman" w:cs="Times New Roman"/>
                <w:sz w:val="24"/>
                <w:szCs w:val="24"/>
              </w:rPr>
              <w:t xml:space="preserve"> tika publicēts Latvijas Bankas tīmekļvietnes www.bank.lv sadaļas "Tiesību akti" </w:t>
            </w:r>
            <w:proofErr w:type="spellStart"/>
            <w:r w:rsidRPr="00E5685E">
              <w:rPr>
                <w:rFonts w:ascii="Times New Roman" w:hAnsi="Times New Roman" w:cs="Times New Roman"/>
                <w:sz w:val="24"/>
                <w:szCs w:val="24"/>
              </w:rPr>
              <w:t>apakšsadaļā</w:t>
            </w:r>
            <w:proofErr w:type="spellEnd"/>
            <w:r w:rsidRPr="00E5685E">
              <w:rPr>
                <w:rFonts w:ascii="Times New Roman" w:hAnsi="Times New Roman" w:cs="Times New Roman"/>
                <w:sz w:val="24"/>
                <w:szCs w:val="24"/>
              </w:rPr>
              <w:t xml:space="preserve"> "Sabiedrības līdzdalība", aicinot priekšlikumus iesniegt līdz </w:t>
            </w:r>
            <w:r>
              <w:rPr>
                <w:rFonts w:ascii="Times New Roman" w:hAnsi="Times New Roman" w:cs="Times New Roman"/>
                <w:sz w:val="24"/>
                <w:szCs w:val="24"/>
              </w:rPr>
              <w:t>23.10.2024.</w:t>
            </w:r>
            <w:r w:rsidRPr="00E5685E">
              <w:rPr>
                <w:rFonts w:ascii="Times New Roman" w:hAnsi="Times New Roman" w:cs="Times New Roman"/>
                <w:sz w:val="24"/>
                <w:szCs w:val="24"/>
              </w:rPr>
              <w:t xml:space="preserve"> </w:t>
            </w:r>
          </w:p>
          <w:p w14:paraId="7C0F2D3B" w14:textId="26645F50" w:rsidR="00B02250" w:rsidRPr="002864E4" w:rsidRDefault="00E5685E" w:rsidP="00E5685E">
            <w:pPr>
              <w:tabs>
                <w:tab w:val="left" w:pos="393"/>
              </w:tabs>
              <w:spacing w:before="120" w:after="0" w:line="240" w:lineRule="auto"/>
              <w:jc w:val="both"/>
              <w:rPr>
                <w:rFonts w:ascii="Times New Roman" w:eastAsia="Times New Roman" w:hAnsi="Times New Roman" w:cs="Times New Roman"/>
                <w:sz w:val="24"/>
                <w:szCs w:val="24"/>
              </w:rPr>
            </w:pPr>
            <w:r w:rsidRPr="00E5685E">
              <w:rPr>
                <w:rFonts w:ascii="Times New Roman" w:hAnsi="Times New Roman" w:cs="Times New Roman"/>
                <w:sz w:val="24"/>
                <w:szCs w:val="24"/>
              </w:rPr>
              <w:t>Vienlaikus par noteikumu projektu un notiekošo sabiedrības līdzdalību tika informēt</w:t>
            </w:r>
            <w:r>
              <w:rPr>
                <w:rFonts w:ascii="Times New Roman" w:hAnsi="Times New Roman" w:cs="Times New Roman"/>
                <w:sz w:val="24"/>
                <w:szCs w:val="24"/>
              </w:rPr>
              <w:t xml:space="preserve">as </w:t>
            </w:r>
            <w:r w:rsidR="006E0178" w:rsidRPr="006E0178">
              <w:rPr>
                <w:rFonts w:ascii="Times New Roman" w:hAnsi="Times New Roman" w:cs="Times New Roman"/>
                <w:sz w:val="24"/>
                <w:szCs w:val="24"/>
              </w:rPr>
              <w:t>kredītiestādes, licencētas maksājumu iestādes un licencētas elektroniskās naudas iestādes</w:t>
            </w:r>
            <w:r w:rsidR="00A95ED4">
              <w:rPr>
                <w:rFonts w:ascii="Times New Roman" w:hAnsi="Times New Roman" w:cs="Times New Roman"/>
                <w:sz w:val="24"/>
                <w:szCs w:val="24"/>
              </w:rPr>
              <w:t xml:space="preserve">, </w:t>
            </w:r>
            <w:r w:rsidR="00A95ED4" w:rsidRPr="00571AF1">
              <w:rPr>
                <w:rFonts w:ascii="Times New Roman" w:eastAsia="Times New Roman" w:hAnsi="Times New Roman" w:cs="Times New Roman"/>
                <w:sz w:val="24"/>
                <w:szCs w:val="24"/>
              </w:rPr>
              <w:t>ieguldījumu brokeru sabiedrīb</w:t>
            </w:r>
            <w:r w:rsidR="00A95ED4">
              <w:rPr>
                <w:rFonts w:ascii="Times New Roman" w:eastAsia="Times New Roman" w:hAnsi="Times New Roman" w:cs="Times New Roman"/>
                <w:sz w:val="24"/>
                <w:szCs w:val="24"/>
              </w:rPr>
              <w:t>as</w:t>
            </w:r>
            <w:r>
              <w:rPr>
                <w:rFonts w:ascii="Times New Roman" w:eastAsia="Times New Roman" w:hAnsi="Times New Roman" w:cs="Times New Roman"/>
                <w:sz w:val="24"/>
                <w:szCs w:val="24"/>
              </w:rPr>
              <w:t xml:space="preserve">, Latvijas Finanšu nozares asociācija, </w:t>
            </w:r>
            <w:r w:rsidRPr="00E5685E">
              <w:rPr>
                <w:rFonts w:ascii="Times New Roman" w:eastAsia="Times New Roman" w:hAnsi="Times New Roman" w:cs="Times New Roman"/>
                <w:sz w:val="24"/>
                <w:szCs w:val="24"/>
              </w:rPr>
              <w:t>Latvijas Maksājumu pakalpojumu un elektroniskās naudas iestāžu asociācija</w:t>
            </w:r>
            <w:r>
              <w:rPr>
                <w:rFonts w:ascii="Times New Roman" w:eastAsia="Times New Roman" w:hAnsi="Times New Roman" w:cs="Times New Roman"/>
                <w:sz w:val="24"/>
                <w:szCs w:val="24"/>
              </w:rPr>
              <w:t xml:space="preserve">, </w:t>
            </w:r>
            <w:r w:rsidRPr="00E5685E">
              <w:rPr>
                <w:rFonts w:ascii="Times New Roman" w:eastAsia="Times New Roman" w:hAnsi="Times New Roman" w:cs="Times New Roman"/>
                <w:sz w:val="24"/>
                <w:szCs w:val="24"/>
              </w:rPr>
              <w:t>Latvijas Apdrošinātāju asociācija</w:t>
            </w:r>
            <w:r>
              <w:rPr>
                <w:rFonts w:ascii="Times New Roman" w:eastAsia="Times New Roman" w:hAnsi="Times New Roman" w:cs="Times New Roman"/>
                <w:sz w:val="24"/>
                <w:szCs w:val="24"/>
              </w:rPr>
              <w:t xml:space="preserve">, </w:t>
            </w:r>
            <w:r w:rsidRPr="00E5685E">
              <w:rPr>
                <w:rFonts w:ascii="Times New Roman" w:eastAsia="Times New Roman" w:hAnsi="Times New Roman" w:cs="Times New Roman"/>
                <w:sz w:val="24"/>
                <w:szCs w:val="24"/>
              </w:rPr>
              <w:t>Nebanku Finanšu Pakalpojumu Sniedzēju Asociācija</w:t>
            </w:r>
            <w:r>
              <w:rPr>
                <w:rFonts w:ascii="Times New Roman" w:eastAsia="Times New Roman" w:hAnsi="Times New Roman" w:cs="Times New Roman"/>
                <w:sz w:val="24"/>
                <w:szCs w:val="24"/>
              </w:rPr>
              <w:t xml:space="preserve">, </w:t>
            </w:r>
            <w:r w:rsidRPr="00E5685E">
              <w:rPr>
                <w:rFonts w:ascii="Times New Roman" w:eastAsia="Times New Roman" w:hAnsi="Times New Roman" w:cs="Times New Roman"/>
                <w:sz w:val="24"/>
                <w:szCs w:val="24"/>
              </w:rPr>
              <w:t>Latvijas Profesionālo Apdrošināšanas brokeru Asociācija Biedrība</w:t>
            </w:r>
            <w:r>
              <w:rPr>
                <w:rFonts w:ascii="Times New Roman" w:eastAsia="Times New Roman" w:hAnsi="Times New Roman" w:cs="Times New Roman"/>
                <w:sz w:val="24"/>
                <w:szCs w:val="24"/>
              </w:rPr>
              <w:t xml:space="preserve">, </w:t>
            </w:r>
            <w:r w:rsidRPr="00E5685E">
              <w:rPr>
                <w:rFonts w:ascii="Times New Roman" w:eastAsia="Times New Roman" w:hAnsi="Times New Roman" w:cs="Times New Roman"/>
                <w:sz w:val="24"/>
                <w:szCs w:val="24"/>
              </w:rPr>
              <w:t xml:space="preserve">Latvijas Kooperatīvo </w:t>
            </w:r>
            <w:proofErr w:type="spellStart"/>
            <w:r w:rsidRPr="00E5685E">
              <w:rPr>
                <w:rFonts w:ascii="Times New Roman" w:eastAsia="Times New Roman" w:hAnsi="Times New Roman" w:cs="Times New Roman"/>
                <w:sz w:val="24"/>
                <w:szCs w:val="24"/>
              </w:rPr>
              <w:t>krājaizdevu</w:t>
            </w:r>
            <w:proofErr w:type="spellEnd"/>
            <w:r w:rsidRPr="00E5685E">
              <w:rPr>
                <w:rFonts w:ascii="Times New Roman" w:eastAsia="Times New Roman" w:hAnsi="Times New Roman" w:cs="Times New Roman"/>
                <w:sz w:val="24"/>
                <w:szCs w:val="24"/>
              </w:rPr>
              <w:t xml:space="preserve"> sabiedrību savienība</w:t>
            </w:r>
            <w:r>
              <w:rPr>
                <w:rFonts w:ascii="Times New Roman" w:eastAsia="Times New Roman" w:hAnsi="Times New Roman" w:cs="Times New Roman"/>
                <w:sz w:val="24"/>
                <w:szCs w:val="24"/>
              </w:rPr>
              <w:t xml:space="preserve">, </w:t>
            </w:r>
            <w:r w:rsidRPr="00E5685E">
              <w:rPr>
                <w:rFonts w:ascii="Times New Roman" w:eastAsia="Times New Roman" w:hAnsi="Times New Roman" w:cs="Times New Roman"/>
                <w:sz w:val="24"/>
                <w:szCs w:val="24"/>
              </w:rPr>
              <w:t>Latvijas Apdrošināšanas brokeru asociācija</w:t>
            </w:r>
            <w:r>
              <w:rPr>
                <w:rFonts w:ascii="Times New Roman" w:eastAsia="Times New Roman" w:hAnsi="Times New Roman" w:cs="Times New Roman"/>
                <w:sz w:val="24"/>
                <w:szCs w:val="24"/>
              </w:rPr>
              <w:t xml:space="preserve"> un </w:t>
            </w:r>
            <w:r w:rsidRPr="00E5685E">
              <w:rPr>
                <w:rFonts w:ascii="Times New Roman" w:eastAsia="Times New Roman" w:hAnsi="Times New Roman" w:cs="Times New Roman"/>
                <w:sz w:val="24"/>
                <w:szCs w:val="24"/>
              </w:rPr>
              <w:t xml:space="preserve">Latvijas Privātā un </w:t>
            </w:r>
            <w:proofErr w:type="spellStart"/>
            <w:r w:rsidRPr="00E5685E">
              <w:rPr>
                <w:rFonts w:ascii="Times New Roman" w:eastAsia="Times New Roman" w:hAnsi="Times New Roman" w:cs="Times New Roman"/>
                <w:sz w:val="24"/>
                <w:szCs w:val="24"/>
              </w:rPr>
              <w:t>Iespējkapitāla</w:t>
            </w:r>
            <w:proofErr w:type="spellEnd"/>
            <w:r w:rsidRPr="00E5685E">
              <w:rPr>
                <w:rFonts w:ascii="Times New Roman" w:eastAsia="Times New Roman" w:hAnsi="Times New Roman" w:cs="Times New Roman"/>
                <w:sz w:val="24"/>
                <w:szCs w:val="24"/>
              </w:rPr>
              <w:t xml:space="preserve"> asociācija</w:t>
            </w:r>
            <w:r>
              <w:rPr>
                <w:rFonts w:ascii="Times New Roman" w:eastAsia="Times New Roman" w:hAnsi="Times New Roman" w:cs="Times New Roman"/>
                <w:sz w:val="24"/>
                <w:szCs w:val="24"/>
              </w:rPr>
              <w:t>.</w:t>
            </w:r>
          </w:p>
        </w:tc>
      </w:tr>
      <w:tr w:rsidR="00B02250" w:rsidRPr="002864E4" w14:paraId="2ABB2691" w14:textId="77777777" w:rsidTr="00E253DA">
        <w:trPr>
          <w:trHeight w:val="567"/>
        </w:trPr>
        <w:tc>
          <w:tcPr>
            <w:tcW w:w="1796" w:type="pct"/>
            <w:shd w:val="clear" w:color="auto" w:fill="auto"/>
            <w:hideMark/>
          </w:tcPr>
          <w:p w14:paraId="5D362500"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Saskaņošanas rezultāti</w:t>
            </w:r>
          </w:p>
          <w:p w14:paraId="013658A1"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CF2D3FC" w14:textId="11B116C9" w:rsidR="00B02250" w:rsidRPr="002864E4" w:rsidRDefault="00FC3DA9" w:rsidP="00B95599">
            <w:pPr>
              <w:pStyle w:val="ListParagraph"/>
              <w:tabs>
                <w:tab w:val="left" w:pos="393"/>
              </w:tabs>
              <w:spacing w:before="120" w:after="0" w:line="240" w:lineRule="auto"/>
              <w:ind w:left="0"/>
              <w:contextualSpacing w:val="0"/>
              <w:jc w:val="both"/>
              <w:rPr>
                <w:rFonts w:ascii="Times New Roman" w:eastAsia="Times New Roman" w:hAnsi="Times New Roman" w:cs="Times New Roman"/>
                <w:sz w:val="24"/>
                <w:szCs w:val="24"/>
                <w:lang w:eastAsia="lv-LV"/>
              </w:rPr>
            </w:pPr>
            <w:r w:rsidRPr="00FC3DA9">
              <w:rPr>
                <w:rFonts w:ascii="Times New Roman" w:hAnsi="Times New Roman" w:cs="Times New Roman"/>
                <w:sz w:val="24"/>
                <w:szCs w:val="24"/>
              </w:rPr>
              <w:t>Sabiedrības līdzdalības rezultātā tika saņemti priekšlikum</w:t>
            </w:r>
            <w:r>
              <w:rPr>
                <w:rFonts w:ascii="Times New Roman" w:hAnsi="Times New Roman" w:cs="Times New Roman"/>
                <w:sz w:val="24"/>
                <w:szCs w:val="24"/>
              </w:rPr>
              <w:t>s</w:t>
            </w:r>
            <w:r w:rsidRPr="00FC3DA9">
              <w:rPr>
                <w:rFonts w:ascii="Times New Roman" w:hAnsi="Times New Roman" w:cs="Times New Roman"/>
                <w:sz w:val="24"/>
                <w:szCs w:val="24"/>
              </w:rPr>
              <w:t xml:space="preserve"> no </w:t>
            </w:r>
            <w:r>
              <w:rPr>
                <w:rFonts w:ascii="Times New Roman" w:hAnsi="Times New Roman" w:cs="Times New Roman"/>
                <w:sz w:val="24"/>
                <w:szCs w:val="24"/>
              </w:rPr>
              <w:t>Latvijas Finanšu nozares asociācijas</w:t>
            </w:r>
            <w:r w:rsidRPr="00FC3DA9">
              <w:rPr>
                <w:rFonts w:ascii="Times New Roman" w:hAnsi="Times New Roman" w:cs="Times New Roman"/>
                <w:sz w:val="24"/>
                <w:szCs w:val="24"/>
              </w:rPr>
              <w:t>, un t</w:t>
            </w:r>
            <w:r>
              <w:rPr>
                <w:rFonts w:ascii="Times New Roman" w:hAnsi="Times New Roman" w:cs="Times New Roman"/>
                <w:sz w:val="24"/>
                <w:szCs w:val="24"/>
              </w:rPr>
              <w:t>ā</w:t>
            </w:r>
            <w:r w:rsidRPr="00FC3DA9">
              <w:rPr>
                <w:rFonts w:ascii="Times New Roman" w:hAnsi="Times New Roman" w:cs="Times New Roman"/>
                <w:sz w:val="24"/>
                <w:szCs w:val="24"/>
              </w:rPr>
              <w:t xml:space="preserve"> apkopojums ir pievienots anotācijas pielikumā</w:t>
            </w:r>
            <w:r w:rsidR="002D4F4A">
              <w:rPr>
                <w:rFonts w:ascii="Times New Roman" w:hAnsi="Times New Roman" w:cs="Times New Roman"/>
                <w:sz w:val="24"/>
                <w:szCs w:val="24"/>
              </w:rPr>
              <w:t>.</w:t>
            </w:r>
          </w:p>
        </w:tc>
      </w:tr>
    </w:tbl>
    <w:p w14:paraId="4BC7894E" w14:textId="77777777" w:rsidR="00FC3DA9" w:rsidRDefault="00FC3DA9" w:rsidP="0049248A">
      <w:pPr>
        <w:spacing w:after="0" w:line="240" w:lineRule="auto"/>
        <w:rPr>
          <w:rFonts w:ascii="Times New Roman" w:hAnsi="Times New Roman" w:cs="Times New Roman"/>
          <w:sz w:val="24"/>
          <w:szCs w:val="24"/>
        </w:rPr>
      </w:pPr>
    </w:p>
    <w:p w14:paraId="59B3F990" w14:textId="77777777" w:rsidR="00FC3DA9" w:rsidRDefault="00FC3DA9" w:rsidP="0049248A">
      <w:pPr>
        <w:spacing w:after="0" w:line="240" w:lineRule="auto"/>
        <w:rPr>
          <w:rFonts w:ascii="Times New Roman" w:hAnsi="Times New Roman" w:cs="Times New Roman"/>
          <w:sz w:val="24"/>
          <w:szCs w:val="24"/>
        </w:rPr>
        <w:sectPr w:rsidR="00FC3DA9" w:rsidSect="007E313B">
          <w:headerReference w:type="default" r:id="rId15"/>
          <w:pgSz w:w="11906" w:h="16838" w:code="9"/>
          <w:pgMar w:top="1134" w:right="1134" w:bottom="1134" w:left="1701" w:header="708" w:footer="708" w:gutter="0"/>
          <w:cols w:space="708"/>
          <w:titlePg/>
          <w:docGrid w:linePitch="360"/>
        </w:sectPr>
      </w:pPr>
    </w:p>
    <w:p w14:paraId="2577552F" w14:textId="77777777" w:rsidR="00FC3DA9" w:rsidRPr="00FC3DA9" w:rsidRDefault="00FC3DA9" w:rsidP="00FC3DA9">
      <w:pPr>
        <w:spacing w:after="0" w:line="240" w:lineRule="auto"/>
        <w:jc w:val="right"/>
        <w:rPr>
          <w:rFonts w:ascii="Times New Roman" w:hAnsi="Times New Roman" w:cs="Times New Roman"/>
          <w:sz w:val="24"/>
          <w:szCs w:val="24"/>
        </w:rPr>
      </w:pPr>
      <w:r w:rsidRPr="00FC3DA9">
        <w:rPr>
          <w:rFonts w:ascii="Times New Roman" w:hAnsi="Times New Roman" w:cs="Times New Roman"/>
          <w:sz w:val="24"/>
          <w:szCs w:val="24"/>
        </w:rPr>
        <w:lastRenderedPageBreak/>
        <w:t>Pielikums</w:t>
      </w:r>
    </w:p>
    <w:p w14:paraId="6E0BA46B" w14:textId="77777777" w:rsidR="00FC3DA9" w:rsidRPr="00FC3DA9" w:rsidRDefault="00FC3DA9" w:rsidP="00FC3DA9">
      <w:pPr>
        <w:spacing w:after="0" w:line="240" w:lineRule="auto"/>
        <w:jc w:val="right"/>
        <w:rPr>
          <w:rFonts w:ascii="Times New Roman" w:hAnsi="Times New Roman" w:cs="Times New Roman"/>
          <w:sz w:val="24"/>
          <w:szCs w:val="24"/>
        </w:rPr>
      </w:pPr>
      <w:r w:rsidRPr="00FC3DA9">
        <w:rPr>
          <w:rFonts w:ascii="Times New Roman" w:hAnsi="Times New Roman" w:cs="Times New Roman"/>
          <w:sz w:val="24"/>
          <w:szCs w:val="24"/>
        </w:rPr>
        <w:t>Latvijas Bankas noteikumu projekta anotācijai</w:t>
      </w:r>
    </w:p>
    <w:p w14:paraId="4FAF8D7D" w14:textId="77777777" w:rsidR="00FC3DA9" w:rsidRPr="00FC3DA9" w:rsidRDefault="00FC3DA9" w:rsidP="00FC3DA9">
      <w:pPr>
        <w:spacing w:after="0" w:line="240" w:lineRule="auto"/>
        <w:rPr>
          <w:rFonts w:ascii="Times New Roman" w:hAnsi="Times New Roman" w:cs="Times New Roman"/>
          <w:sz w:val="24"/>
          <w:szCs w:val="24"/>
        </w:rPr>
      </w:pPr>
    </w:p>
    <w:p w14:paraId="1CD3CE8D" w14:textId="2370A9E7" w:rsidR="00FC3DA9" w:rsidRPr="00FC3DA9" w:rsidRDefault="00FC3DA9" w:rsidP="00FC3DA9">
      <w:pPr>
        <w:spacing w:after="0" w:line="240" w:lineRule="auto"/>
        <w:rPr>
          <w:rFonts w:ascii="Times New Roman" w:hAnsi="Times New Roman" w:cs="Times New Roman"/>
          <w:b/>
          <w:bCs/>
          <w:sz w:val="24"/>
          <w:szCs w:val="24"/>
        </w:rPr>
      </w:pPr>
      <w:r w:rsidRPr="00FC3DA9">
        <w:rPr>
          <w:rFonts w:ascii="Times New Roman" w:hAnsi="Times New Roman" w:cs="Times New Roman"/>
          <w:b/>
          <w:bCs/>
          <w:sz w:val="24"/>
          <w:szCs w:val="24"/>
        </w:rPr>
        <w:t>Sabiedrības līdzdalības laikā saņemto priekšlikumu par Latvijas Bankas noteikumu projektu "</w:t>
      </w:r>
      <w:r w:rsidR="00EA31EC" w:rsidRPr="00EA31EC">
        <w:rPr>
          <w:rFonts w:ascii="Times New Roman" w:hAnsi="Times New Roman" w:cs="Times New Roman"/>
          <w:b/>
          <w:bCs/>
          <w:sz w:val="24"/>
          <w:szCs w:val="24"/>
        </w:rPr>
        <w:t>Noziedzīgi iegūtu līdzekļu legalizācijas un terorisma un proliferācijas finansēšanas novēršanas iekšējās kontroles sistēmas neatkarīga ārējā audita veikšanas noteikumi</w:t>
      </w:r>
      <w:r w:rsidRPr="00FC3DA9">
        <w:rPr>
          <w:rFonts w:ascii="Times New Roman" w:hAnsi="Times New Roman" w:cs="Times New Roman"/>
          <w:b/>
          <w:bCs/>
          <w:sz w:val="24"/>
          <w:szCs w:val="24"/>
        </w:rPr>
        <w:t>" apkopojums</w:t>
      </w:r>
    </w:p>
    <w:p w14:paraId="04A7BE69" w14:textId="77777777" w:rsidR="00FC3DA9" w:rsidRPr="00FC3DA9" w:rsidRDefault="00FC3DA9" w:rsidP="00FC3DA9">
      <w:pPr>
        <w:spacing w:after="0" w:line="240" w:lineRule="auto"/>
        <w:rPr>
          <w:rFonts w:ascii="Times New Roman" w:hAnsi="Times New Roman" w:cs="Times New Roman"/>
          <w:b/>
          <w:bCs/>
          <w:sz w:val="24"/>
          <w:szCs w:val="24"/>
        </w:rPr>
      </w:pPr>
    </w:p>
    <w:tbl>
      <w:tblPr>
        <w:tblW w:w="1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4535"/>
        <w:gridCol w:w="4535"/>
        <w:gridCol w:w="4535"/>
      </w:tblGrid>
      <w:tr w:rsidR="00FC3DA9" w:rsidRPr="00FC3DA9" w14:paraId="27AC0CFC" w14:textId="77777777" w:rsidTr="00F75CD8">
        <w:tc>
          <w:tcPr>
            <w:tcW w:w="0" w:type="auto"/>
            <w:tcBorders>
              <w:top w:val="single" w:sz="4" w:space="0" w:color="auto"/>
              <w:left w:val="single" w:sz="4" w:space="0" w:color="auto"/>
              <w:bottom w:val="single" w:sz="4" w:space="0" w:color="auto"/>
              <w:right w:val="single" w:sz="4" w:space="0" w:color="auto"/>
            </w:tcBorders>
          </w:tcPr>
          <w:p w14:paraId="324064B0" w14:textId="77777777" w:rsidR="00FC3DA9" w:rsidRPr="00FC3DA9" w:rsidRDefault="00FC3DA9" w:rsidP="00FC3DA9">
            <w:pPr>
              <w:spacing w:after="0" w:line="240" w:lineRule="auto"/>
              <w:rPr>
                <w:rFonts w:ascii="Times New Roman" w:hAnsi="Times New Roman" w:cs="Times New Roman"/>
                <w:b/>
                <w:sz w:val="24"/>
                <w:szCs w:val="24"/>
              </w:rPr>
            </w:pPr>
            <w:r w:rsidRPr="00FC3DA9">
              <w:rPr>
                <w:rFonts w:ascii="Times New Roman" w:hAnsi="Times New Roman" w:cs="Times New Roman"/>
                <w:b/>
                <w:sz w:val="24"/>
                <w:szCs w:val="24"/>
              </w:rPr>
              <w:t>Nr.</w:t>
            </w:r>
            <w:r w:rsidRPr="00FC3DA9">
              <w:rPr>
                <w:rFonts w:ascii="Times New Roman" w:hAnsi="Times New Roman" w:cs="Times New Roman"/>
                <w:b/>
                <w:sz w:val="24"/>
                <w:szCs w:val="24"/>
              </w:rPr>
              <w:br/>
              <w:t>p.k.</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6B6383A9" w14:textId="77777777" w:rsidR="00FC3DA9" w:rsidRPr="00FC3DA9" w:rsidRDefault="00FC3DA9" w:rsidP="00FC3DA9">
            <w:pPr>
              <w:spacing w:after="0" w:line="240" w:lineRule="auto"/>
              <w:rPr>
                <w:rFonts w:ascii="Times New Roman" w:hAnsi="Times New Roman" w:cs="Times New Roman"/>
                <w:b/>
                <w:sz w:val="24"/>
                <w:szCs w:val="24"/>
              </w:rPr>
            </w:pPr>
            <w:r w:rsidRPr="00FC3DA9">
              <w:rPr>
                <w:rFonts w:ascii="Times New Roman" w:hAnsi="Times New Roman" w:cs="Times New Roman"/>
                <w:b/>
                <w:sz w:val="24"/>
                <w:szCs w:val="24"/>
              </w:rPr>
              <w:t xml:space="preserve">Sabiedrības līdzdalībai nodotā projekta redakcija </w:t>
            </w:r>
            <w:r w:rsidRPr="00FC3DA9">
              <w:rPr>
                <w:rFonts w:ascii="Times New Roman" w:hAnsi="Times New Roman" w:cs="Times New Roman"/>
                <w:b/>
                <w:iCs/>
                <w:sz w:val="24"/>
                <w:szCs w:val="24"/>
              </w:rPr>
              <w:t>(konkrētā punkta redakcija)</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63BECE6C" w14:textId="77777777" w:rsidR="00FC3DA9" w:rsidRPr="00FC3DA9" w:rsidRDefault="00FC3DA9" w:rsidP="00FC3DA9">
            <w:pPr>
              <w:spacing w:after="0" w:line="240" w:lineRule="auto"/>
              <w:rPr>
                <w:rFonts w:ascii="Times New Roman" w:hAnsi="Times New Roman" w:cs="Times New Roman"/>
                <w:b/>
                <w:sz w:val="24"/>
                <w:szCs w:val="24"/>
              </w:rPr>
            </w:pPr>
            <w:r w:rsidRPr="00FC3DA9">
              <w:rPr>
                <w:rFonts w:ascii="Times New Roman" w:hAnsi="Times New Roman" w:cs="Times New Roman"/>
                <w:b/>
                <w:sz w:val="24"/>
                <w:szCs w:val="24"/>
              </w:rPr>
              <w:t>Izteiktais iebildums (priekšlikums) par projekta konkrēto punktu, norādot sabiedrības pārstāvi</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2A01F1F5" w14:textId="77777777" w:rsidR="00FC3DA9" w:rsidRPr="00FC3DA9" w:rsidRDefault="00FC3DA9" w:rsidP="00FC3DA9">
            <w:pPr>
              <w:spacing w:after="0" w:line="240" w:lineRule="auto"/>
              <w:rPr>
                <w:rFonts w:ascii="Times New Roman" w:hAnsi="Times New Roman" w:cs="Times New Roman"/>
                <w:b/>
                <w:sz w:val="24"/>
                <w:szCs w:val="24"/>
              </w:rPr>
            </w:pPr>
            <w:r w:rsidRPr="00FC3DA9">
              <w:rPr>
                <w:rFonts w:ascii="Times New Roman" w:hAnsi="Times New Roman" w:cs="Times New Roman"/>
                <w:b/>
                <w:iCs/>
                <w:sz w:val="24"/>
                <w:szCs w:val="24"/>
              </w:rPr>
              <w:t xml:space="preserve">Latvijas Bankas </w:t>
            </w:r>
            <w:r w:rsidRPr="00FC3DA9">
              <w:rPr>
                <w:rFonts w:ascii="Times New Roman" w:hAnsi="Times New Roman" w:cs="Times New Roman"/>
                <w:b/>
                <w:sz w:val="24"/>
                <w:szCs w:val="24"/>
              </w:rPr>
              <w:t xml:space="preserve">viedoklis par izteikto iebildumu (priekšlikumu) un </w:t>
            </w:r>
            <w:r w:rsidRPr="00FC3DA9">
              <w:rPr>
                <w:rFonts w:ascii="Times New Roman" w:hAnsi="Times New Roman" w:cs="Times New Roman"/>
                <w:b/>
                <w:iCs/>
                <w:sz w:val="24"/>
                <w:szCs w:val="24"/>
              </w:rPr>
              <w:t>norāde, vai tas ņemts vērā</w:t>
            </w:r>
          </w:p>
        </w:tc>
      </w:tr>
      <w:tr w:rsidR="00FC3DA9" w:rsidRPr="00FC3DA9" w14:paraId="2EAE560D" w14:textId="77777777" w:rsidTr="00F75CD8">
        <w:trPr>
          <w:trHeight w:val="5069"/>
        </w:trPr>
        <w:tc>
          <w:tcPr>
            <w:tcW w:w="0" w:type="auto"/>
            <w:tcBorders>
              <w:top w:val="single" w:sz="4" w:space="0" w:color="auto"/>
              <w:left w:val="single" w:sz="4" w:space="0" w:color="auto"/>
              <w:bottom w:val="single" w:sz="4" w:space="0" w:color="auto"/>
              <w:right w:val="single" w:sz="4" w:space="0" w:color="auto"/>
            </w:tcBorders>
          </w:tcPr>
          <w:p w14:paraId="0E7AF63E" w14:textId="77777777" w:rsidR="00FC3DA9" w:rsidRPr="00FC3DA9" w:rsidRDefault="00FC3DA9" w:rsidP="00FC3DA9">
            <w:pPr>
              <w:spacing w:after="0" w:line="240" w:lineRule="auto"/>
              <w:rPr>
                <w:rFonts w:ascii="Times New Roman" w:hAnsi="Times New Roman" w:cs="Times New Roman"/>
                <w:bCs/>
                <w:sz w:val="24"/>
                <w:szCs w:val="24"/>
              </w:rPr>
            </w:pPr>
            <w:r w:rsidRPr="00FC3DA9">
              <w:rPr>
                <w:rFonts w:ascii="Times New Roman" w:hAnsi="Times New Roman" w:cs="Times New Roman"/>
                <w:bCs/>
                <w:sz w:val="24"/>
                <w:szCs w:val="24"/>
              </w:rPr>
              <w:t>1.</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143E5AB9" w14:textId="77777777" w:rsidR="007F57AF" w:rsidRPr="007F57AF" w:rsidRDefault="007F57AF" w:rsidP="007F57AF">
            <w:pPr>
              <w:spacing w:after="0" w:line="240" w:lineRule="auto"/>
              <w:rPr>
                <w:rFonts w:ascii="Times New Roman" w:hAnsi="Times New Roman" w:cs="Times New Roman"/>
                <w:bCs/>
                <w:sz w:val="24"/>
                <w:szCs w:val="24"/>
              </w:rPr>
            </w:pPr>
            <w:bookmarkStart w:id="2" w:name="p35"/>
            <w:bookmarkStart w:id="3" w:name="p-769879"/>
            <w:bookmarkEnd w:id="2"/>
            <w:bookmarkEnd w:id="3"/>
            <w:r w:rsidRPr="007F57AF">
              <w:rPr>
                <w:rFonts w:ascii="Times New Roman" w:hAnsi="Times New Roman" w:cs="Times New Roman"/>
                <w:bCs/>
                <w:sz w:val="24"/>
                <w:szCs w:val="24"/>
              </w:rPr>
              <w:t>3. Iestāde nodrošina iekšējās kontroles sistēmas neatkarīgu ārējo auditu, ievērojot šādu regularitāti:</w:t>
            </w:r>
          </w:p>
          <w:p w14:paraId="372B207B" w14:textId="77777777" w:rsidR="007F57AF" w:rsidRPr="007F57AF" w:rsidRDefault="007F57AF" w:rsidP="007F57AF">
            <w:pPr>
              <w:spacing w:after="0" w:line="240" w:lineRule="auto"/>
              <w:rPr>
                <w:rFonts w:ascii="Times New Roman" w:hAnsi="Times New Roman" w:cs="Times New Roman"/>
                <w:bCs/>
                <w:sz w:val="24"/>
                <w:szCs w:val="24"/>
              </w:rPr>
            </w:pPr>
            <w:r w:rsidRPr="007F57AF">
              <w:rPr>
                <w:rFonts w:ascii="Times New Roman" w:hAnsi="Times New Roman" w:cs="Times New Roman"/>
                <w:bCs/>
                <w:sz w:val="24"/>
                <w:szCs w:val="24"/>
              </w:rPr>
              <w:t>3.1. ne retāk kā reizi piecos gados, ja iestādei piemīt zems noziedzīgi iegūtu līdzekļu legalizācijas un terorisma un proliferācijas finansēšanas risks (turpmāk – NILLTPF risks);</w:t>
            </w:r>
          </w:p>
          <w:p w14:paraId="0C89EE25" w14:textId="77777777" w:rsidR="007F57AF" w:rsidRPr="007F57AF" w:rsidRDefault="007F57AF" w:rsidP="007F57AF">
            <w:pPr>
              <w:spacing w:after="0" w:line="240" w:lineRule="auto"/>
              <w:rPr>
                <w:rFonts w:ascii="Times New Roman" w:hAnsi="Times New Roman" w:cs="Times New Roman"/>
                <w:bCs/>
                <w:sz w:val="24"/>
                <w:szCs w:val="24"/>
              </w:rPr>
            </w:pPr>
            <w:r w:rsidRPr="007F57AF">
              <w:rPr>
                <w:rFonts w:ascii="Times New Roman" w:hAnsi="Times New Roman" w:cs="Times New Roman"/>
                <w:bCs/>
                <w:sz w:val="24"/>
                <w:szCs w:val="24"/>
              </w:rPr>
              <w:t>3.2. ne retāk kā reizi četros gados, ja iestādei piemīt vidēji zems NILLTPF risks;</w:t>
            </w:r>
          </w:p>
          <w:p w14:paraId="2281C4A7" w14:textId="77777777" w:rsidR="007F57AF" w:rsidRPr="007F57AF" w:rsidRDefault="007F57AF" w:rsidP="007F57AF">
            <w:pPr>
              <w:spacing w:after="0" w:line="240" w:lineRule="auto"/>
              <w:rPr>
                <w:rFonts w:ascii="Times New Roman" w:hAnsi="Times New Roman" w:cs="Times New Roman"/>
                <w:bCs/>
                <w:sz w:val="24"/>
                <w:szCs w:val="24"/>
              </w:rPr>
            </w:pPr>
            <w:r w:rsidRPr="007F57AF">
              <w:rPr>
                <w:rFonts w:ascii="Times New Roman" w:hAnsi="Times New Roman" w:cs="Times New Roman"/>
                <w:bCs/>
                <w:sz w:val="24"/>
                <w:szCs w:val="24"/>
              </w:rPr>
              <w:t>3.3. ne retāk kā reizi trijos gados, ja iestādei piemīt vidēji augsts NILLTPF risks;</w:t>
            </w:r>
          </w:p>
          <w:p w14:paraId="577D4A04" w14:textId="676211E2" w:rsidR="00FC3DA9" w:rsidRPr="00FC3DA9" w:rsidRDefault="007F57AF" w:rsidP="007F57AF">
            <w:pPr>
              <w:spacing w:after="0" w:line="240" w:lineRule="auto"/>
              <w:rPr>
                <w:rFonts w:ascii="Times New Roman" w:hAnsi="Times New Roman" w:cs="Times New Roman"/>
                <w:bCs/>
                <w:sz w:val="24"/>
                <w:szCs w:val="24"/>
              </w:rPr>
            </w:pPr>
            <w:r w:rsidRPr="007F57AF">
              <w:rPr>
                <w:rFonts w:ascii="Times New Roman" w:hAnsi="Times New Roman" w:cs="Times New Roman"/>
                <w:bCs/>
                <w:sz w:val="24"/>
                <w:szCs w:val="24"/>
              </w:rPr>
              <w:t>3.4. ne retāk kā reizi divos gados, ja iestādei piemīt augsts NILLTPF risks.</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69CD5E92" w14:textId="77777777" w:rsidR="00EA31EC" w:rsidRDefault="00EA31EC" w:rsidP="00FC3DA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Finanšu nozares asociācija norāda, ka tā </w:t>
            </w:r>
          </w:p>
          <w:p w14:paraId="35AE9EAB" w14:textId="21921EF8" w:rsidR="00EA31EC" w:rsidRPr="00EA31EC" w:rsidRDefault="00EA31EC" w:rsidP="00EA31EC">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Pr="00EA31EC">
              <w:rPr>
                <w:rFonts w:ascii="Times New Roman" w:hAnsi="Times New Roman" w:cs="Times New Roman"/>
                <w:sz w:val="24"/>
                <w:szCs w:val="24"/>
              </w:rPr>
              <w:t>icin</w:t>
            </w:r>
            <w:r>
              <w:rPr>
                <w:rFonts w:ascii="Times New Roman" w:hAnsi="Times New Roman" w:cs="Times New Roman"/>
                <w:sz w:val="24"/>
                <w:szCs w:val="24"/>
              </w:rPr>
              <w:t>a</w:t>
            </w:r>
            <w:r w:rsidRPr="00EA31EC">
              <w:rPr>
                <w:rFonts w:ascii="Times New Roman" w:hAnsi="Times New Roman" w:cs="Times New Roman"/>
                <w:sz w:val="24"/>
                <w:szCs w:val="24"/>
              </w:rPr>
              <w:t xml:space="preserve"> apsvērt noteikt nevis noteiktu regularitāti pārbaudēm, bet tiesības Latvijas Bankai noteiktos gadījumos (piemēram, pēc L</w:t>
            </w:r>
            <w:r>
              <w:rPr>
                <w:rFonts w:ascii="Times New Roman" w:hAnsi="Times New Roman" w:cs="Times New Roman"/>
                <w:sz w:val="24"/>
                <w:szCs w:val="24"/>
              </w:rPr>
              <w:t xml:space="preserve">atvijas </w:t>
            </w:r>
            <w:r w:rsidRPr="00EA31EC">
              <w:rPr>
                <w:rFonts w:ascii="Times New Roman" w:hAnsi="Times New Roman" w:cs="Times New Roman"/>
                <w:sz w:val="24"/>
                <w:szCs w:val="24"/>
              </w:rPr>
              <w:t>B</w:t>
            </w:r>
            <w:r>
              <w:rPr>
                <w:rFonts w:ascii="Times New Roman" w:hAnsi="Times New Roman" w:cs="Times New Roman"/>
                <w:sz w:val="24"/>
                <w:szCs w:val="24"/>
              </w:rPr>
              <w:t>ankas</w:t>
            </w:r>
            <w:r w:rsidRPr="00EA31EC">
              <w:rPr>
                <w:rFonts w:ascii="Times New Roman" w:hAnsi="Times New Roman" w:cs="Times New Roman"/>
                <w:sz w:val="24"/>
                <w:szCs w:val="24"/>
              </w:rPr>
              <w:t xml:space="preserve"> veiktās pilnās pārbaudes, lai veiktu neatkarīgu pārbaudi par trūkuma novēršanas plāna ieviešanu, ja bija konstatēti pārbaudē kādi būtiski pārkāpumi (iespējams, kad piemērots</w:t>
            </w:r>
            <w:r w:rsidR="00BB7C99" w:rsidRPr="00EA31EC">
              <w:rPr>
                <w:rFonts w:ascii="Times New Roman" w:hAnsi="Times New Roman" w:cs="Times New Roman"/>
                <w:sz w:val="24"/>
                <w:szCs w:val="24"/>
              </w:rPr>
              <w:t xml:space="preserve"> sods</w:t>
            </w:r>
            <w:r w:rsidRPr="00EA31EC">
              <w:rPr>
                <w:rFonts w:ascii="Times New Roman" w:hAnsi="Times New Roman" w:cs="Times New Roman"/>
                <w:sz w:val="24"/>
                <w:szCs w:val="24"/>
              </w:rPr>
              <w:t>), vai gadījumos, kad iestādei piemīt augsts/ļoti augsts risks, u.c. faktori)</w:t>
            </w:r>
            <w:r>
              <w:rPr>
                <w:rFonts w:ascii="Times New Roman" w:hAnsi="Times New Roman" w:cs="Times New Roman"/>
                <w:sz w:val="24"/>
                <w:szCs w:val="24"/>
              </w:rPr>
              <w:t xml:space="preserve"> [</w:t>
            </w:r>
            <w:r w:rsidR="00462D46">
              <w:rPr>
                <w:rFonts w:ascii="Times New Roman" w:hAnsi="Times New Roman" w:cs="Times New Roman"/>
                <w:sz w:val="24"/>
                <w:szCs w:val="24"/>
              </w:rPr>
              <w:t>noteikt pienākumu veikt pārbaudi]</w:t>
            </w:r>
            <w:r w:rsidRPr="00EA31EC">
              <w:rPr>
                <w:rFonts w:ascii="Times New Roman" w:hAnsi="Times New Roman" w:cs="Times New Roman"/>
                <w:sz w:val="24"/>
                <w:szCs w:val="24"/>
              </w:rPr>
              <w:t xml:space="preserve">. </w:t>
            </w:r>
          </w:p>
          <w:p w14:paraId="0709D087" w14:textId="77777777" w:rsidR="00EA31EC" w:rsidRPr="00EA31EC" w:rsidRDefault="00EA31EC" w:rsidP="00EA31EC">
            <w:pPr>
              <w:spacing w:after="0" w:line="240" w:lineRule="auto"/>
              <w:rPr>
                <w:rFonts w:ascii="Times New Roman" w:hAnsi="Times New Roman" w:cs="Times New Roman"/>
                <w:sz w:val="24"/>
                <w:szCs w:val="24"/>
              </w:rPr>
            </w:pPr>
            <w:r w:rsidRPr="00EA31EC">
              <w:rPr>
                <w:rFonts w:ascii="Times New Roman" w:hAnsi="Times New Roman" w:cs="Times New Roman"/>
                <w:sz w:val="24"/>
                <w:szCs w:val="24"/>
              </w:rPr>
              <w:t xml:space="preserve">  </w:t>
            </w:r>
          </w:p>
          <w:p w14:paraId="7C8D6805" w14:textId="1DE07B00" w:rsidR="00FC3DA9" w:rsidRPr="00FC3DA9" w:rsidRDefault="00462D46" w:rsidP="00FC3DA9">
            <w:pPr>
              <w:spacing w:after="0" w:line="240" w:lineRule="auto"/>
              <w:rPr>
                <w:rFonts w:ascii="Times New Roman" w:hAnsi="Times New Roman" w:cs="Times New Roman"/>
                <w:sz w:val="24"/>
                <w:szCs w:val="24"/>
              </w:rPr>
            </w:pPr>
            <w:r>
              <w:rPr>
                <w:rFonts w:ascii="Times New Roman" w:hAnsi="Times New Roman" w:cs="Times New Roman"/>
                <w:sz w:val="24"/>
                <w:szCs w:val="24"/>
              </w:rPr>
              <w:t>Finanšu nozares asociācija norāda, ka p</w:t>
            </w:r>
            <w:r w:rsidR="00EA31EC" w:rsidRPr="00EA31EC">
              <w:rPr>
                <w:rFonts w:ascii="Times New Roman" w:hAnsi="Times New Roman" w:cs="Times New Roman"/>
                <w:sz w:val="24"/>
                <w:szCs w:val="24"/>
              </w:rPr>
              <w:t>ašlaik ir pilnībā cita situācija, citi riski, ka tas bija</w:t>
            </w:r>
            <w:r>
              <w:rPr>
                <w:rFonts w:ascii="Times New Roman" w:hAnsi="Times New Roman" w:cs="Times New Roman"/>
                <w:sz w:val="24"/>
                <w:szCs w:val="24"/>
              </w:rPr>
              <w:t>,</w:t>
            </w:r>
            <w:r w:rsidR="00EA31EC" w:rsidRPr="00EA31EC">
              <w:rPr>
                <w:rFonts w:ascii="Times New Roman" w:hAnsi="Times New Roman" w:cs="Times New Roman"/>
                <w:sz w:val="24"/>
                <w:szCs w:val="24"/>
              </w:rPr>
              <w:t xml:space="preserve"> kad </w:t>
            </w:r>
            <w:r>
              <w:rPr>
                <w:rFonts w:ascii="Times New Roman" w:hAnsi="Times New Roman" w:cs="Times New Roman"/>
                <w:sz w:val="24"/>
                <w:szCs w:val="24"/>
              </w:rPr>
              <w:t xml:space="preserve">ieviesa </w:t>
            </w:r>
            <w:r w:rsidR="00EA31EC" w:rsidRPr="00EA31EC">
              <w:rPr>
                <w:rFonts w:ascii="Times New Roman" w:hAnsi="Times New Roman" w:cs="Times New Roman"/>
                <w:sz w:val="24"/>
                <w:szCs w:val="24"/>
              </w:rPr>
              <w:t>esošo (obligātu pienākumu ar konkrētu regularitāti) pieeju. Pieeja, kas nosaka obligātu pienākumu ar kaut kādu regularitāti veikt neatkarīgo pārbaudi</w:t>
            </w:r>
            <w:r>
              <w:rPr>
                <w:rFonts w:ascii="Times New Roman" w:hAnsi="Times New Roman" w:cs="Times New Roman"/>
                <w:sz w:val="24"/>
                <w:szCs w:val="24"/>
              </w:rPr>
              <w:t>, Finanšu nozares asociācijas ieskatā</w:t>
            </w:r>
            <w:r w:rsidR="00EA31EC" w:rsidRPr="00EA31EC">
              <w:rPr>
                <w:rFonts w:ascii="Times New Roman" w:hAnsi="Times New Roman" w:cs="Times New Roman"/>
                <w:sz w:val="24"/>
                <w:szCs w:val="24"/>
              </w:rPr>
              <w:t xml:space="preserve"> pēc būtības ir zaudējusi savu sākotnējo jēgu. Līdz ar to</w:t>
            </w:r>
            <w:r>
              <w:rPr>
                <w:rFonts w:ascii="Times New Roman" w:hAnsi="Times New Roman" w:cs="Times New Roman"/>
                <w:sz w:val="24"/>
                <w:szCs w:val="24"/>
              </w:rPr>
              <w:t xml:space="preserve"> rodoties</w:t>
            </w:r>
            <w:r w:rsidR="00EA31EC" w:rsidRPr="00EA31EC">
              <w:rPr>
                <w:rFonts w:ascii="Times New Roman" w:hAnsi="Times New Roman" w:cs="Times New Roman"/>
                <w:sz w:val="24"/>
                <w:szCs w:val="24"/>
              </w:rPr>
              <w:t xml:space="preserve"> jautājums, vai šāda prasība ir samērīga </w:t>
            </w:r>
            <w:r w:rsidR="00EA31EC" w:rsidRPr="00EA31EC">
              <w:rPr>
                <w:rFonts w:ascii="Times New Roman" w:hAnsi="Times New Roman" w:cs="Times New Roman"/>
                <w:sz w:val="24"/>
                <w:szCs w:val="24"/>
              </w:rPr>
              <w:lastRenderedPageBreak/>
              <w:t>(līdzīgi</w:t>
            </w:r>
            <w:r>
              <w:rPr>
                <w:rFonts w:ascii="Times New Roman" w:hAnsi="Times New Roman" w:cs="Times New Roman"/>
                <w:sz w:val="24"/>
                <w:szCs w:val="24"/>
              </w:rPr>
              <w:t>,</w:t>
            </w:r>
            <w:r w:rsidR="00EA31EC" w:rsidRPr="00EA31EC">
              <w:rPr>
                <w:rFonts w:ascii="Times New Roman" w:hAnsi="Times New Roman" w:cs="Times New Roman"/>
                <w:sz w:val="24"/>
                <w:szCs w:val="24"/>
              </w:rPr>
              <w:t xml:space="preserve"> kā tagad bankas pārskata pieeju attiecībā pret saviem klientiem), pie tam ņemot vērā, ka šādas pārbaudes ir arī salīdzinoši dārgas un vietējā tirgū zināšanas (attiecīgi pakalpojums) ir salīdzinoši ierobežotas.</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57DC8F96" w14:textId="77777777" w:rsidR="00FC3DA9" w:rsidRPr="00FC3DA9" w:rsidRDefault="00FC3DA9" w:rsidP="00FC3DA9">
            <w:pPr>
              <w:spacing w:after="0" w:line="240" w:lineRule="auto"/>
              <w:rPr>
                <w:rFonts w:ascii="Times New Roman" w:hAnsi="Times New Roman" w:cs="Times New Roman"/>
                <w:bCs/>
                <w:sz w:val="24"/>
                <w:szCs w:val="24"/>
              </w:rPr>
            </w:pPr>
            <w:r w:rsidRPr="00FC3DA9">
              <w:rPr>
                <w:rFonts w:ascii="Times New Roman" w:hAnsi="Times New Roman" w:cs="Times New Roman"/>
                <w:bCs/>
                <w:sz w:val="24"/>
                <w:szCs w:val="24"/>
              </w:rPr>
              <w:lastRenderedPageBreak/>
              <w:t xml:space="preserve">Nav ņemts vērā. </w:t>
            </w:r>
          </w:p>
          <w:p w14:paraId="786B8D7B" w14:textId="31254CC5" w:rsidR="00360EFE" w:rsidRDefault="0095215D" w:rsidP="007F57A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Norādām, ka neatkarīgu ārējo auditu paredz arī starptautiskie standarti, piemēram, </w:t>
            </w:r>
            <w:r w:rsidR="00360EFE">
              <w:rPr>
                <w:rFonts w:ascii="Times New Roman" w:hAnsi="Times New Roman" w:cs="Times New Roman"/>
                <w:bCs/>
                <w:sz w:val="24"/>
                <w:szCs w:val="24"/>
              </w:rPr>
              <w:t xml:space="preserve"> </w:t>
            </w:r>
            <w:r w:rsidR="00360EFE" w:rsidRPr="00360EFE">
              <w:rPr>
                <w:rFonts w:ascii="Times New Roman" w:hAnsi="Times New Roman" w:cs="Times New Roman"/>
                <w:bCs/>
                <w:i/>
                <w:iCs/>
                <w:sz w:val="24"/>
                <w:szCs w:val="24"/>
              </w:rPr>
              <w:t>FATF (</w:t>
            </w:r>
            <w:proofErr w:type="spellStart"/>
            <w:r w:rsidR="00360EFE" w:rsidRPr="00360EFE">
              <w:rPr>
                <w:rFonts w:ascii="Times New Roman" w:hAnsi="Times New Roman" w:cs="Times New Roman"/>
                <w:bCs/>
                <w:i/>
                <w:iCs/>
                <w:sz w:val="24"/>
                <w:szCs w:val="24"/>
              </w:rPr>
              <w:t>Financial</w:t>
            </w:r>
            <w:proofErr w:type="spellEnd"/>
            <w:r w:rsidR="00360EFE" w:rsidRPr="00360EFE">
              <w:rPr>
                <w:rFonts w:ascii="Times New Roman" w:hAnsi="Times New Roman" w:cs="Times New Roman"/>
                <w:bCs/>
                <w:i/>
                <w:iCs/>
                <w:sz w:val="24"/>
                <w:szCs w:val="24"/>
              </w:rPr>
              <w:t xml:space="preserve"> </w:t>
            </w:r>
            <w:proofErr w:type="spellStart"/>
            <w:r w:rsidR="00360EFE" w:rsidRPr="00360EFE">
              <w:rPr>
                <w:rFonts w:ascii="Times New Roman" w:hAnsi="Times New Roman" w:cs="Times New Roman"/>
                <w:bCs/>
                <w:i/>
                <w:iCs/>
                <w:sz w:val="24"/>
                <w:szCs w:val="24"/>
              </w:rPr>
              <w:t>Action</w:t>
            </w:r>
            <w:proofErr w:type="spellEnd"/>
            <w:r w:rsidR="00360EFE" w:rsidRPr="00360EFE">
              <w:rPr>
                <w:rFonts w:ascii="Times New Roman" w:hAnsi="Times New Roman" w:cs="Times New Roman"/>
                <w:bCs/>
                <w:i/>
                <w:iCs/>
                <w:sz w:val="24"/>
                <w:szCs w:val="24"/>
              </w:rPr>
              <w:t xml:space="preserve"> </w:t>
            </w:r>
            <w:proofErr w:type="spellStart"/>
            <w:r w:rsidR="00360EFE" w:rsidRPr="00360EFE">
              <w:rPr>
                <w:rFonts w:ascii="Times New Roman" w:hAnsi="Times New Roman" w:cs="Times New Roman"/>
                <w:bCs/>
                <w:i/>
                <w:iCs/>
                <w:sz w:val="24"/>
                <w:szCs w:val="24"/>
              </w:rPr>
              <w:t>Task</w:t>
            </w:r>
            <w:proofErr w:type="spellEnd"/>
            <w:r w:rsidR="00360EFE" w:rsidRPr="00360EFE">
              <w:rPr>
                <w:rFonts w:ascii="Times New Roman" w:hAnsi="Times New Roman" w:cs="Times New Roman"/>
                <w:bCs/>
                <w:i/>
                <w:iCs/>
                <w:sz w:val="24"/>
                <w:szCs w:val="24"/>
              </w:rPr>
              <w:t xml:space="preserve"> </w:t>
            </w:r>
            <w:proofErr w:type="spellStart"/>
            <w:r w:rsidR="00360EFE" w:rsidRPr="00360EFE">
              <w:rPr>
                <w:rFonts w:ascii="Times New Roman" w:hAnsi="Times New Roman" w:cs="Times New Roman"/>
                <w:bCs/>
                <w:i/>
                <w:iCs/>
                <w:sz w:val="24"/>
                <w:szCs w:val="24"/>
              </w:rPr>
              <w:t>Force</w:t>
            </w:r>
            <w:proofErr w:type="spellEnd"/>
            <w:r w:rsidR="00360EFE" w:rsidRPr="00360EFE">
              <w:rPr>
                <w:rFonts w:ascii="Times New Roman" w:hAnsi="Times New Roman" w:cs="Times New Roman"/>
                <w:bCs/>
                <w:i/>
                <w:iCs/>
                <w:sz w:val="24"/>
                <w:szCs w:val="24"/>
              </w:rPr>
              <w:t>)</w:t>
            </w:r>
            <w:r>
              <w:rPr>
                <w:rFonts w:ascii="Times New Roman" w:hAnsi="Times New Roman" w:cs="Times New Roman"/>
                <w:bCs/>
                <w:i/>
                <w:iCs/>
                <w:sz w:val="24"/>
                <w:szCs w:val="24"/>
              </w:rPr>
              <w:t xml:space="preserve">. </w:t>
            </w:r>
            <w:r w:rsidRPr="00DD44B9">
              <w:rPr>
                <w:rFonts w:ascii="Times New Roman" w:hAnsi="Times New Roman" w:cs="Times New Roman"/>
                <w:bCs/>
                <w:sz w:val="24"/>
                <w:szCs w:val="24"/>
              </w:rPr>
              <w:t>FATF rekomendāciju</w:t>
            </w:r>
            <w:r>
              <w:rPr>
                <w:rFonts w:ascii="Times New Roman" w:hAnsi="Times New Roman" w:cs="Times New Roman"/>
                <w:bCs/>
                <w:sz w:val="24"/>
                <w:szCs w:val="24"/>
              </w:rPr>
              <w:t xml:space="preserve"> </w:t>
            </w:r>
            <w:proofErr w:type="spellStart"/>
            <w:r w:rsidR="00360EFE">
              <w:rPr>
                <w:rFonts w:ascii="Times New Roman" w:hAnsi="Times New Roman" w:cs="Times New Roman"/>
                <w:bCs/>
                <w:sz w:val="24"/>
                <w:szCs w:val="24"/>
              </w:rPr>
              <w:t>interpre</w:t>
            </w:r>
            <w:r w:rsidR="00753854">
              <w:rPr>
                <w:rFonts w:ascii="Times New Roman" w:hAnsi="Times New Roman" w:cs="Times New Roman"/>
                <w:bCs/>
                <w:sz w:val="24"/>
                <w:szCs w:val="24"/>
              </w:rPr>
              <w:t>ta</w:t>
            </w:r>
            <w:r w:rsidR="00360EFE">
              <w:rPr>
                <w:rFonts w:ascii="Times New Roman" w:hAnsi="Times New Roman" w:cs="Times New Roman"/>
                <w:bCs/>
                <w:sz w:val="24"/>
                <w:szCs w:val="24"/>
              </w:rPr>
              <w:t>tīvā</w:t>
            </w:r>
            <w:proofErr w:type="spellEnd"/>
            <w:r w:rsidR="00360EFE">
              <w:rPr>
                <w:rFonts w:ascii="Times New Roman" w:hAnsi="Times New Roman" w:cs="Times New Roman"/>
                <w:bCs/>
                <w:sz w:val="24"/>
                <w:szCs w:val="24"/>
              </w:rPr>
              <w:t xml:space="preserve"> piezīme 18. rekomendācijai</w:t>
            </w:r>
            <w:r w:rsidR="00360EFE">
              <w:rPr>
                <w:rStyle w:val="FootnoteReference"/>
                <w:rFonts w:ascii="Times New Roman" w:hAnsi="Times New Roman" w:cs="Times New Roman"/>
                <w:bCs/>
                <w:sz w:val="24"/>
                <w:szCs w:val="24"/>
              </w:rPr>
              <w:footnoteReference w:id="2"/>
            </w:r>
            <w:r w:rsidR="00360EFE">
              <w:rPr>
                <w:rFonts w:ascii="Times New Roman" w:hAnsi="Times New Roman" w:cs="Times New Roman"/>
                <w:bCs/>
                <w:sz w:val="24"/>
                <w:szCs w:val="24"/>
              </w:rPr>
              <w:t xml:space="preserve"> paredz neatkarīgu ārējo auditu kā iekšējās kontroles sistēmas sastāvdaļu.</w:t>
            </w:r>
            <w:r w:rsidR="00753854">
              <w:rPr>
                <w:rFonts w:ascii="Times New Roman" w:hAnsi="Times New Roman" w:cs="Times New Roman"/>
                <w:bCs/>
                <w:sz w:val="24"/>
                <w:szCs w:val="24"/>
              </w:rPr>
              <w:t xml:space="preserve"> </w:t>
            </w:r>
            <w:r>
              <w:rPr>
                <w:rFonts w:ascii="Times New Roman" w:hAnsi="Times New Roman" w:cs="Times New Roman"/>
                <w:bCs/>
                <w:sz w:val="24"/>
                <w:szCs w:val="24"/>
              </w:rPr>
              <w:t xml:space="preserve">Arī </w:t>
            </w:r>
            <w:r w:rsidR="00052ED5">
              <w:rPr>
                <w:rFonts w:ascii="Times New Roman" w:hAnsi="Times New Roman" w:cs="Times New Roman"/>
                <w:bCs/>
                <w:sz w:val="24"/>
                <w:szCs w:val="24"/>
              </w:rPr>
              <w:t xml:space="preserve">Eiropas Parlamenta un Padomes direktīva </w:t>
            </w:r>
            <w:r w:rsidRPr="0095215D">
              <w:rPr>
                <w:rFonts w:ascii="Times New Roman" w:hAnsi="Times New Roman" w:cs="Times New Roman"/>
                <w:bCs/>
                <w:sz w:val="24"/>
                <w:szCs w:val="24"/>
              </w:rPr>
              <w:t>(ES) 2015/849</w:t>
            </w:r>
            <w:r>
              <w:rPr>
                <w:rFonts w:ascii="Times New Roman" w:hAnsi="Times New Roman" w:cs="Times New Roman"/>
                <w:bCs/>
                <w:sz w:val="24"/>
                <w:szCs w:val="24"/>
              </w:rPr>
              <w:t xml:space="preserve"> (</w:t>
            </w:r>
            <w:r w:rsidRPr="0095215D">
              <w:rPr>
                <w:rFonts w:ascii="Times New Roman" w:hAnsi="Times New Roman" w:cs="Times New Roman"/>
                <w:bCs/>
                <w:sz w:val="24"/>
                <w:szCs w:val="24"/>
              </w:rPr>
              <w:t>2015. gada 20. maijs)</w:t>
            </w:r>
            <w:r>
              <w:rPr>
                <w:rFonts w:ascii="Times New Roman" w:hAnsi="Times New Roman" w:cs="Times New Roman"/>
                <w:bCs/>
                <w:sz w:val="24"/>
                <w:szCs w:val="24"/>
              </w:rPr>
              <w:t xml:space="preserve"> </w:t>
            </w:r>
            <w:r w:rsidRPr="0095215D">
              <w:rPr>
                <w:rFonts w:ascii="Times New Roman" w:hAnsi="Times New Roman" w:cs="Times New Roman"/>
                <w:bCs/>
                <w:sz w:val="24"/>
                <w:szCs w:val="24"/>
              </w:rPr>
              <w:t>par to, lai nepieļautu finanšu sistēmas izmantošanu nelikumīgi iegūtu līdzekļu legalizēšanai vai teroristu finansēšanai, un ar ko groza Eiropas Parlamenta un Padomes Regulu (ES) Nr. 684/2012 un atceļ Eiropas Parlamenta un Padomes Direktīvu 2005/60/EK un Komisijas Direktīvu 2006/70/EK</w:t>
            </w:r>
            <w:r>
              <w:rPr>
                <w:rFonts w:ascii="Times New Roman" w:hAnsi="Times New Roman" w:cs="Times New Roman"/>
                <w:bCs/>
                <w:sz w:val="24"/>
                <w:szCs w:val="24"/>
              </w:rPr>
              <w:t xml:space="preserve"> 8. pants paredz ārējā audita funkciju, ja tas atbilst </w:t>
            </w:r>
            <w:r w:rsidR="00052ED5">
              <w:rPr>
                <w:rFonts w:ascii="Times New Roman" w:hAnsi="Times New Roman" w:cs="Times New Roman"/>
                <w:bCs/>
                <w:sz w:val="24"/>
                <w:szCs w:val="24"/>
              </w:rPr>
              <w:t xml:space="preserve">atbildīgā </w:t>
            </w:r>
            <w:r>
              <w:rPr>
                <w:rFonts w:ascii="Times New Roman" w:hAnsi="Times New Roman" w:cs="Times New Roman"/>
                <w:bCs/>
                <w:sz w:val="24"/>
                <w:szCs w:val="24"/>
              </w:rPr>
              <w:t>subjekta</w:t>
            </w:r>
            <w:r w:rsidR="00052ED5">
              <w:rPr>
                <w:rFonts w:ascii="Times New Roman" w:hAnsi="Times New Roman" w:cs="Times New Roman"/>
                <w:bCs/>
                <w:sz w:val="24"/>
                <w:szCs w:val="24"/>
              </w:rPr>
              <w:t xml:space="preserve"> (tas ir, arī iestādes)</w:t>
            </w:r>
            <w:r>
              <w:rPr>
                <w:rFonts w:ascii="Times New Roman" w:hAnsi="Times New Roman" w:cs="Times New Roman"/>
                <w:bCs/>
                <w:sz w:val="24"/>
                <w:szCs w:val="24"/>
              </w:rPr>
              <w:t xml:space="preserve"> lielumam un saimnieciskai darbībai. Tādējādi arī neatkarīgu ārējo auditu kā iekšējās kontroles sistēmas elementu paredz </w:t>
            </w:r>
            <w:r>
              <w:rPr>
                <w:rFonts w:ascii="Times New Roman" w:hAnsi="Times New Roman" w:cs="Times New Roman"/>
                <w:bCs/>
                <w:sz w:val="24"/>
                <w:szCs w:val="24"/>
              </w:rPr>
              <w:lastRenderedPageBreak/>
              <w:t>Novēršanas likuma 7. pants, kurā ir arī noteikts, ka Novēršanas likuma subjekts pats izveido iekšējās kontroles sistēmu, turklāt tā ir regulāri jāuzlabo nolūkā nodrošināt tās efektivitāti un atbilstību riskiem.</w:t>
            </w:r>
            <w:r w:rsidR="00052ED5">
              <w:rPr>
                <w:rFonts w:ascii="Times New Roman" w:hAnsi="Times New Roman" w:cs="Times New Roman"/>
                <w:bCs/>
                <w:sz w:val="24"/>
                <w:szCs w:val="24"/>
              </w:rPr>
              <w:t xml:space="preserve"> Ņemot vērā, ka neatkarīga ārējā audita veikšana ir viens no riska kontroles veidiem, tai</w:t>
            </w:r>
            <w:r w:rsidR="00753854">
              <w:rPr>
                <w:rFonts w:ascii="Times New Roman" w:hAnsi="Times New Roman" w:cs="Times New Roman"/>
                <w:bCs/>
                <w:sz w:val="24"/>
                <w:szCs w:val="24"/>
              </w:rPr>
              <w:t xml:space="preserve"> jābūt ar riskam atbilstošu periodiskumu.</w:t>
            </w:r>
          </w:p>
          <w:p w14:paraId="70D487AB" w14:textId="59356E91" w:rsidR="001D0DA4" w:rsidRDefault="00052ED5" w:rsidP="007F57AF">
            <w:pPr>
              <w:spacing w:after="0" w:line="240" w:lineRule="auto"/>
              <w:rPr>
                <w:rFonts w:ascii="Times New Roman" w:hAnsi="Times New Roman" w:cs="Times New Roman"/>
                <w:bCs/>
                <w:sz w:val="24"/>
                <w:szCs w:val="24"/>
              </w:rPr>
            </w:pPr>
            <w:r>
              <w:rPr>
                <w:rFonts w:ascii="Times New Roman" w:hAnsi="Times New Roman" w:cs="Times New Roman"/>
                <w:bCs/>
                <w:sz w:val="24"/>
                <w:szCs w:val="24"/>
              </w:rPr>
              <w:t>Norādām</w:t>
            </w:r>
            <w:r w:rsidR="007F57AF">
              <w:rPr>
                <w:rFonts w:ascii="Times New Roman" w:hAnsi="Times New Roman" w:cs="Times New Roman"/>
                <w:bCs/>
                <w:sz w:val="24"/>
                <w:szCs w:val="24"/>
              </w:rPr>
              <w:t xml:space="preserve">, ka </w:t>
            </w:r>
            <w:r w:rsidR="00FC3DA9" w:rsidRPr="00FC3DA9">
              <w:rPr>
                <w:rFonts w:ascii="Times New Roman" w:hAnsi="Times New Roman" w:cs="Times New Roman"/>
                <w:bCs/>
                <w:sz w:val="24"/>
                <w:szCs w:val="24"/>
              </w:rPr>
              <w:t>Noteikumu projekta 3.</w:t>
            </w:r>
            <w:r w:rsidR="00753854">
              <w:rPr>
                <w:rFonts w:ascii="Times New Roman" w:hAnsi="Times New Roman" w:cs="Times New Roman"/>
                <w:bCs/>
                <w:sz w:val="24"/>
                <w:szCs w:val="24"/>
              </w:rPr>
              <w:t> </w:t>
            </w:r>
            <w:r w:rsidR="00FC3DA9" w:rsidRPr="00FC3DA9">
              <w:rPr>
                <w:rFonts w:ascii="Times New Roman" w:hAnsi="Times New Roman" w:cs="Times New Roman"/>
                <w:bCs/>
                <w:sz w:val="24"/>
                <w:szCs w:val="24"/>
              </w:rPr>
              <w:t>punkt</w:t>
            </w:r>
            <w:r w:rsidR="007F57AF">
              <w:rPr>
                <w:rFonts w:ascii="Times New Roman" w:hAnsi="Times New Roman" w:cs="Times New Roman"/>
                <w:bCs/>
                <w:sz w:val="24"/>
                <w:szCs w:val="24"/>
              </w:rPr>
              <w:t xml:space="preserve">s paredz </w:t>
            </w:r>
            <w:r>
              <w:rPr>
                <w:rFonts w:ascii="Times New Roman" w:hAnsi="Times New Roman" w:cs="Times New Roman"/>
                <w:bCs/>
                <w:sz w:val="24"/>
                <w:szCs w:val="24"/>
              </w:rPr>
              <w:t xml:space="preserve">retāku </w:t>
            </w:r>
            <w:r w:rsidR="007F57AF" w:rsidRPr="007F57AF">
              <w:rPr>
                <w:rFonts w:ascii="Times New Roman" w:hAnsi="Times New Roman" w:cs="Times New Roman"/>
                <w:bCs/>
                <w:sz w:val="24"/>
                <w:szCs w:val="24"/>
              </w:rPr>
              <w:t>period</w:t>
            </w:r>
            <w:r w:rsidR="00427696">
              <w:rPr>
                <w:rFonts w:ascii="Times New Roman" w:hAnsi="Times New Roman" w:cs="Times New Roman"/>
                <w:bCs/>
                <w:sz w:val="24"/>
                <w:szCs w:val="24"/>
              </w:rPr>
              <w:t>u</w:t>
            </w:r>
            <w:r w:rsidR="007F57AF" w:rsidRPr="007F57AF">
              <w:rPr>
                <w:rFonts w:ascii="Times New Roman" w:hAnsi="Times New Roman" w:cs="Times New Roman"/>
                <w:bCs/>
                <w:sz w:val="24"/>
                <w:szCs w:val="24"/>
              </w:rPr>
              <w:t xml:space="preserve">, kurā finanšu tirgus dalībniekiem jāveic </w:t>
            </w:r>
            <w:r w:rsidR="007F70C3">
              <w:rPr>
                <w:rFonts w:ascii="Times New Roman" w:hAnsi="Times New Roman" w:cs="Times New Roman"/>
                <w:bCs/>
                <w:sz w:val="24"/>
                <w:szCs w:val="24"/>
              </w:rPr>
              <w:t xml:space="preserve">neatkarīgs ārējais </w:t>
            </w:r>
            <w:r w:rsidR="007F57AF" w:rsidRPr="007F57AF">
              <w:rPr>
                <w:rFonts w:ascii="Times New Roman" w:hAnsi="Times New Roman" w:cs="Times New Roman"/>
                <w:bCs/>
                <w:sz w:val="24"/>
                <w:szCs w:val="24"/>
              </w:rPr>
              <w:t>audits</w:t>
            </w:r>
            <w:r w:rsidR="00427696">
              <w:rPr>
                <w:rFonts w:ascii="Times New Roman" w:hAnsi="Times New Roman" w:cs="Times New Roman"/>
                <w:bCs/>
                <w:sz w:val="24"/>
                <w:szCs w:val="24"/>
              </w:rPr>
              <w:t>,</w:t>
            </w:r>
            <w:r>
              <w:rPr>
                <w:rFonts w:ascii="Times New Roman" w:hAnsi="Times New Roman" w:cs="Times New Roman"/>
                <w:bCs/>
                <w:sz w:val="24"/>
                <w:szCs w:val="24"/>
              </w:rPr>
              <w:t xml:space="preserve"> </w:t>
            </w:r>
            <w:r w:rsidR="00427696">
              <w:rPr>
                <w:rFonts w:ascii="Times New Roman" w:hAnsi="Times New Roman" w:cs="Times New Roman"/>
                <w:bCs/>
                <w:sz w:val="24"/>
                <w:szCs w:val="24"/>
              </w:rPr>
              <w:t>salīdzinājumā ar</w:t>
            </w:r>
            <w:r w:rsidR="007F57AF" w:rsidRPr="007F57AF">
              <w:rPr>
                <w:rFonts w:ascii="Times New Roman" w:hAnsi="Times New Roman" w:cs="Times New Roman"/>
                <w:bCs/>
                <w:sz w:val="24"/>
                <w:szCs w:val="24"/>
              </w:rPr>
              <w:t xml:space="preserve"> </w:t>
            </w:r>
            <w:r w:rsidRPr="007F57AF">
              <w:rPr>
                <w:rFonts w:ascii="Times New Roman" w:hAnsi="Times New Roman" w:cs="Times New Roman"/>
                <w:bCs/>
                <w:sz w:val="24"/>
                <w:szCs w:val="24"/>
              </w:rPr>
              <w:t>Noteikum</w:t>
            </w:r>
            <w:r>
              <w:rPr>
                <w:rFonts w:ascii="Times New Roman" w:hAnsi="Times New Roman" w:cs="Times New Roman"/>
                <w:bCs/>
                <w:sz w:val="24"/>
                <w:szCs w:val="24"/>
              </w:rPr>
              <w:t>os</w:t>
            </w:r>
            <w:r w:rsidRPr="007F57AF">
              <w:rPr>
                <w:rFonts w:ascii="Times New Roman" w:hAnsi="Times New Roman" w:cs="Times New Roman"/>
                <w:bCs/>
                <w:sz w:val="24"/>
                <w:szCs w:val="24"/>
              </w:rPr>
              <w:t xml:space="preserve"> </w:t>
            </w:r>
            <w:r w:rsidR="007F57AF" w:rsidRPr="007F57AF">
              <w:rPr>
                <w:rFonts w:ascii="Times New Roman" w:hAnsi="Times New Roman" w:cs="Times New Roman"/>
                <w:bCs/>
                <w:sz w:val="24"/>
                <w:szCs w:val="24"/>
              </w:rPr>
              <w:t>Nr.</w:t>
            </w:r>
            <w:r w:rsidR="00753854">
              <w:rPr>
                <w:rFonts w:ascii="Times New Roman" w:hAnsi="Times New Roman" w:cs="Times New Roman"/>
                <w:bCs/>
                <w:sz w:val="24"/>
                <w:szCs w:val="24"/>
              </w:rPr>
              <w:t> </w:t>
            </w:r>
            <w:r w:rsidR="007F57AF" w:rsidRPr="007F57AF">
              <w:rPr>
                <w:rFonts w:ascii="Times New Roman" w:hAnsi="Times New Roman" w:cs="Times New Roman"/>
                <w:bCs/>
                <w:sz w:val="24"/>
                <w:szCs w:val="24"/>
              </w:rPr>
              <w:t>148</w:t>
            </w:r>
            <w:r w:rsidR="00427696">
              <w:rPr>
                <w:rFonts w:ascii="Times New Roman" w:hAnsi="Times New Roman" w:cs="Times New Roman"/>
                <w:bCs/>
                <w:sz w:val="24"/>
                <w:szCs w:val="24"/>
              </w:rPr>
              <w:t xml:space="preserve"> </w:t>
            </w:r>
            <w:r>
              <w:rPr>
                <w:rFonts w:ascii="Times New Roman" w:hAnsi="Times New Roman" w:cs="Times New Roman"/>
                <w:bCs/>
                <w:sz w:val="24"/>
                <w:szCs w:val="24"/>
              </w:rPr>
              <w:t>noteikto periodu</w:t>
            </w:r>
            <w:r w:rsidR="00427696">
              <w:rPr>
                <w:rFonts w:ascii="Times New Roman" w:hAnsi="Times New Roman" w:cs="Times New Roman"/>
                <w:bCs/>
                <w:sz w:val="24"/>
                <w:szCs w:val="24"/>
              </w:rPr>
              <w:t xml:space="preserve">, līdz ar to Noteikumu projekts mazina </w:t>
            </w:r>
            <w:r>
              <w:rPr>
                <w:rFonts w:ascii="Times New Roman" w:hAnsi="Times New Roman" w:cs="Times New Roman"/>
                <w:bCs/>
                <w:sz w:val="24"/>
                <w:szCs w:val="24"/>
              </w:rPr>
              <w:t>iestādes</w:t>
            </w:r>
            <w:r w:rsidR="00427696">
              <w:rPr>
                <w:rFonts w:ascii="Times New Roman" w:hAnsi="Times New Roman" w:cs="Times New Roman"/>
                <w:bCs/>
                <w:sz w:val="24"/>
                <w:szCs w:val="24"/>
              </w:rPr>
              <w:t xml:space="preserve"> izmaksas</w:t>
            </w:r>
            <w:r w:rsidR="001D0DA4">
              <w:rPr>
                <w:rFonts w:ascii="Times New Roman" w:hAnsi="Times New Roman" w:cs="Times New Roman"/>
                <w:bCs/>
                <w:sz w:val="24"/>
                <w:szCs w:val="24"/>
              </w:rPr>
              <w:t xml:space="preserve"> un ir </w:t>
            </w:r>
            <w:r>
              <w:rPr>
                <w:rFonts w:ascii="Times New Roman" w:hAnsi="Times New Roman" w:cs="Times New Roman"/>
                <w:bCs/>
                <w:sz w:val="24"/>
                <w:szCs w:val="24"/>
              </w:rPr>
              <w:t xml:space="preserve">tām </w:t>
            </w:r>
            <w:r w:rsidR="001D0DA4">
              <w:rPr>
                <w:rFonts w:ascii="Times New Roman" w:hAnsi="Times New Roman" w:cs="Times New Roman"/>
                <w:bCs/>
                <w:sz w:val="24"/>
                <w:szCs w:val="24"/>
              </w:rPr>
              <w:t xml:space="preserve">labvēlīgāks. </w:t>
            </w:r>
            <w:r w:rsidR="00427696">
              <w:rPr>
                <w:rFonts w:ascii="Times New Roman" w:hAnsi="Times New Roman" w:cs="Times New Roman"/>
                <w:bCs/>
                <w:sz w:val="24"/>
                <w:szCs w:val="24"/>
              </w:rPr>
              <w:t xml:space="preserve"> </w:t>
            </w:r>
          </w:p>
          <w:p w14:paraId="3CB30C82" w14:textId="42259E90" w:rsidR="001D0DA4" w:rsidRDefault="00052ED5" w:rsidP="007F57A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Uzsveram, ka tas ir iestādes pienākums pastāvīgi nodrošināt un uzturēt efektīvu un atbilstošu iekšējās kontroles sistēmas darbību. Latvijas Banka savas kompetences ietvaros veic attiecīgus pasākumus, lai to pārbaudītu. </w:t>
            </w:r>
          </w:p>
          <w:p w14:paraId="7CFA702C" w14:textId="5DC04AC9" w:rsidR="00FC3DA9" w:rsidRPr="00FC3DA9" w:rsidRDefault="00753854" w:rsidP="00360EFE">
            <w:pPr>
              <w:spacing w:after="0" w:line="240" w:lineRule="auto"/>
              <w:rPr>
                <w:rFonts w:ascii="Times New Roman" w:hAnsi="Times New Roman" w:cs="Times New Roman"/>
                <w:bCs/>
                <w:sz w:val="24"/>
                <w:szCs w:val="24"/>
              </w:rPr>
            </w:pPr>
            <w:r>
              <w:rPr>
                <w:rFonts w:ascii="Times New Roman" w:hAnsi="Times New Roman" w:cs="Times New Roman"/>
                <w:bCs/>
                <w:sz w:val="24"/>
                <w:szCs w:val="24"/>
              </w:rPr>
              <w:t>Turklāt</w:t>
            </w:r>
            <w:r w:rsidR="00BB7C99">
              <w:rPr>
                <w:rFonts w:ascii="Times New Roman" w:hAnsi="Times New Roman" w:cs="Times New Roman"/>
                <w:bCs/>
                <w:sz w:val="24"/>
                <w:szCs w:val="24"/>
              </w:rPr>
              <w:t xml:space="preserve"> norādāms, ka Noteikumu projekta 13. punkts </w:t>
            </w:r>
            <w:r w:rsidR="00360EFE">
              <w:rPr>
                <w:rFonts w:ascii="Times New Roman" w:hAnsi="Times New Roman" w:cs="Times New Roman"/>
                <w:bCs/>
                <w:sz w:val="24"/>
                <w:szCs w:val="24"/>
              </w:rPr>
              <w:t xml:space="preserve">jau paredz, ka </w:t>
            </w:r>
            <w:r w:rsidR="00360EFE" w:rsidRPr="00360EFE">
              <w:rPr>
                <w:rFonts w:ascii="Times New Roman" w:hAnsi="Times New Roman" w:cs="Times New Roman"/>
                <w:bCs/>
                <w:sz w:val="24"/>
                <w:szCs w:val="24"/>
              </w:rPr>
              <w:t xml:space="preserve">iestāde var vienoties ar Latvijas Banku par jauna iekšējās kontroles sistēmas neatkarīga ārējā audita vai Latvijas Bankas pārbaudes neveikšanu tajā daļā, kurā </w:t>
            </w:r>
            <w:r w:rsidR="00360EFE">
              <w:rPr>
                <w:rFonts w:ascii="Times New Roman" w:hAnsi="Times New Roman" w:cs="Times New Roman"/>
                <w:bCs/>
                <w:sz w:val="24"/>
                <w:szCs w:val="24"/>
              </w:rPr>
              <w:t xml:space="preserve">pēc iepriekšējās </w:t>
            </w:r>
            <w:r w:rsidR="00360EFE" w:rsidRPr="00360EFE">
              <w:rPr>
                <w:rFonts w:ascii="Times New Roman" w:hAnsi="Times New Roman" w:cs="Times New Roman"/>
                <w:bCs/>
                <w:sz w:val="24"/>
                <w:szCs w:val="24"/>
              </w:rPr>
              <w:t>iekšējās kontroles sistēmas neatkarīga ārējā audita vai Latvijas Bankas klātienes vai neklātienes pārbaudes atsevišķie pasākumi vai rekomendācijas vēl tiek īstenotas</w:t>
            </w:r>
            <w:r w:rsidR="00360EFE">
              <w:rPr>
                <w:rFonts w:ascii="Times New Roman" w:hAnsi="Times New Roman" w:cs="Times New Roman"/>
                <w:bCs/>
                <w:sz w:val="24"/>
                <w:szCs w:val="24"/>
              </w:rPr>
              <w:t>.</w:t>
            </w:r>
            <w:r w:rsidR="004352CE">
              <w:rPr>
                <w:rFonts w:ascii="Times New Roman" w:hAnsi="Times New Roman" w:cs="Times New Roman"/>
                <w:bCs/>
                <w:sz w:val="24"/>
                <w:szCs w:val="24"/>
              </w:rPr>
              <w:t xml:space="preserve"> </w:t>
            </w:r>
          </w:p>
        </w:tc>
      </w:tr>
    </w:tbl>
    <w:p w14:paraId="1CDF1351" w14:textId="77777777" w:rsidR="00FC3DA9" w:rsidRPr="002864E4" w:rsidRDefault="00FC3DA9" w:rsidP="0049248A">
      <w:pPr>
        <w:spacing w:after="0" w:line="240" w:lineRule="auto"/>
        <w:rPr>
          <w:rFonts w:ascii="Times New Roman" w:hAnsi="Times New Roman" w:cs="Times New Roman"/>
          <w:sz w:val="24"/>
          <w:szCs w:val="24"/>
        </w:rPr>
      </w:pPr>
    </w:p>
    <w:sectPr w:rsidR="00FC3DA9" w:rsidRPr="002864E4" w:rsidSect="00D53122">
      <w:pgSz w:w="16838" w:h="11906" w:orient="landscape" w:code="9"/>
      <w:pgMar w:top="1701" w:right="1134" w:bottom="993"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E7AC81" w14:textId="77777777" w:rsidR="00711FBE" w:rsidRDefault="00711FBE" w:rsidP="009B27BE">
      <w:pPr>
        <w:spacing w:after="0" w:line="240" w:lineRule="auto"/>
      </w:pPr>
      <w:r>
        <w:separator/>
      </w:r>
    </w:p>
  </w:endnote>
  <w:endnote w:type="continuationSeparator" w:id="0">
    <w:p w14:paraId="01892458" w14:textId="77777777" w:rsidR="00711FBE" w:rsidRDefault="00711FBE"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CFAAB9" w14:textId="77777777" w:rsidR="00711FBE" w:rsidRDefault="00711FBE" w:rsidP="009B27BE">
      <w:pPr>
        <w:spacing w:after="0" w:line="240" w:lineRule="auto"/>
      </w:pPr>
      <w:r>
        <w:separator/>
      </w:r>
    </w:p>
  </w:footnote>
  <w:footnote w:type="continuationSeparator" w:id="0">
    <w:p w14:paraId="3BD38E8D" w14:textId="77777777" w:rsidR="00711FBE" w:rsidRDefault="00711FBE" w:rsidP="009B27BE">
      <w:pPr>
        <w:spacing w:after="0" w:line="240" w:lineRule="auto"/>
      </w:pPr>
      <w:r>
        <w:continuationSeparator/>
      </w:r>
    </w:p>
  </w:footnote>
  <w:footnote w:id="1">
    <w:p w14:paraId="2640B983" w14:textId="77777777" w:rsidR="007D7C3C" w:rsidRPr="00E94AE6" w:rsidRDefault="007D7C3C" w:rsidP="007D7C3C">
      <w:pPr>
        <w:pStyle w:val="FootnoteText"/>
        <w:rPr>
          <w:rFonts w:ascii="Times New Roman" w:hAnsi="Times New Roman" w:cs="Times New Roman"/>
          <w:sz w:val="22"/>
          <w:szCs w:val="22"/>
        </w:rPr>
      </w:pPr>
      <w:r w:rsidRPr="00E94AE6">
        <w:rPr>
          <w:rStyle w:val="FootnoteReference"/>
          <w:rFonts w:ascii="Times New Roman" w:hAnsi="Times New Roman" w:cs="Times New Roman"/>
          <w:sz w:val="22"/>
          <w:szCs w:val="22"/>
        </w:rPr>
        <w:footnoteRef/>
      </w:r>
      <w:r w:rsidRPr="00E94AE6">
        <w:rPr>
          <w:rFonts w:ascii="Times New Roman" w:hAnsi="Times New Roman" w:cs="Times New Roman"/>
          <w:sz w:val="22"/>
          <w:szCs w:val="22"/>
        </w:rPr>
        <w:t xml:space="preserve"> Likumprojekts Nr. 586/Lp14.</w:t>
      </w:r>
    </w:p>
  </w:footnote>
  <w:footnote w:id="2">
    <w:p w14:paraId="6E47800B" w14:textId="016C8D29" w:rsidR="00360EFE" w:rsidRDefault="00360EFE">
      <w:pPr>
        <w:pStyle w:val="FootnoteText"/>
      </w:pPr>
      <w:r>
        <w:rPr>
          <w:rStyle w:val="FootnoteReference"/>
        </w:rPr>
        <w:footnoteRef/>
      </w:r>
      <w:r>
        <w:t xml:space="preserve"> </w:t>
      </w:r>
      <w:hyperlink r:id="rId1" w:history="1">
        <w:r w:rsidRPr="00360EFE">
          <w:rPr>
            <w:rStyle w:val="Hyperlink"/>
          </w:rPr>
          <w:t xml:space="preserve">FATF </w:t>
        </w:r>
        <w:proofErr w:type="spellStart"/>
        <w:r w:rsidRPr="00360EFE">
          <w:rPr>
            <w:rStyle w:val="Hyperlink"/>
          </w:rPr>
          <w:t>Recommendations</w:t>
        </w:r>
        <w:proofErr w:type="spellEnd"/>
        <w:r w:rsidRPr="00360EFE">
          <w:rPr>
            <w:rStyle w:val="Hyperlink"/>
          </w:rPr>
          <w:t xml:space="preserve"> 2012.pdf.coredownload.inline.pdf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1D55CC9F"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7F97B4BA"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6B6A87"/>
    <w:multiLevelType w:val="hybridMultilevel"/>
    <w:tmpl w:val="A6D23596"/>
    <w:lvl w:ilvl="0" w:tplc="546C033E">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7285FD0"/>
    <w:multiLevelType w:val="hybridMultilevel"/>
    <w:tmpl w:val="0502581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08E6A26"/>
    <w:multiLevelType w:val="hybridMultilevel"/>
    <w:tmpl w:val="80C68DC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DEE22C0"/>
    <w:multiLevelType w:val="hybridMultilevel"/>
    <w:tmpl w:val="C266648C"/>
    <w:lvl w:ilvl="0" w:tplc="AE3CC254">
      <w:start w:val="1"/>
      <w:numFmt w:val="decimal"/>
      <w:lvlText w:val="%1)"/>
      <w:lvlJc w:val="left"/>
      <w:pPr>
        <w:ind w:left="1020" w:hanging="360"/>
      </w:pPr>
    </w:lvl>
    <w:lvl w:ilvl="1" w:tplc="8528F22E">
      <w:start w:val="1"/>
      <w:numFmt w:val="decimal"/>
      <w:lvlText w:val="%2)"/>
      <w:lvlJc w:val="left"/>
      <w:pPr>
        <w:ind w:left="1020" w:hanging="360"/>
      </w:pPr>
    </w:lvl>
    <w:lvl w:ilvl="2" w:tplc="4DF631F0">
      <w:start w:val="1"/>
      <w:numFmt w:val="decimal"/>
      <w:lvlText w:val="%3)"/>
      <w:lvlJc w:val="left"/>
      <w:pPr>
        <w:ind w:left="1020" w:hanging="360"/>
      </w:pPr>
    </w:lvl>
    <w:lvl w:ilvl="3" w:tplc="19149AA8">
      <w:start w:val="1"/>
      <w:numFmt w:val="decimal"/>
      <w:lvlText w:val="%4)"/>
      <w:lvlJc w:val="left"/>
      <w:pPr>
        <w:ind w:left="1020" w:hanging="360"/>
      </w:pPr>
    </w:lvl>
    <w:lvl w:ilvl="4" w:tplc="B7A49886">
      <w:start w:val="1"/>
      <w:numFmt w:val="decimal"/>
      <w:lvlText w:val="%5)"/>
      <w:lvlJc w:val="left"/>
      <w:pPr>
        <w:ind w:left="1020" w:hanging="360"/>
      </w:pPr>
    </w:lvl>
    <w:lvl w:ilvl="5" w:tplc="D18C678C">
      <w:start w:val="1"/>
      <w:numFmt w:val="decimal"/>
      <w:lvlText w:val="%6)"/>
      <w:lvlJc w:val="left"/>
      <w:pPr>
        <w:ind w:left="1020" w:hanging="360"/>
      </w:pPr>
    </w:lvl>
    <w:lvl w:ilvl="6" w:tplc="C9CE9AF0">
      <w:start w:val="1"/>
      <w:numFmt w:val="decimal"/>
      <w:lvlText w:val="%7)"/>
      <w:lvlJc w:val="left"/>
      <w:pPr>
        <w:ind w:left="1020" w:hanging="360"/>
      </w:pPr>
    </w:lvl>
    <w:lvl w:ilvl="7" w:tplc="8E2A8932">
      <w:start w:val="1"/>
      <w:numFmt w:val="decimal"/>
      <w:lvlText w:val="%8)"/>
      <w:lvlJc w:val="left"/>
      <w:pPr>
        <w:ind w:left="1020" w:hanging="360"/>
      </w:pPr>
    </w:lvl>
    <w:lvl w:ilvl="8" w:tplc="E0F0046C">
      <w:start w:val="1"/>
      <w:numFmt w:val="decimal"/>
      <w:lvlText w:val="%9)"/>
      <w:lvlJc w:val="left"/>
      <w:pPr>
        <w:ind w:left="1020" w:hanging="360"/>
      </w:pPr>
    </w:lvl>
  </w:abstractNum>
  <w:abstractNum w:abstractNumId="4" w15:restartNumberingAfterBreak="0">
    <w:nsid w:val="4D575442"/>
    <w:multiLevelType w:val="hybridMultilevel"/>
    <w:tmpl w:val="76561DAA"/>
    <w:lvl w:ilvl="0" w:tplc="4BBE059A">
      <w:start w:val="1"/>
      <w:numFmt w:val="decimal"/>
      <w:lvlText w:val="%1)"/>
      <w:lvlJc w:val="left"/>
      <w:pPr>
        <w:ind w:left="720" w:hanging="360"/>
      </w:pPr>
    </w:lvl>
    <w:lvl w:ilvl="1" w:tplc="4962AA56">
      <w:start w:val="1"/>
      <w:numFmt w:val="decimal"/>
      <w:lvlText w:val="%2)"/>
      <w:lvlJc w:val="left"/>
      <w:pPr>
        <w:ind w:left="720" w:hanging="360"/>
      </w:pPr>
    </w:lvl>
    <w:lvl w:ilvl="2" w:tplc="3F505724">
      <w:start w:val="1"/>
      <w:numFmt w:val="decimal"/>
      <w:lvlText w:val="%3)"/>
      <w:lvlJc w:val="left"/>
      <w:pPr>
        <w:ind w:left="720" w:hanging="360"/>
      </w:pPr>
    </w:lvl>
    <w:lvl w:ilvl="3" w:tplc="6B1ED2D2">
      <w:start w:val="1"/>
      <w:numFmt w:val="decimal"/>
      <w:lvlText w:val="%4)"/>
      <w:lvlJc w:val="left"/>
      <w:pPr>
        <w:ind w:left="720" w:hanging="360"/>
      </w:pPr>
    </w:lvl>
    <w:lvl w:ilvl="4" w:tplc="439AC2FE">
      <w:start w:val="1"/>
      <w:numFmt w:val="decimal"/>
      <w:lvlText w:val="%5)"/>
      <w:lvlJc w:val="left"/>
      <w:pPr>
        <w:ind w:left="720" w:hanging="360"/>
      </w:pPr>
    </w:lvl>
    <w:lvl w:ilvl="5" w:tplc="389C11F2">
      <w:start w:val="1"/>
      <w:numFmt w:val="decimal"/>
      <w:lvlText w:val="%6)"/>
      <w:lvlJc w:val="left"/>
      <w:pPr>
        <w:ind w:left="720" w:hanging="360"/>
      </w:pPr>
    </w:lvl>
    <w:lvl w:ilvl="6" w:tplc="C41031FE">
      <w:start w:val="1"/>
      <w:numFmt w:val="decimal"/>
      <w:lvlText w:val="%7)"/>
      <w:lvlJc w:val="left"/>
      <w:pPr>
        <w:ind w:left="720" w:hanging="360"/>
      </w:pPr>
    </w:lvl>
    <w:lvl w:ilvl="7" w:tplc="3C1A3836">
      <w:start w:val="1"/>
      <w:numFmt w:val="decimal"/>
      <w:lvlText w:val="%8)"/>
      <w:lvlJc w:val="left"/>
      <w:pPr>
        <w:ind w:left="720" w:hanging="360"/>
      </w:pPr>
    </w:lvl>
    <w:lvl w:ilvl="8" w:tplc="BD784828">
      <w:start w:val="1"/>
      <w:numFmt w:val="decimal"/>
      <w:lvlText w:val="%9)"/>
      <w:lvlJc w:val="left"/>
      <w:pPr>
        <w:ind w:left="720" w:hanging="360"/>
      </w:pPr>
    </w:lvl>
  </w:abstractNum>
  <w:abstractNum w:abstractNumId="5"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7" w15:restartNumberingAfterBreak="0">
    <w:nsid w:val="7C550AB0"/>
    <w:multiLevelType w:val="hybridMultilevel"/>
    <w:tmpl w:val="5E60E45A"/>
    <w:lvl w:ilvl="0" w:tplc="CFC41004">
      <w:start w:val="1"/>
      <w:numFmt w:val="decimal"/>
      <w:lvlText w:val="%1)"/>
      <w:lvlJc w:val="left"/>
      <w:pPr>
        <w:ind w:left="720" w:hanging="360"/>
      </w:pPr>
      <w:rPr>
        <w:rFonts w:hint="default"/>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DDF2432"/>
    <w:multiLevelType w:val="hybridMultilevel"/>
    <w:tmpl w:val="92E00976"/>
    <w:lvl w:ilvl="0" w:tplc="5330A7B6">
      <w:start w:val="1"/>
      <w:numFmt w:val="decimal"/>
      <w:lvlText w:val="%1)"/>
      <w:lvlJc w:val="left"/>
      <w:pPr>
        <w:ind w:left="720" w:hanging="360"/>
      </w:pPr>
    </w:lvl>
    <w:lvl w:ilvl="1" w:tplc="6FBCEB10">
      <w:start w:val="1"/>
      <w:numFmt w:val="decimal"/>
      <w:lvlText w:val="%2)"/>
      <w:lvlJc w:val="left"/>
      <w:pPr>
        <w:ind w:left="720" w:hanging="360"/>
      </w:pPr>
    </w:lvl>
    <w:lvl w:ilvl="2" w:tplc="7EA2AF56">
      <w:start w:val="1"/>
      <w:numFmt w:val="decimal"/>
      <w:lvlText w:val="%3)"/>
      <w:lvlJc w:val="left"/>
      <w:pPr>
        <w:ind w:left="720" w:hanging="360"/>
      </w:pPr>
    </w:lvl>
    <w:lvl w:ilvl="3" w:tplc="2A763D6E">
      <w:start w:val="1"/>
      <w:numFmt w:val="decimal"/>
      <w:lvlText w:val="%4)"/>
      <w:lvlJc w:val="left"/>
      <w:pPr>
        <w:ind w:left="720" w:hanging="360"/>
      </w:pPr>
    </w:lvl>
    <w:lvl w:ilvl="4" w:tplc="ED7C2DF0">
      <w:start w:val="1"/>
      <w:numFmt w:val="decimal"/>
      <w:lvlText w:val="%5)"/>
      <w:lvlJc w:val="left"/>
      <w:pPr>
        <w:ind w:left="720" w:hanging="360"/>
      </w:pPr>
    </w:lvl>
    <w:lvl w:ilvl="5" w:tplc="BA8635F2">
      <w:start w:val="1"/>
      <w:numFmt w:val="decimal"/>
      <w:lvlText w:val="%6)"/>
      <w:lvlJc w:val="left"/>
      <w:pPr>
        <w:ind w:left="720" w:hanging="360"/>
      </w:pPr>
    </w:lvl>
    <w:lvl w:ilvl="6" w:tplc="FC6669B4">
      <w:start w:val="1"/>
      <w:numFmt w:val="decimal"/>
      <w:lvlText w:val="%7)"/>
      <w:lvlJc w:val="left"/>
      <w:pPr>
        <w:ind w:left="720" w:hanging="360"/>
      </w:pPr>
    </w:lvl>
    <w:lvl w:ilvl="7" w:tplc="84E846E8">
      <w:start w:val="1"/>
      <w:numFmt w:val="decimal"/>
      <w:lvlText w:val="%8)"/>
      <w:lvlJc w:val="left"/>
      <w:pPr>
        <w:ind w:left="720" w:hanging="360"/>
      </w:pPr>
    </w:lvl>
    <w:lvl w:ilvl="8" w:tplc="BEF2F5F8">
      <w:start w:val="1"/>
      <w:numFmt w:val="decimal"/>
      <w:lvlText w:val="%9)"/>
      <w:lvlJc w:val="left"/>
      <w:pPr>
        <w:ind w:left="720" w:hanging="360"/>
      </w:pPr>
    </w:lvl>
  </w:abstractNum>
  <w:num w:numId="1" w16cid:durableId="765492621">
    <w:abstractNumId w:val="5"/>
  </w:num>
  <w:num w:numId="2" w16cid:durableId="476142724">
    <w:abstractNumId w:val="1"/>
  </w:num>
  <w:num w:numId="3" w16cid:durableId="369189840">
    <w:abstractNumId w:val="7"/>
  </w:num>
  <w:num w:numId="4" w16cid:durableId="931666002">
    <w:abstractNumId w:val="0"/>
  </w:num>
  <w:num w:numId="5" w16cid:durableId="2038892696">
    <w:abstractNumId w:val="6"/>
  </w:num>
  <w:num w:numId="6" w16cid:durableId="14876262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99802362">
    <w:abstractNumId w:val="2"/>
  </w:num>
  <w:num w:numId="8" w16cid:durableId="2048337076">
    <w:abstractNumId w:val="3"/>
  </w:num>
  <w:num w:numId="9" w16cid:durableId="1575509237">
    <w:abstractNumId w:val="8"/>
  </w:num>
  <w:num w:numId="10" w16cid:durableId="14203677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FBE"/>
    <w:rsid w:val="00007791"/>
    <w:rsid w:val="000167F1"/>
    <w:rsid w:val="000263F5"/>
    <w:rsid w:val="00052ED5"/>
    <w:rsid w:val="0008510E"/>
    <w:rsid w:val="0009616F"/>
    <w:rsid w:val="000A2A11"/>
    <w:rsid w:val="000B4E0A"/>
    <w:rsid w:val="000B5C3B"/>
    <w:rsid w:val="000C7D77"/>
    <w:rsid w:val="001021C4"/>
    <w:rsid w:val="00132070"/>
    <w:rsid w:val="00133F6A"/>
    <w:rsid w:val="00143A48"/>
    <w:rsid w:val="00194923"/>
    <w:rsid w:val="001A5171"/>
    <w:rsid w:val="001D0DA4"/>
    <w:rsid w:val="001F2121"/>
    <w:rsid w:val="001F4188"/>
    <w:rsid w:val="00260FA2"/>
    <w:rsid w:val="00275D64"/>
    <w:rsid w:val="002864E4"/>
    <w:rsid w:val="00290A89"/>
    <w:rsid w:val="0029445D"/>
    <w:rsid w:val="0029681C"/>
    <w:rsid w:val="002A299C"/>
    <w:rsid w:val="002C576C"/>
    <w:rsid w:val="002D4F4A"/>
    <w:rsid w:val="00312174"/>
    <w:rsid w:val="0031348B"/>
    <w:rsid w:val="00313F62"/>
    <w:rsid w:val="00331906"/>
    <w:rsid w:val="003344C2"/>
    <w:rsid w:val="00360EFE"/>
    <w:rsid w:val="0038727D"/>
    <w:rsid w:val="003B481B"/>
    <w:rsid w:val="003C65AB"/>
    <w:rsid w:val="003C78EE"/>
    <w:rsid w:val="00427696"/>
    <w:rsid w:val="004352CE"/>
    <w:rsid w:val="00462D46"/>
    <w:rsid w:val="0049248A"/>
    <w:rsid w:val="00512A9C"/>
    <w:rsid w:val="0051734B"/>
    <w:rsid w:val="00571AF1"/>
    <w:rsid w:val="005B3E28"/>
    <w:rsid w:val="0060016E"/>
    <w:rsid w:val="00642172"/>
    <w:rsid w:val="0065288A"/>
    <w:rsid w:val="00657A70"/>
    <w:rsid w:val="0067674D"/>
    <w:rsid w:val="006A68E7"/>
    <w:rsid w:val="006E0178"/>
    <w:rsid w:val="006E3FE3"/>
    <w:rsid w:val="00700D84"/>
    <w:rsid w:val="00711FBE"/>
    <w:rsid w:val="00744AE0"/>
    <w:rsid w:val="00753854"/>
    <w:rsid w:val="007551DF"/>
    <w:rsid w:val="00756820"/>
    <w:rsid w:val="00762371"/>
    <w:rsid w:val="00790CDB"/>
    <w:rsid w:val="007A52DB"/>
    <w:rsid w:val="007D7C3C"/>
    <w:rsid w:val="007D7D5D"/>
    <w:rsid w:val="007E313B"/>
    <w:rsid w:val="007F57AF"/>
    <w:rsid w:val="007F70C3"/>
    <w:rsid w:val="008015F8"/>
    <w:rsid w:val="0085387B"/>
    <w:rsid w:val="00861AD5"/>
    <w:rsid w:val="00870DAA"/>
    <w:rsid w:val="008C012C"/>
    <w:rsid w:val="008C7438"/>
    <w:rsid w:val="008E27D1"/>
    <w:rsid w:val="00917AF4"/>
    <w:rsid w:val="00920831"/>
    <w:rsid w:val="0095215D"/>
    <w:rsid w:val="009567D8"/>
    <w:rsid w:val="009B27BE"/>
    <w:rsid w:val="009C6371"/>
    <w:rsid w:val="009D69BC"/>
    <w:rsid w:val="00A0418B"/>
    <w:rsid w:val="00A42788"/>
    <w:rsid w:val="00A95ED4"/>
    <w:rsid w:val="00AA0679"/>
    <w:rsid w:val="00B02250"/>
    <w:rsid w:val="00B239A5"/>
    <w:rsid w:val="00B557C8"/>
    <w:rsid w:val="00B62244"/>
    <w:rsid w:val="00B95599"/>
    <w:rsid w:val="00B95DAB"/>
    <w:rsid w:val="00BB7C99"/>
    <w:rsid w:val="00C0752B"/>
    <w:rsid w:val="00C12B23"/>
    <w:rsid w:val="00C375B6"/>
    <w:rsid w:val="00C51826"/>
    <w:rsid w:val="00C5201C"/>
    <w:rsid w:val="00C85C34"/>
    <w:rsid w:val="00C9742E"/>
    <w:rsid w:val="00CA28AB"/>
    <w:rsid w:val="00CE3CB6"/>
    <w:rsid w:val="00D05D95"/>
    <w:rsid w:val="00D141CD"/>
    <w:rsid w:val="00D17D5D"/>
    <w:rsid w:val="00D32306"/>
    <w:rsid w:val="00D3336E"/>
    <w:rsid w:val="00D508D3"/>
    <w:rsid w:val="00D53122"/>
    <w:rsid w:val="00D94871"/>
    <w:rsid w:val="00DD44B9"/>
    <w:rsid w:val="00E04474"/>
    <w:rsid w:val="00E253DA"/>
    <w:rsid w:val="00E342F6"/>
    <w:rsid w:val="00E53DE9"/>
    <w:rsid w:val="00E5685E"/>
    <w:rsid w:val="00E60064"/>
    <w:rsid w:val="00E80B79"/>
    <w:rsid w:val="00E82170"/>
    <w:rsid w:val="00EA31EC"/>
    <w:rsid w:val="00EB261C"/>
    <w:rsid w:val="00EB26D7"/>
    <w:rsid w:val="00ED0CE7"/>
    <w:rsid w:val="00EF28B2"/>
    <w:rsid w:val="00EF330D"/>
    <w:rsid w:val="00F86492"/>
    <w:rsid w:val="00FA4B91"/>
    <w:rsid w:val="00FA55BA"/>
    <w:rsid w:val="00FA56C9"/>
    <w:rsid w:val="00FC3DA9"/>
    <w:rsid w:val="00FD277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0477A"/>
  <w15:chartTrackingRefBased/>
  <w15:docId w15:val="{ED936445-0457-46F6-8CF4-2C1EE34E2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customStyle="1" w:styleId="NApunkts1">
    <w:name w:val="NA punkts 1"/>
    <w:basedOn w:val="Normal"/>
    <w:link w:val="NApunkts1Rakstz"/>
    <w:qFormat/>
    <w:rsid w:val="00711FBE"/>
    <w:pPr>
      <w:numPr>
        <w:numId w:val="1"/>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711FBE"/>
    <w:rPr>
      <w:rFonts w:ascii="Times New Roman" w:eastAsia="Times New Roman" w:hAnsi="Times New Roman" w:cs="Times New Roman"/>
      <w:sz w:val="24"/>
      <w:szCs w:val="24"/>
      <w:lang w:eastAsia="lv-LV"/>
    </w:rPr>
  </w:style>
  <w:style w:type="paragraph" w:customStyle="1" w:styleId="NApunkts2">
    <w:name w:val="NA punkts 2"/>
    <w:basedOn w:val="Normal"/>
    <w:qFormat/>
    <w:rsid w:val="00711FBE"/>
    <w:pPr>
      <w:keepLines/>
      <w:numPr>
        <w:ilvl w:val="1"/>
        <w:numId w:val="1"/>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711FBE"/>
    <w:pPr>
      <w:keepLines/>
      <w:numPr>
        <w:ilvl w:val="2"/>
        <w:numId w:val="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711FBE"/>
    <w:pPr>
      <w:keepLines/>
      <w:numPr>
        <w:ilvl w:val="3"/>
        <w:numId w:val="1"/>
      </w:numPr>
      <w:spacing w:after="0" w:line="240" w:lineRule="auto"/>
      <w:jc w:val="both"/>
      <w:outlineLvl w:val="3"/>
    </w:pPr>
    <w:rPr>
      <w:rFonts w:ascii="Times New Roman" w:eastAsia="Times New Roman" w:hAnsi="Times New Roman" w:cs="Times New Roman"/>
      <w:sz w:val="24"/>
      <w:szCs w:val="24"/>
      <w:lang w:eastAsia="lv-LV"/>
    </w:rPr>
  </w:style>
  <w:style w:type="paragraph" w:styleId="ListParagraph">
    <w:name w:val="List Paragraph"/>
    <w:aliases w:val="Paragraphe EI,Paragraphe de liste1,EC,Dot pt,List Paragraph1,Colorful List - Accent 11,No Spacing1,List Paragraph Char Char Char,Indicator Text,Numbered Para 1,Bullet 1,F5 List Paragraph,Bullet Points,List Paragraph2,List Paragraph12"/>
    <w:basedOn w:val="Normal"/>
    <w:link w:val="ListParagraphChar"/>
    <w:uiPriority w:val="34"/>
    <w:qFormat/>
    <w:rsid w:val="0085387B"/>
    <w:pPr>
      <w:ind w:left="720"/>
      <w:contextualSpacing/>
    </w:pPr>
  </w:style>
  <w:style w:type="paragraph" w:customStyle="1" w:styleId="Default">
    <w:name w:val="Default"/>
    <w:rsid w:val="007A52D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7A52DB"/>
    <w:rPr>
      <w:color w:val="0000FF"/>
      <w:u w:val="single"/>
    </w:rPr>
  </w:style>
  <w:style w:type="character" w:styleId="UnresolvedMention">
    <w:name w:val="Unresolved Mention"/>
    <w:basedOn w:val="DefaultParagraphFont"/>
    <w:uiPriority w:val="99"/>
    <w:semiHidden/>
    <w:unhideWhenUsed/>
    <w:rsid w:val="007A52DB"/>
    <w:rPr>
      <w:color w:val="605E5C"/>
      <w:shd w:val="clear" w:color="auto" w:fill="E1DFDD"/>
    </w:rPr>
  </w:style>
  <w:style w:type="character" w:customStyle="1" w:styleId="ListParagraphChar">
    <w:name w:val="List Paragraph Char"/>
    <w:aliases w:val="Paragraphe EI Char,Paragraphe de liste1 Char,EC Char,Dot pt Char,List Paragraph1 Char,Colorful List - Accent 11 Char,No Spacing1 Char,List Paragraph Char Char Char Char,Indicator Text Char,Numbered Para 1 Char,Bullet 1 Char"/>
    <w:link w:val="ListParagraph"/>
    <w:uiPriority w:val="34"/>
    <w:qFormat/>
    <w:locked/>
    <w:rsid w:val="00917AF4"/>
  </w:style>
  <w:style w:type="paragraph" w:styleId="Revision">
    <w:name w:val="Revision"/>
    <w:hidden/>
    <w:uiPriority w:val="99"/>
    <w:semiHidden/>
    <w:rsid w:val="00EB26D7"/>
    <w:pPr>
      <w:spacing w:after="0" w:line="240" w:lineRule="auto"/>
    </w:pPr>
  </w:style>
  <w:style w:type="character" w:styleId="CommentReference">
    <w:name w:val="annotation reference"/>
    <w:basedOn w:val="DefaultParagraphFont"/>
    <w:uiPriority w:val="99"/>
    <w:semiHidden/>
    <w:unhideWhenUsed/>
    <w:rsid w:val="00C5201C"/>
    <w:rPr>
      <w:sz w:val="16"/>
      <w:szCs w:val="16"/>
    </w:rPr>
  </w:style>
  <w:style w:type="paragraph" w:styleId="CommentText">
    <w:name w:val="annotation text"/>
    <w:basedOn w:val="Normal"/>
    <w:link w:val="CommentTextChar"/>
    <w:uiPriority w:val="99"/>
    <w:unhideWhenUsed/>
    <w:rsid w:val="00C5201C"/>
    <w:pPr>
      <w:spacing w:line="240" w:lineRule="auto"/>
    </w:pPr>
    <w:rPr>
      <w:sz w:val="20"/>
      <w:szCs w:val="20"/>
    </w:rPr>
  </w:style>
  <w:style w:type="character" w:customStyle="1" w:styleId="CommentTextChar">
    <w:name w:val="Comment Text Char"/>
    <w:basedOn w:val="DefaultParagraphFont"/>
    <w:link w:val="CommentText"/>
    <w:uiPriority w:val="99"/>
    <w:rsid w:val="00C5201C"/>
    <w:rPr>
      <w:sz w:val="20"/>
      <w:szCs w:val="20"/>
    </w:rPr>
  </w:style>
  <w:style w:type="paragraph" w:styleId="CommentSubject">
    <w:name w:val="annotation subject"/>
    <w:basedOn w:val="CommentText"/>
    <w:next w:val="CommentText"/>
    <w:link w:val="CommentSubjectChar"/>
    <w:uiPriority w:val="99"/>
    <w:semiHidden/>
    <w:unhideWhenUsed/>
    <w:rsid w:val="00C5201C"/>
    <w:rPr>
      <w:b/>
      <w:bCs/>
    </w:rPr>
  </w:style>
  <w:style w:type="character" w:customStyle="1" w:styleId="CommentSubjectChar">
    <w:name w:val="Comment Subject Char"/>
    <w:basedOn w:val="CommentTextChar"/>
    <w:link w:val="CommentSubject"/>
    <w:uiPriority w:val="99"/>
    <w:semiHidden/>
    <w:rsid w:val="00C5201C"/>
    <w:rPr>
      <w:b/>
      <w:bCs/>
      <w:sz w:val="20"/>
      <w:szCs w:val="20"/>
    </w:rPr>
  </w:style>
  <w:style w:type="character" w:styleId="FollowedHyperlink">
    <w:name w:val="FollowedHyperlink"/>
    <w:basedOn w:val="DefaultParagraphFont"/>
    <w:uiPriority w:val="99"/>
    <w:semiHidden/>
    <w:unhideWhenUsed/>
    <w:rsid w:val="00C974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204008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320289"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kumi.lv/ta/id/317284"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178987-noziedzigi-iegutu-lidzeklu-legalizacijas-un-terorisma-un-proliferacijas-finansesanas-noversanas-likum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320289-klientu-izpetes-klientu-padzilinatas-izpetes-un-riska-skaitliska-novertejuma-sistemas-izveides-un-informacijas-tehnologiju-prasibu-normativie-noteikum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fatf-gafi.org/content/dam/fatf-gafi/recommendations/FATF%20Recommendations%202012.pdf.coredownload.inlin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EC30E1C2E854EC2B6A820590A88A3FE"/>
        <w:category>
          <w:name w:val="Vispārīgi"/>
          <w:gallery w:val="placeholder"/>
        </w:category>
        <w:types>
          <w:type w:val="bbPlcHdr"/>
        </w:types>
        <w:behaviors>
          <w:behavior w:val="content"/>
        </w:behaviors>
        <w:guid w:val="{0CC0041A-9E14-40B3-B14A-CA1053AFC6A1}"/>
      </w:docPartPr>
      <w:docPartBody>
        <w:p w:rsidR="0086720E" w:rsidRDefault="0086720E" w:rsidP="0086720E">
          <w:pPr>
            <w:pStyle w:val="7EC30E1C2E854EC2B6A820590A88A3FE"/>
          </w:pPr>
          <w:r w:rsidRPr="00F5647B">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20E"/>
    <w:rsid w:val="000A2A11"/>
    <w:rsid w:val="00194923"/>
    <w:rsid w:val="001F4188"/>
    <w:rsid w:val="00312174"/>
    <w:rsid w:val="0038727D"/>
    <w:rsid w:val="003C78EE"/>
    <w:rsid w:val="0051734B"/>
    <w:rsid w:val="0065288A"/>
    <w:rsid w:val="007551DF"/>
    <w:rsid w:val="007D7D5D"/>
    <w:rsid w:val="0086720E"/>
    <w:rsid w:val="00AA0679"/>
    <w:rsid w:val="00B557C8"/>
    <w:rsid w:val="00E82170"/>
    <w:rsid w:val="00ED0CE7"/>
    <w:rsid w:val="00EF28B2"/>
    <w:rsid w:val="00F864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720E"/>
    <w:rPr>
      <w:color w:val="808080"/>
    </w:rPr>
  </w:style>
  <w:style w:type="paragraph" w:customStyle="1" w:styleId="7EC30E1C2E854EC2B6A820590A88A3FE">
    <w:name w:val="7EC30E1C2E854EC2B6A820590A88A3FE"/>
    <w:rsid w:val="008672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4.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ANA_ANOTACIJA.dotx</Template>
  <TotalTime>18</TotalTime>
  <Pages>6</Pages>
  <Words>8981</Words>
  <Characters>5120</Characters>
  <Application>Microsoft Office Word</Application>
  <DocSecurity>0</DocSecurity>
  <Lines>42</Lines>
  <Paragraphs>28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Aldis Ritums</dc:creator>
  <cp:keywords/>
  <dc:description/>
  <cp:lastModifiedBy>Ilze Grava</cp:lastModifiedBy>
  <cp:revision>4</cp:revision>
  <dcterms:created xsi:type="dcterms:W3CDTF">2024-10-28T10:22:00Z</dcterms:created>
  <dcterms:modified xsi:type="dcterms:W3CDTF">2024-11-01T13:18:00Z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