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67D5E1" w14:textId="77777777" w:rsidR="009C42A8" w:rsidRPr="0079205D" w:rsidRDefault="000762C5" w:rsidP="000B3673">
      <w:pPr>
        <w:widowControl w:val="0"/>
        <w:pBdr>
          <w:bottom w:val="single" w:sz="4" w:space="1" w:color="auto"/>
        </w:pBdr>
        <w:spacing w:before="480"/>
        <w:jc w:val="both"/>
        <w:rPr>
          <w:rFonts w:cs="Times New Roman"/>
          <w:sz w:val="2"/>
          <w:szCs w:val="2"/>
        </w:rPr>
      </w:pPr>
      <w:sdt>
        <w:sdtPr>
          <w:rPr>
            <w:rFonts w:cs="Times New Roman"/>
            <w:spacing w:val="-2"/>
            <w:w w:val="90"/>
            <w:sz w:val="14"/>
            <w:szCs w:val="14"/>
          </w:rPr>
          <w:id w:val="46410873"/>
          <w:lock w:val="sdtContentLocked"/>
          <w:placeholder>
            <w:docPart w:val="D5A9E08F020042BA89052B164231837C"/>
          </w:placeholder>
          <w:showingPlcHdr/>
        </w:sdtPr>
        <w:sdtEndPr/>
        <w:sdtContent>
          <w:bookmarkStart w:id="0" w:name="_Hlk92186140"/>
          <w:r w:rsidR="000F000D" w:rsidRPr="00B21FDE">
            <w:rPr>
              <w:rFonts w:cs="Times New Roman"/>
              <w:sz w:val="14"/>
              <w:szCs w:val="14"/>
            </w:rPr>
            <w:t>K. VALDEMĀRA IELA 2A, RĪGA, LV-1050, LATVIJA. TĀLRUNIS +371 67022300, E-PASTS INFO@BANK.LV, WWW.BANK.LV</w:t>
          </w:r>
          <w:bookmarkEnd w:id="0"/>
        </w:sdtContent>
      </w:sdt>
      <w:r w:rsidR="0079205D">
        <w:rPr>
          <w:rFonts w:cs="Times New Roman"/>
          <w:sz w:val="16"/>
          <w:szCs w:val="14"/>
        </w:rPr>
        <w:br/>
      </w:r>
    </w:p>
    <w:p w14:paraId="4C84D80D" w14:textId="77777777" w:rsidR="009C42A8" w:rsidRDefault="003C1EF2" w:rsidP="003C1EF2">
      <w:pPr>
        <w:spacing w:before="240"/>
        <w:jc w:val="right"/>
        <w:rPr>
          <w:rFonts w:cs="Times New Roman"/>
          <w:szCs w:val="24"/>
        </w:rPr>
      </w:pPr>
      <w:r>
        <w:rPr>
          <w:rFonts w:cs="Times New Roman"/>
          <w:szCs w:val="24"/>
        </w:rPr>
        <w:t>Projekts (1. variants)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5"/>
        <w:gridCol w:w="4259"/>
      </w:tblGrid>
      <w:tr w:rsidR="003C1EF2" w14:paraId="02BEB0B7" w14:textId="77777777" w:rsidTr="00811BE5">
        <w:sdt>
          <w:sdtPr>
            <w:rPr>
              <w:rFonts w:cs="Times New Roman"/>
            </w:rPr>
            <w:id w:val="25447574"/>
            <w:lock w:val="sdtLocked"/>
            <w:placeholder>
              <w:docPart w:val="64C8154D6CFB4726ABF1BD7C5940B8F3"/>
            </w:placeholder>
          </w:sdtPr>
          <w:sdtEndPr/>
          <w:sdtContent>
            <w:tc>
              <w:tcPr>
                <w:tcW w:w="4360" w:type="dxa"/>
                <w:vAlign w:val="bottom"/>
              </w:tcPr>
              <w:p w14:paraId="1F615739" w14:textId="313B27EB" w:rsidR="003C1EF2" w:rsidRDefault="00062957" w:rsidP="00811BE5">
                <w:pPr>
                  <w:pStyle w:val="NoSpacing"/>
                  <w:spacing w:before="240"/>
                  <w:ind w:left="-107"/>
                  <w:rPr>
                    <w:rFonts w:cs="Times New Roman"/>
                  </w:rPr>
                </w:pPr>
                <w:r>
                  <w:rPr>
                    <w:rFonts w:cs="Times New Roman"/>
                  </w:rPr>
                  <w:t>202</w:t>
                </w:r>
                <w:r w:rsidR="006156DB">
                  <w:rPr>
                    <w:rFonts w:cs="Times New Roman"/>
                  </w:rPr>
                  <w:t>4</w:t>
                </w:r>
                <w:r>
                  <w:rPr>
                    <w:rFonts w:cs="Times New Roman"/>
                  </w:rPr>
                  <w:t xml:space="preserve">. gada </w:t>
                </w:r>
                <w:r w:rsidR="00F10E59">
                  <w:rPr>
                    <w:rFonts w:cs="Times New Roman"/>
                  </w:rPr>
                  <w:t>XX.</w:t>
                </w:r>
                <w:r>
                  <w:rPr>
                    <w:rFonts w:cs="Times New Roman"/>
                  </w:rPr>
                  <w:t xml:space="preserve"> </w:t>
                </w:r>
                <w:r w:rsidR="00883C89">
                  <w:rPr>
                    <w:rFonts w:cs="Times New Roman"/>
                  </w:rPr>
                  <w:t>XXXX</w:t>
                </w:r>
              </w:p>
            </w:tc>
          </w:sdtContent>
        </w:sdt>
        <w:tc>
          <w:tcPr>
            <w:tcW w:w="4360" w:type="dxa"/>
            <w:vAlign w:val="bottom"/>
          </w:tcPr>
          <w:p w14:paraId="745BD9C8" w14:textId="77777777" w:rsidR="003C1EF2" w:rsidRDefault="000762C5" w:rsidP="00C523D5">
            <w:pPr>
              <w:pStyle w:val="NoSpacing"/>
              <w:ind w:right="-111"/>
              <w:jc w:val="right"/>
            </w:pPr>
            <w:sdt>
              <w:sdtPr>
                <w:id w:val="32932642"/>
                <w:lock w:val="sdtContentLocked"/>
                <w:placeholder>
                  <w:docPart w:val="C1B2D4A6F69F46DC8DB6CE798B070B51"/>
                </w:placeholder>
                <w:showingPlcHdr/>
              </w:sdtPr>
              <w:sdtEndPr/>
              <w:sdtContent>
                <w:r w:rsidR="00F13DD7">
                  <w:t xml:space="preserve">Noteikumi </w:t>
                </w:r>
              </w:sdtContent>
            </w:sdt>
            <w:sdt>
              <w:sdtPr>
                <w:id w:val="25447619"/>
                <w:lock w:val="sdtContentLocked"/>
                <w:placeholder>
                  <w:docPart w:val="E92B964264134789A5B5017A9A35DC53"/>
                </w:placeholder>
                <w:showingPlcHdr/>
              </w:sdtPr>
              <w:sdtEndPr/>
              <w:sdtContent>
                <w:r w:rsidR="003C1EF2">
                  <w:t xml:space="preserve">Nr. </w:t>
                </w:r>
              </w:sdtContent>
            </w:sdt>
            <w:sdt>
              <w:sdtPr>
                <w:id w:val="25447645"/>
                <w:lock w:val="sdtLocked"/>
                <w:placeholder>
                  <w:docPart w:val="4F9D106909D54788BDFD61DBB9E2ADAD"/>
                </w:placeholder>
                <w:showingPlcHdr/>
              </w:sdtPr>
              <w:sdtEndPr/>
              <w:sdtContent>
                <w:r w:rsidR="007A4159">
                  <w:t>_____</w:t>
                </w:r>
              </w:sdtContent>
            </w:sdt>
          </w:p>
        </w:tc>
      </w:tr>
    </w:tbl>
    <w:sdt>
      <w:sdtPr>
        <w:rPr>
          <w:rFonts w:cs="Times New Roman"/>
          <w:szCs w:val="24"/>
        </w:rPr>
        <w:id w:val="25447675"/>
        <w:lock w:val="sdtContentLocked"/>
        <w:placeholder>
          <w:docPart w:val="E6B37C46E7EE4903B58137225BA3C1AA"/>
        </w:placeholder>
        <w:showingPlcHdr/>
      </w:sdtPr>
      <w:sdtEndPr/>
      <w:sdtContent>
        <w:p w14:paraId="688E150D" w14:textId="77777777" w:rsidR="003C1EF2" w:rsidRDefault="00C2284A" w:rsidP="00C2284A">
          <w:pPr>
            <w:rPr>
              <w:rFonts w:cs="Times New Roman"/>
              <w:szCs w:val="24"/>
            </w:rPr>
          </w:pPr>
          <w:r>
            <w:rPr>
              <w:rFonts w:cs="Times New Roman"/>
              <w:szCs w:val="24"/>
            </w:rPr>
            <w:t>Rīgā</w:t>
          </w:r>
        </w:p>
      </w:sdtContent>
    </w:sdt>
    <w:p w14:paraId="2DCA72E3" w14:textId="348A997C" w:rsidR="00C2284A" w:rsidRDefault="000762C5" w:rsidP="00C2284A">
      <w:pPr>
        <w:spacing w:before="240" w:after="240"/>
        <w:rPr>
          <w:rFonts w:cs="Times New Roman"/>
          <w:b/>
          <w:szCs w:val="24"/>
        </w:rPr>
      </w:pPr>
      <w:sdt>
        <w:sdtPr>
          <w:rPr>
            <w:rFonts w:cs="Times New Roman"/>
            <w:b/>
            <w:szCs w:val="24"/>
          </w:rPr>
          <w:alias w:val="Nosaukums"/>
          <w:tag w:val="Nosaukums"/>
          <w:id w:val="25447728"/>
          <w:placeholder>
            <w:docPart w:val="B13939C4BBC54599B9CFEFFFD9C84251"/>
          </w:placeholder>
        </w:sdtPr>
        <w:sdtEndPr/>
        <w:sdtContent>
          <w:r w:rsidR="005C04DE">
            <w:rPr>
              <w:rFonts w:cs="Times New Roman"/>
              <w:b/>
              <w:szCs w:val="24"/>
            </w:rPr>
            <w:t>Publiskošanas prasības ziņojumam</w:t>
          </w:r>
          <w:r w:rsidR="006156DB">
            <w:rPr>
              <w:rFonts w:cs="Times New Roman"/>
              <w:b/>
              <w:szCs w:val="24"/>
            </w:rPr>
            <w:t xml:space="preserve"> par </w:t>
          </w:r>
          <w:r w:rsidR="006156DB" w:rsidRPr="00A62FF3">
            <w:rPr>
              <w:rFonts w:cs="Times New Roman"/>
              <w:b/>
              <w:szCs w:val="24"/>
            </w:rPr>
            <w:t xml:space="preserve">apdrošināšanas </w:t>
          </w:r>
          <w:r w:rsidR="00A62FF3" w:rsidRPr="002E2BA3">
            <w:rPr>
              <w:rFonts w:cs="Times New Roman"/>
              <w:b/>
              <w:szCs w:val="24"/>
            </w:rPr>
            <w:t>vai</w:t>
          </w:r>
          <w:r w:rsidR="006156DB" w:rsidRPr="00A62FF3">
            <w:rPr>
              <w:rFonts w:cs="Times New Roman"/>
              <w:b/>
              <w:szCs w:val="24"/>
            </w:rPr>
            <w:t xml:space="preserve"> pārapdrošināšanas</w:t>
          </w:r>
          <w:r w:rsidR="006156DB">
            <w:rPr>
              <w:rFonts w:cs="Times New Roman"/>
              <w:b/>
              <w:szCs w:val="24"/>
            </w:rPr>
            <w:t xml:space="preserve"> sabiedrības maksātspēju un finansiālo stāvokli</w:t>
          </w:r>
        </w:sdtContent>
      </w:sdt>
    </w:p>
    <w:p w14:paraId="4AA62CCE" w14:textId="77777777" w:rsidR="00C2284A" w:rsidRDefault="000762C5" w:rsidP="00DB385B">
      <w:pPr>
        <w:jc w:val="right"/>
        <w:rPr>
          <w:rFonts w:cs="Times New Roman"/>
          <w:szCs w:val="24"/>
        </w:rPr>
      </w:pPr>
      <w:sdt>
        <w:sdtPr>
          <w:rPr>
            <w:rFonts w:cs="Times New Roman"/>
            <w:color w:val="808080"/>
            <w:szCs w:val="24"/>
          </w:rPr>
          <w:id w:val="32932717"/>
          <w:lock w:val="sdtContentLocked"/>
          <w:placeholder>
            <w:docPart w:val="286E3FE2D612478F92182C19DE102B13"/>
          </w:placeholder>
          <w:showingPlcHdr/>
        </w:sdtPr>
        <w:sdtEndPr/>
        <w:sdtContent>
          <w:r w:rsidR="00F13DD7">
            <w:rPr>
              <w:rFonts w:cs="Times New Roman"/>
              <w:szCs w:val="24"/>
            </w:rPr>
            <w:t xml:space="preserve">Izdoti </w:t>
          </w:r>
        </w:sdtContent>
      </w:sdt>
      <w:sdt>
        <w:sdtPr>
          <w:rPr>
            <w:rFonts w:cs="Times New Roman"/>
            <w:szCs w:val="24"/>
          </w:rPr>
          <w:id w:val="25447774"/>
          <w:placeholder>
            <w:docPart w:val="6FBB277101C34AF99D8AB10245F35D7D"/>
          </w:placeholder>
          <w:showingPlcHdr/>
        </w:sdtPr>
        <w:sdtEndPr/>
        <w:sdtContent>
          <w:r w:rsidR="00301089">
            <w:rPr>
              <w:rFonts w:cs="Times New Roman"/>
              <w:szCs w:val="24"/>
            </w:rPr>
            <w:t>saskaņā ar</w:t>
          </w:r>
        </w:sdtContent>
      </w:sdt>
    </w:p>
    <w:sdt>
      <w:sdtPr>
        <w:rPr>
          <w:rFonts w:cs="Times New Roman"/>
          <w:szCs w:val="24"/>
        </w:rPr>
        <w:id w:val="25447800"/>
        <w:placeholder>
          <w:docPart w:val="9C53538DD2AB4F54A78DA45693A2913D"/>
        </w:placeholder>
      </w:sdtPr>
      <w:sdtEndPr/>
      <w:sdtContent>
        <w:p w14:paraId="18BAB6B5" w14:textId="4DFFF546" w:rsidR="0015453B" w:rsidRDefault="0015453B" w:rsidP="00DB385B">
          <w:pPr>
            <w:jc w:val="right"/>
            <w:rPr>
              <w:rFonts w:cs="Times New Roman"/>
              <w:szCs w:val="24"/>
            </w:rPr>
          </w:pPr>
          <w:r>
            <w:rPr>
              <w:rFonts w:cs="Times New Roman"/>
              <w:szCs w:val="24"/>
            </w:rPr>
            <w:t>Apdrošināšanas un pārapdrošināšanas</w:t>
          </w:r>
          <w:r w:rsidR="00D551AD">
            <w:rPr>
              <w:rFonts w:cs="Times New Roman"/>
              <w:szCs w:val="24"/>
            </w:rPr>
            <w:t xml:space="preserve"> likuma</w:t>
          </w:r>
        </w:p>
        <w:p w14:paraId="6411B978" w14:textId="61CF6241" w:rsidR="00301089" w:rsidRDefault="0015453B" w:rsidP="00DB385B">
          <w:pPr>
            <w:jc w:val="right"/>
            <w:rPr>
              <w:rFonts w:cs="Times New Roman"/>
              <w:szCs w:val="24"/>
            </w:rPr>
          </w:pPr>
          <w:r>
            <w:rPr>
              <w:rFonts w:cs="Times New Roman"/>
              <w:szCs w:val="24"/>
            </w:rPr>
            <w:t>91</w:t>
          </w:r>
          <w:r w:rsidR="004F7255">
            <w:rPr>
              <w:rFonts w:cs="Times New Roman"/>
              <w:szCs w:val="24"/>
            </w:rPr>
            <w:t>.</w:t>
          </w:r>
          <w:r w:rsidR="002307D5">
            <w:rPr>
              <w:rFonts w:cs="Times New Roman"/>
              <w:szCs w:val="24"/>
            </w:rPr>
            <w:t> </w:t>
          </w:r>
          <w:r w:rsidR="004F7255">
            <w:rPr>
              <w:rFonts w:cs="Times New Roman"/>
              <w:szCs w:val="24"/>
            </w:rPr>
            <w:t xml:space="preserve">panta otro </w:t>
          </w:r>
          <w:r>
            <w:rPr>
              <w:rFonts w:cs="Times New Roman"/>
              <w:szCs w:val="24"/>
            </w:rPr>
            <w:t xml:space="preserve">daļu </w:t>
          </w:r>
          <w:r w:rsidR="0010771A">
            <w:rPr>
              <w:rFonts w:cs="Times New Roman"/>
              <w:szCs w:val="24"/>
            </w:rPr>
            <w:t xml:space="preserve">un </w:t>
          </w:r>
          <w:r>
            <w:rPr>
              <w:rFonts w:cs="Times New Roman"/>
              <w:szCs w:val="24"/>
            </w:rPr>
            <w:t>238. panta piekto</w:t>
          </w:r>
          <w:r w:rsidR="0010771A">
            <w:rPr>
              <w:rFonts w:cs="Times New Roman"/>
              <w:szCs w:val="24"/>
            </w:rPr>
            <w:t xml:space="preserve"> daļu</w:t>
          </w:r>
        </w:p>
      </w:sdtContent>
    </w:sdt>
    <w:p w14:paraId="49D5EEF6" w14:textId="75BC2772" w:rsidR="0015453B" w:rsidRPr="0015453B" w:rsidRDefault="0015453B" w:rsidP="0015453B">
      <w:pPr>
        <w:pStyle w:val="NApunkts1"/>
        <w:numPr>
          <w:ilvl w:val="0"/>
          <w:numId w:val="0"/>
        </w:numPr>
        <w:ind w:left="360" w:hanging="360"/>
      </w:pPr>
      <w:bookmarkStart w:id="1" w:name="es-730524"/>
      <w:bookmarkStart w:id="2" w:name="p213"/>
      <w:bookmarkStart w:id="3" w:name="p-730525"/>
      <w:bookmarkEnd w:id="1"/>
      <w:bookmarkEnd w:id="2"/>
      <w:bookmarkEnd w:id="3"/>
      <w:r w:rsidRPr="0015453B">
        <w:rPr>
          <w:b/>
          <w:bCs/>
        </w:rPr>
        <w:t>I. Vispārīgie jautājumi</w:t>
      </w:r>
    </w:p>
    <w:p w14:paraId="66044B09" w14:textId="49E3037E" w:rsidR="00864EB6" w:rsidRPr="006C7BD6" w:rsidRDefault="0015453B" w:rsidP="006C7BD6">
      <w:pPr>
        <w:numPr>
          <w:ilvl w:val="0"/>
          <w:numId w:val="2"/>
        </w:numPr>
        <w:spacing w:before="240"/>
        <w:ind w:left="0" w:firstLine="0"/>
        <w:jc w:val="both"/>
        <w:outlineLvl w:val="0"/>
        <w:rPr>
          <w:rFonts w:eastAsia="Times New Roman" w:cs="Times New Roman"/>
          <w:szCs w:val="24"/>
        </w:rPr>
      </w:pPr>
      <w:r w:rsidRPr="0015453B">
        <w:rPr>
          <w:rFonts w:eastAsia="Times New Roman" w:cs="Times New Roman"/>
          <w:szCs w:val="24"/>
        </w:rPr>
        <w:t xml:space="preserve">Noteikumi nosaka </w:t>
      </w:r>
      <w:r w:rsidR="006B34FB">
        <w:rPr>
          <w:rFonts w:eastAsia="Times New Roman" w:cs="Times New Roman"/>
          <w:szCs w:val="24"/>
        </w:rPr>
        <w:t xml:space="preserve">publiskošanas </w:t>
      </w:r>
      <w:r w:rsidR="003C5FFA">
        <w:rPr>
          <w:rFonts w:eastAsia="Times New Roman" w:cs="Times New Roman"/>
          <w:szCs w:val="24"/>
        </w:rPr>
        <w:t xml:space="preserve">prasības </w:t>
      </w:r>
      <w:r w:rsidRPr="0015453B">
        <w:rPr>
          <w:rFonts w:eastAsia="Times New Roman" w:cs="Times New Roman"/>
          <w:szCs w:val="24"/>
        </w:rPr>
        <w:t>ziņojum</w:t>
      </w:r>
      <w:r w:rsidR="006B34FB">
        <w:rPr>
          <w:rFonts w:eastAsia="Times New Roman" w:cs="Times New Roman"/>
          <w:szCs w:val="24"/>
        </w:rPr>
        <w:t>am</w:t>
      </w:r>
      <w:r w:rsidRPr="0015453B">
        <w:rPr>
          <w:rFonts w:eastAsia="Times New Roman" w:cs="Times New Roman"/>
          <w:szCs w:val="24"/>
        </w:rPr>
        <w:t xml:space="preserve"> par </w:t>
      </w:r>
      <w:r w:rsidRPr="00A62FF3">
        <w:rPr>
          <w:rFonts w:eastAsia="Times New Roman" w:cs="Times New Roman"/>
          <w:szCs w:val="24"/>
        </w:rPr>
        <w:t xml:space="preserve">apdrošināšanas </w:t>
      </w:r>
      <w:r w:rsidR="00A62FF3" w:rsidRPr="00A62FF3">
        <w:rPr>
          <w:rFonts w:eastAsia="Times New Roman" w:cs="Times New Roman"/>
          <w:szCs w:val="24"/>
        </w:rPr>
        <w:t>vai</w:t>
      </w:r>
      <w:r w:rsidRPr="0015453B">
        <w:rPr>
          <w:rFonts w:eastAsia="Times New Roman" w:cs="Times New Roman"/>
          <w:szCs w:val="24"/>
        </w:rPr>
        <w:t xml:space="preserve"> pārapdrošināšanas sabiedrības </w:t>
      </w:r>
      <w:r w:rsidR="006C7BD6">
        <w:rPr>
          <w:rFonts w:eastAsia="Times New Roman" w:cs="Times New Roman"/>
          <w:szCs w:val="24"/>
        </w:rPr>
        <w:t xml:space="preserve">(turpmāk – sabiedrība) </w:t>
      </w:r>
      <w:r w:rsidRPr="006C7BD6">
        <w:rPr>
          <w:rFonts w:eastAsia="Times New Roman" w:cs="Times New Roman"/>
          <w:szCs w:val="24"/>
        </w:rPr>
        <w:t>maksātspēju un finansiālo stāvokli individuālā un grupas līmenī</w:t>
      </w:r>
      <w:r w:rsidR="006B34FB" w:rsidRPr="006C7BD6">
        <w:rPr>
          <w:rFonts w:eastAsia="Times New Roman" w:cs="Times New Roman"/>
          <w:szCs w:val="24"/>
        </w:rPr>
        <w:t>.</w:t>
      </w:r>
      <w:r w:rsidRPr="006C7BD6">
        <w:rPr>
          <w:rFonts w:eastAsia="Times New Roman" w:cs="Times New Roman"/>
          <w:szCs w:val="24"/>
        </w:rPr>
        <w:t xml:space="preserve"> </w:t>
      </w:r>
    </w:p>
    <w:p w14:paraId="2F3D241F" w14:textId="2509CA99" w:rsidR="0015453B" w:rsidRPr="0015453B" w:rsidRDefault="0015453B" w:rsidP="0015453B">
      <w:pPr>
        <w:numPr>
          <w:ilvl w:val="0"/>
          <w:numId w:val="2"/>
        </w:numPr>
        <w:spacing w:before="240"/>
        <w:ind w:left="0" w:firstLine="0"/>
        <w:jc w:val="both"/>
        <w:outlineLvl w:val="0"/>
        <w:rPr>
          <w:rFonts w:eastAsia="Times New Roman" w:cs="Times New Roman"/>
          <w:szCs w:val="24"/>
        </w:rPr>
      </w:pPr>
      <w:r w:rsidRPr="0015453B">
        <w:rPr>
          <w:rFonts w:eastAsia="Times New Roman" w:cs="Times New Roman"/>
          <w:szCs w:val="24"/>
        </w:rPr>
        <w:t xml:space="preserve">Sagatavojot ziņojumu par sabiedrības maksātspēju un finansiālo stāvokli (turpmāk – ziņojums), papildus šajos noteikumos </w:t>
      </w:r>
      <w:r w:rsidR="00F9083D">
        <w:rPr>
          <w:rFonts w:eastAsia="Times New Roman" w:cs="Times New Roman"/>
          <w:szCs w:val="24"/>
        </w:rPr>
        <w:t>noteiktajām prasībām</w:t>
      </w:r>
      <w:r w:rsidRPr="0015453B">
        <w:rPr>
          <w:rFonts w:eastAsia="Times New Roman" w:cs="Times New Roman"/>
          <w:szCs w:val="24"/>
        </w:rPr>
        <w:t xml:space="preserve"> sabiedrība ievēro Eiropas Komisijas </w:t>
      </w:r>
      <w:r w:rsidR="006B34FB" w:rsidRPr="006B34FB">
        <w:rPr>
          <w:rFonts w:eastAsia="Times New Roman" w:cs="Times New Roman"/>
          <w:szCs w:val="24"/>
        </w:rPr>
        <w:t>2014.</w:t>
      </w:r>
      <w:r w:rsidR="006B34FB">
        <w:rPr>
          <w:rFonts w:eastAsia="Times New Roman" w:cs="Times New Roman"/>
          <w:szCs w:val="24"/>
        </w:rPr>
        <w:t> </w:t>
      </w:r>
      <w:r w:rsidR="006B34FB" w:rsidRPr="006B34FB">
        <w:rPr>
          <w:rFonts w:eastAsia="Times New Roman" w:cs="Times New Roman"/>
          <w:szCs w:val="24"/>
        </w:rPr>
        <w:t>gada 10.</w:t>
      </w:r>
      <w:r w:rsidR="006B34FB">
        <w:rPr>
          <w:rFonts w:eastAsia="Times New Roman" w:cs="Times New Roman"/>
          <w:szCs w:val="24"/>
        </w:rPr>
        <w:t> </w:t>
      </w:r>
      <w:r w:rsidR="006B34FB" w:rsidRPr="006B34FB">
        <w:rPr>
          <w:rFonts w:eastAsia="Times New Roman" w:cs="Times New Roman"/>
          <w:szCs w:val="24"/>
        </w:rPr>
        <w:t>oktobr</w:t>
      </w:r>
      <w:r w:rsidR="006B34FB">
        <w:rPr>
          <w:rFonts w:eastAsia="Times New Roman" w:cs="Times New Roman"/>
          <w:szCs w:val="24"/>
        </w:rPr>
        <w:t>a</w:t>
      </w:r>
      <w:r w:rsidR="00864EB6">
        <w:rPr>
          <w:rFonts w:eastAsia="Times New Roman" w:cs="Times New Roman"/>
          <w:szCs w:val="24"/>
        </w:rPr>
        <w:t xml:space="preserve"> d</w:t>
      </w:r>
      <w:r w:rsidRPr="0015453B">
        <w:rPr>
          <w:rFonts w:eastAsia="Times New Roman" w:cs="Times New Roman"/>
          <w:szCs w:val="24"/>
        </w:rPr>
        <w:t>eleģētās regulas (ES) </w:t>
      </w:r>
      <w:hyperlink r:id="rId8" w:tgtFrame="_blank" w:history="1">
        <w:r w:rsidRPr="0015453B">
          <w:rPr>
            <w:rFonts w:eastAsia="Times New Roman" w:cs="Times New Roman"/>
            <w:szCs w:val="24"/>
          </w:rPr>
          <w:t>2015/35</w:t>
        </w:r>
      </w:hyperlink>
      <w:r w:rsidRPr="0015453B">
        <w:rPr>
          <w:rFonts w:eastAsia="Times New Roman" w:cs="Times New Roman"/>
          <w:szCs w:val="24"/>
        </w:rPr>
        <w:t xml:space="preserve">, ar ko papildina Eiropas Parlamenta un Padomes </w:t>
      </w:r>
      <w:r w:rsidR="004F4BE8">
        <w:rPr>
          <w:rFonts w:eastAsia="Times New Roman" w:cs="Times New Roman"/>
          <w:szCs w:val="24"/>
        </w:rPr>
        <w:t>d</w:t>
      </w:r>
      <w:r w:rsidRPr="0015453B">
        <w:rPr>
          <w:rFonts w:eastAsia="Times New Roman" w:cs="Times New Roman"/>
          <w:szCs w:val="24"/>
        </w:rPr>
        <w:t>irektīvu</w:t>
      </w:r>
      <w:r w:rsidR="00901349">
        <w:rPr>
          <w:rFonts w:eastAsia="Times New Roman" w:cs="Times New Roman"/>
          <w:szCs w:val="24"/>
        </w:rPr>
        <w:t> </w:t>
      </w:r>
      <w:hyperlink r:id="rId9" w:tgtFrame="_blank" w:history="1">
        <w:r w:rsidRPr="0015453B">
          <w:rPr>
            <w:rFonts w:eastAsia="Times New Roman" w:cs="Times New Roman"/>
            <w:szCs w:val="24"/>
          </w:rPr>
          <w:t>2009/138/EK</w:t>
        </w:r>
      </w:hyperlink>
      <w:r w:rsidR="005F71EB">
        <w:rPr>
          <w:rFonts w:eastAsia="Times New Roman" w:cs="Times New Roman"/>
          <w:szCs w:val="24"/>
        </w:rPr>
        <w:t xml:space="preserve"> </w:t>
      </w:r>
      <w:r w:rsidRPr="0015453B">
        <w:rPr>
          <w:rFonts w:eastAsia="Times New Roman" w:cs="Times New Roman"/>
          <w:szCs w:val="24"/>
        </w:rPr>
        <w:t>par uzņēmējdarbības uzsākšanu un veikšanu apdrošināšanas un pārapdrošināšanas jomā (Maksātspēja</w:t>
      </w:r>
      <w:r w:rsidR="00901349">
        <w:rPr>
          <w:rFonts w:eastAsia="Times New Roman" w:cs="Times New Roman"/>
          <w:szCs w:val="24"/>
        </w:rPr>
        <w:t> </w:t>
      </w:r>
      <w:r w:rsidRPr="0015453B">
        <w:rPr>
          <w:rFonts w:eastAsia="Times New Roman" w:cs="Times New Roman"/>
          <w:szCs w:val="24"/>
        </w:rPr>
        <w:t>II) (turpmāk – Regula</w:t>
      </w:r>
      <w:r w:rsidR="00901349">
        <w:rPr>
          <w:rFonts w:eastAsia="Times New Roman" w:cs="Times New Roman"/>
          <w:szCs w:val="24"/>
        </w:rPr>
        <w:t> </w:t>
      </w:r>
      <w:hyperlink r:id="rId10" w:tgtFrame="_blank" w:history="1">
        <w:r w:rsidRPr="0015453B">
          <w:rPr>
            <w:rFonts w:eastAsia="Times New Roman" w:cs="Times New Roman"/>
            <w:szCs w:val="24"/>
          </w:rPr>
          <w:t>2015/35</w:t>
        </w:r>
      </w:hyperlink>
      <w:r w:rsidRPr="0015453B">
        <w:rPr>
          <w:rFonts w:eastAsia="Times New Roman" w:cs="Times New Roman"/>
          <w:szCs w:val="24"/>
        </w:rPr>
        <w:t>) I</w:t>
      </w:r>
      <w:r w:rsidR="003A4D2A">
        <w:rPr>
          <w:rFonts w:eastAsia="Times New Roman" w:cs="Times New Roman"/>
          <w:szCs w:val="24"/>
        </w:rPr>
        <w:t> </w:t>
      </w:r>
      <w:r w:rsidRPr="0015453B">
        <w:rPr>
          <w:rFonts w:eastAsia="Times New Roman" w:cs="Times New Roman"/>
          <w:szCs w:val="24"/>
        </w:rPr>
        <w:t>sadaļas XII nodaļas prasības.</w:t>
      </w:r>
    </w:p>
    <w:p w14:paraId="579F93A0" w14:textId="03AE108D" w:rsidR="0015453B" w:rsidRPr="0015453B" w:rsidRDefault="0015453B" w:rsidP="0015453B">
      <w:pPr>
        <w:numPr>
          <w:ilvl w:val="0"/>
          <w:numId w:val="2"/>
        </w:numPr>
        <w:spacing w:before="240"/>
        <w:ind w:left="0" w:firstLine="0"/>
        <w:jc w:val="both"/>
        <w:outlineLvl w:val="0"/>
        <w:rPr>
          <w:rFonts w:eastAsia="Times New Roman" w:cs="Times New Roman"/>
          <w:szCs w:val="24"/>
        </w:rPr>
      </w:pPr>
      <w:r w:rsidRPr="0015453B">
        <w:rPr>
          <w:rFonts w:eastAsia="Times New Roman" w:cs="Times New Roman"/>
          <w:szCs w:val="24"/>
        </w:rPr>
        <w:t xml:space="preserve">Apdrošināšanas vai pārapdrošināšanas dalības sabiedrība, apdrošināšanas </w:t>
      </w:r>
      <w:proofErr w:type="spellStart"/>
      <w:r w:rsidRPr="00A62FF3">
        <w:rPr>
          <w:rFonts w:eastAsia="Times New Roman" w:cs="Times New Roman"/>
          <w:szCs w:val="24"/>
        </w:rPr>
        <w:t>pārvaldītājsabiedrība</w:t>
      </w:r>
      <w:proofErr w:type="spellEnd"/>
      <w:r w:rsidRPr="00A62FF3">
        <w:rPr>
          <w:rFonts w:eastAsia="Times New Roman" w:cs="Times New Roman"/>
          <w:szCs w:val="24"/>
        </w:rPr>
        <w:t xml:space="preserve"> vai jaukta</w:t>
      </w:r>
      <w:r w:rsidRPr="0015453B">
        <w:rPr>
          <w:rFonts w:eastAsia="Times New Roman" w:cs="Times New Roman"/>
          <w:szCs w:val="24"/>
        </w:rPr>
        <w:t xml:space="preserve"> finanšu </w:t>
      </w:r>
      <w:proofErr w:type="spellStart"/>
      <w:r w:rsidRPr="0015453B">
        <w:rPr>
          <w:rFonts w:eastAsia="Times New Roman" w:cs="Times New Roman"/>
          <w:szCs w:val="24"/>
        </w:rPr>
        <w:t>pārvaldītājsabiedrība</w:t>
      </w:r>
      <w:proofErr w:type="spellEnd"/>
      <w:r w:rsidRPr="0015453B">
        <w:rPr>
          <w:rFonts w:eastAsia="Times New Roman" w:cs="Times New Roman"/>
          <w:szCs w:val="24"/>
        </w:rPr>
        <w:t>, piemērojot šo noteikumu prasības grupas līmenī, ievēro</w:t>
      </w:r>
      <w:r w:rsidR="005F71EB">
        <w:rPr>
          <w:rFonts w:eastAsia="Times New Roman" w:cs="Times New Roman"/>
          <w:szCs w:val="24"/>
        </w:rPr>
        <w:t xml:space="preserve"> </w:t>
      </w:r>
      <w:hyperlink r:id="rId11" w:tgtFrame="_blank" w:history="1">
        <w:r w:rsidRPr="0015453B">
          <w:rPr>
            <w:rFonts w:eastAsia="Times New Roman" w:cs="Times New Roman"/>
            <w:szCs w:val="24"/>
          </w:rPr>
          <w:t>Apdrošināšanas un pārapdrošināšanas likuma</w:t>
        </w:r>
      </w:hyperlink>
      <w:r w:rsidRPr="0015453B">
        <w:rPr>
          <w:rFonts w:eastAsia="Times New Roman" w:cs="Times New Roman"/>
          <w:szCs w:val="24"/>
        </w:rPr>
        <w:t xml:space="preserve"> </w:t>
      </w:r>
      <w:hyperlink r:id="rId12" w:anchor="p238" w:tgtFrame="_blank" w:history="1">
        <w:r w:rsidRPr="0015453B">
          <w:rPr>
            <w:rFonts w:eastAsia="Times New Roman" w:cs="Times New Roman"/>
            <w:szCs w:val="24"/>
          </w:rPr>
          <w:t>238. pantā</w:t>
        </w:r>
      </w:hyperlink>
      <w:r w:rsidRPr="0015453B">
        <w:rPr>
          <w:rFonts w:eastAsia="Times New Roman" w:cs="Times New Roman"/>
          <w:szCs w:val="24"/>
        </w:rPr>
        <w:t xml:space="preserve"> noteikt</w:t>
      </w:r>
      <w:r w:rsidR="0001115B">
        <w:rPr>
          <w:rFonts w:eastAsia="Times New Roman" w:cs="Times New Roman"/>
          <w:szCs w:val="24"/>
        </w:rPr>
        <w:t>ās prasības</w:t>
      </w:r>
      <w:r w:rsidRPr="0015453B">
        <w:rPr>
          <w:rFonts w:eastAsia="Times New Roman" w:cs="Times New Roman"/>
          <w:szCs w:val="24"/>
        </w:rPr>
        <w:t xml:space="preserve"> par informācijas publiskošanu, kā arī Regulas</w:t>
      </w:r>
      <w:r w:rsidR="00901349">
        <w:rPr>
          <w:rFonts w:eastAsia="Times New Roman" w:cs="Times New Roman"/>
          <w:szCs w:val="24"/>
        </w:rPr>
        <w:t> </w:t>
      </w:r>
      <w:hyperlink r:id="rId13" w:tgtFrame="_blank" w:history="1">
        <w:r w:rsidRPr="0015453B">
          <w:rPr>
            <w:rFonts w:eastAsia="Times New Roman" w:cs="Times New Roman"/>
            <w:szCs w:val="24"/>
          </w:rPr>
          <w:t>2015/35</w:t>
        </w:r>
      </w:hyperlink>
      <w:r w:rsidR="006156DB">
        <w:rPr>
          <w:rFonts w:eastAsia="Times New Roman" w:cs="Times New Roman"/>
          <w:szCs w:val="24"/>
        </w:rPr>
        <w:t xml:space="preserve"> </w:t>
      </w:r>
      <w:r w:rsidRPr="0015453B">
        <w:rPr>
          <w:rFonts w:eastAsia="Times New Roman" w:cs="Times New Roman"/>
          <w:szCs w:val="24"/>
        </w:rPr>
        <w:t>II</w:t>
      </w:r>
      <w:r w:rsidR="006156DB">
        <w:rPr>
          <w:rFonts w:eastAsia="Times New Roman" w:cs="Times New Roman"/>
          <w:szCs w:val="24"/>
        </w:rPr>
        <w:t> </w:t>
      </w:r>
      <w:r w:rsidRPr="0015453B">
        <w:rPr>
          <w:rFonts w:eastAsia="Times New Roman" w:cs="Times New Roman"/>
          <w:szCs w:val="24"/>
        </w:rPr>
        <w:t>sadaļas V nodaļā noteiktās prasības ziņojumam par grupas maksātspēju un finansiālo stāvokli vai vienotajam ziņojumam par maksātspēju un finansiālo stāvokli</w:t>
      </w:r>
      <w:r w:rsidR="00460510">
        <w:rPr>
          <w:rFonts w:eastAsia="Times New Roman" w:cs="Times New Roman"/>
          <w:szCs w:val="24"/>
        </w:rPr>
        <w:t>.</w:t>
      </w:r>
    </w:p>
    <w:p w14:paraId="1FEF3D37" w14:textId="77777777" w:rsidR="0015453B" w:rsidRPr="0015453B" w:rsidRDefault="0015453B" w:rsidP="0015453B">
      <w:pPr>
        <w:numPr>
          <w:ilvl w:val="0"/>
          <w:numId w:val="2"/>
        </w:numPr>
        <w:spacing w:before="240"/>
        <w:ind w:left="0" w:firstLine="0"/>
        <w:jc w:val="both"/>
        <w:outlineLvl w:val="0"/>
        <w:rPr>
          <w:rFonts w:eastAsia="Times New Roman" w:cs="Times New Roman"/>
          <w:szCs w:val="24"/>
        </w:rPr>
      </w:pPr>
      <w:r w:rsidRPr="0015453B">
        <w:rPr>
          <w:rFonts w:eastAsia="Times New Roman" w:cs="Times New Roman"/>
          <w:szCs w:val="24"/>
        </w:rPr>
        <w:t>Ārvalsts apdrošinātājs, kura filiāle ir tiesīga sniegt apdrošināšanas pakalpojumus Latvijas Republikā, nodrošina, ka šādas filiāles apdrošinājuma ņēmēji var saņemt publiskoto ziņojumu par ārvalsts apdrošinātāja maksātspēju un finansiālo stāvokli, ja ārvalsts normatīvie akti nosaka šādas informācijas publisku pieejamību.</w:t>
      </w:r>
    </w:p>
    <w:p w14:paraId="380C2386" w14:textId="77777777" w:rsidR="0015453B" w:rsidRPr="0015453B" w:rsidRDefault="0015453B" w:rsidP="0015453B">
      <w:pPr>
        <w:numPr>
          <w:ilvl w:val="0"/>
          <w:numId w:val="2"/>
        </w:numPr>
        <w:spacing w:before="240"/>
        <w:jc w:val="both"/>
        <w:outlineLvl w:val="0"/>
        <w:rPr>
          <w:rFonts w:eastAsia="Times New Roman" w:cs="Times New Roman"/>
          <w:szCs w:val="24"/>
        </w:rPr>
      </w:pPr>
      <w:r w:rsidRPr="0015453B">
        <w:rPr>
          <w:rFonts w:eastAsia="Times New Roman" w:cs="Times New Roman"/>
          <w:szCs w:val="24"/>
        </w:rPr>
        <w:t>Ziņojumā ietvertā informācija atbilst šādiem principiem:</w:t>
      </w:r>
    </w:p>
    <w:p w14:paraId="44BB9C87" w14:textId="0220A628" w:rsidR="0015453B" w:rsidRPr="0015453B" w:rsidRDefault="00AC3F68" w:rsidP="0015453B">
      <w:pPr>
        <w:shd w:val="clear" w:color="auto" w:fill="FFFFFF"/>
        <w:jc w:val="both"/>
        <w:rPr>
          <w:rFonts w:eastAsia="Times New Roman" w:cs="Times New Roman"/>
          <w:szCs w:val="24"/>
        </w:rPr>
      </w:pPr>
      <w:r>
        <w:rPr>
          <w:rFonts w:eastAsia="Times New Roman" w:cs="Times New Roman"/>
          <w:szCs w:val="24"/>
        </w:rPr>
        <w:t>5</w:t>
      </w:r>
      <w:r w:rsidR="0015453B" w:rsidRPr="0015453B">
        <w:rPr>
          <w:rFonts w:eastAsia="Times New Roman" w:cs="Times New Roman"/>
          <w:szCs w:val="24"/>
        </w:rPr>
        <w:t xml:space="preserve">.1. tā atspoguļo sabiedrības darbības veidu, apmēru un sarežģītību un īpaši </w:t>
      </w:r>
      <w:r w:rsidR="00CF45A8">
        <w:rPr>
          <w:rFonts w:eastAsia="Times New Roman" w:cs="Times New Roman"/>
          <w:szCs w:val="24"/>
        </w:rPr>
        <w:t>konkrētaj</w:t>
      </w:r>
      <w:r w:rsidR="0015453B" w:rsidRPr="0015453B">
        <w:rPr>
          <w:rFonts w:eastAsia="Times New Roman" w:cs="Times New Roman"/>
          <w:szCs w:val="24"/>
        </w:rPr>
        <w:t>ai sabiedrībai raksturīgos riskus;</w:t>
      </w:r>
    </w:p>
    <w:p w14:paraId="6C70C081" w14:textId="5F7E7DCE" w:rsidR="0015453B" w:rsidRPr="0015453B" w:rsidRDefault="00AC3F68" w:rsidP="0015453B">
      <w:pPr>
        <w:shd w:val="clear" w:color="auto" w:fill="FFFFFF"/>
        <w:jc w:val="both"/>
        <w:rPr>
          <w:rFonts w:eastAsia="Times New Roman" w:cs="Times New Roman"/>
          <w:szCs w:val="24"/>
        </w:rPr>
      </w:pPr>
      <w:r>
        <w:rPr>
          <w:rFonts w:eastAsia="Times New Roman" w:cs="Times New Roman"/>
          <w:szCs w:val="24"/>
        </w:rPr>
        <w:t>5</w:t>
      </w:r>
      <w:r w:rsidR="0015453B" w:rsidRPr="0015453B">
        <w:rPr>
          <w:rFonts w:eastAsia="Times New Roman" w:cs="Times New Roman"/>
          <w:szCs w:val="24"/>
        </w:rPr>
        <w:t>.2. tā ir publiski pieejama, pilnīga visos būtiskajos aspektos, kā arī salīdzināma un ilgstošā laika posmā konsekventa;</w:t>
      </w:r>
    </w:p>
    <w:p w14:paraId="3C96106C" w14:textId="12AD2B45" w:rsidR="0015453B" w:rsidRPr="0015453B" w:rsidRDefault="00AC3F68" w:rsidP="0015453B">
      <w:pPr>
        <w:jc w:val="both"/>
        <w:outlineLvl w:val="0"/>
        <w:rPr>
          <w:rFonts w:eastAsia="Times New Roman" w:cs="Times New Roman"/>
          <w:szCs w:val="24"/>
        </w:rPr>
      </w:pPr>
      <w:r>
        <w:rPr>
          <w:rFonts w:eastAsia="Times New Roman" w:cs="Times New Roman"/>
          <w:szCs w:val="24"/>
        </w:rPr>
        <w:t>5</w:t>
      </w:r>
      <w:r w:rsidR="0015453B" w:rsidRPr="0015453B">
        <w:rPr>
          <w:rFonts w:eastAsia="Times New Roman" w:cs="Times New Roman"/>
          <w:szCs w:val="24"/>
        </w:rPr>
        <w:t>.3. tā ir atbilstoša, ticama un visaptveroša.</w:t>
      </w:r>
    </w:p>
    <w:p w14:paraId="6400C6F0" w14:textId="4E6A7AF8" w:rsidR="0015453B" w:rsidRPr="0015453B" w:rsidRDefault="0015453B" w:rsidP="0015453B">
      <w:pPr>
        <w:numPr>
          <w:ilvl w:val="0"/>
          <w:numId w:val="2"/>
        </w:numPr>
        <w:spacing w:before="240"/>
        <w:ind w:left="0" w:firstLine="0"/>
        <w:jc w:val="both"/>
        <w:outlineLvl w:val="0"/>
        <w:rPr>
          <w:rFonts w:eastAsia="Times New Roman" w:cs="Times New Roman"/>
          <w:szCs w:val="24"/>
        </w:rPr>
      </w:pPr>
      <w:r w:rsidRPr="0015453B">
        <w:rPr>
          <w:rFonts w:eastAsia="Times New Roman" w:cs="Times New Roman"/>
          <w:szCs w:val="24"/>
        </w:rPr>
        <w:t>Sabiedrība apstiprina informācijas atklāšanas politiku šajos noteikumos minēto prasību izpildei un nosaka procedūras ziņojumā atklātās informācijas atbilstības vērtēšanai</w:t>
      </w:r>
      <w:r w:rsidR="002F4CBA">
        <w:rPr>
          <w:rFonts w:eastAsia="Times New Roman" w:cs="Times New Roman"/>
          <w:szCs w:val="24"/>
        </w:rPr>
        <w:t xml:space="preserve"> </w:t>
      </w:r>
      <w:r w:rsidR="002F4CBA">
        <w:rPr>
          <w:rFonts w:eastAsia="Times New Roman" w:cs="Times New Roman"/>
          <w:szCs w:val="24"/>
        </w:rPr>
        <w:lastRenderedPageBreak/>
        <w:t>(</w:t>
      </w:r>
      <w:r w:rsidRPr="0015453B">
        <w:rPr>
          <w:rFonts w:eastAsia="Times New Roman" w:cs="Times New Roman"/>
          <w:szCs w:val="24"/>
        </w:rPr>
        <w:t>piemēram, nosaka publiskojamās informācijas pārbaudes kārtību un regularitāti u.</w:t>
      </w:r>
      <w:r w:rsidR="0001115B">
        <w:rPr>
          <w:rFonts w:eastAsia="Times New Roman" w:cs="Times New Roman"/>
          <w:szCs w:val="24"/>
        </w:rPr>
        <w:t> </w:t>
      </w:r>
      <w:r w:rsidRPr="0015453B">
        <w:rPr>
          <w:rFonts w:eastAsia="Times New Roman" w:cs="Times New Roman"/>
          <w:szCs w:val="24"/>
        </w:rPr>
        <w:t>tml.</w:t>
      </w:r>
      <w:r w:rsidR="002F4CBA">
        <w:rPr>
          <w:rFonts w:eastAsia="Times New Roman" w:cs="Times New Roman"/>
          <w:szCs w:val="24"/>
        </w:rPr>
        <w:t>).</w:t>
      </w:r>
      <w:r w:rsidRPr="0015453B">
        <w:rPr>
          <w:rFonts w:eastAsia="Times New Roman" w:cs="Times New Roman"/>
          <w:szCs w:val="24"/>
        </w:rPr>
        <w:t xml:space="preserve"> Ņemot vērā darbības būtiskās iezīmes (piemēram, darījumu apmēr</w:t>
      </w:r>
      <w:r w:rsidR="00F9083D">
        <w:rPr>
          <w:rFonts w:eastAsia="Times New Roman" w:cs="Times New Roman"/>
          <w:szCs w:val="24"/>
        </w:rPr>
        <w:t>u</w:t>
      </w:r>
      <w:r w:rsidRPr="0015453B">
        <w:rPr>
          <w:rFonts w:eastAsia="Times New Roman" w:cs="Times New Roman"/>
          <w:szCs w:val="24"/>
        </w:rPr>
        <w:t>, darbīb</w:t>
      </w:r>
      <w:r w:rsidR="00F9083D">
        <w:rPr>
          <w:rFonts w:eastAsia="Times New Roman" w:cs="Times New Roman"/>
          <w:szCs w:val="24"/>
        </w:rPr>
        <w:t>u</w:t>
      </w:r>
      <w:r w:rsidRPr="0015453B">
        <w:rPr>
          <w:rFonts w:eastAsia="Times New Roman" w:cs="Times New Roman"/>
          <w:szCs w:val="24"/>
        </w:rPr>
        <w:t xml:space="preserve"> dažādās valstīs), sabiedrība novērtē, vai ir nepieciešams publiskot ziņojumā plašāku informāciju, nekā noteikts šo noteikumu</w:t>
      </w:r>
      <w:hyperlink r:id="rId14" w:anchor="n2" w:history="1">
        <w:r w:rsidRPr="0015453B">
          <w:rPr>
            <w:rFonts w:eastAsia="Times New Roman" w:cs="Times New Roman"/>
            <w:szCs w:val="24"/>
          </w:rPr>
          <w:t> II nodaļā</w:t>
        </w:r>
      </w:hyperlink>
      <w:r w:rsidRPr="0015453B">
        <w:rPr>
          <w:rFonts w:eastAsia="Times New Roman" w:cs="Times New Roman"/>
          <w:szCs w:val="24"/>
        </w:rPr>
        <w:t>, un darīt to biežāk nekā reizi gadā.</w:t>
      </w:r>
    </w:p>
    <w:p w14:paraId="0CDCDEE0" w14:textId="65FC6764" w:rsidR="0015453B" w:rsidRPr="0015453B" w:rsidRDefault="0015453B" w:rsidP="0015453B">
      <w:pPr>
        <w:numPr>
          <w:ilvl w:val="0"/>
          <w:numId w:val="2"/>
        </w:numPr>
        <w:spacing w:before="240"/>
        <w:ind w:left="0" w:firstLine="0"/>
        <w:jc w:val="both"/>
        <w:outlineLvl w:val="0"/>
        <w:rPr>
          <w:rFonts w:eastAsia="Times New Roman" w:cs="Times New Roman"/>
          <w:szCs w:val="24"/>
        </w:rPr>
      </w:pPr>
      <w:r w:rsidRPr="0015453B">
        <w:rPr>
          <w:rFonts w:eastAsia="Times New Roman" w:cs="Times New Roman"/>
          <w:szCs w:val="24"/>
        </w:rPr>
        <w:t>Sabiedrība vismaz reizi gadā, bet ne vēlāk kā 14</w:t>
      </w:r>
      <w:r w:rsidR="00901349">
        <w:rPr>
          <w:rFonts w:eastAsia="Times New Roman" w:cs="Times New Roman"/>
          <w:szCs w:val="24"/>
        </w:rPr>
        <w:t> </w:t>
      </w:r>
      <w:r w:rsidRPr="0015453B">
        <w:rPr>
          <w:rFonts w:eastAsia="Times New Roman" w:cs="Times New Roman"/>
          <w:szCs w:val="24"/>
        </w:rPr>
        <w:t>nedēļas pēc attiecīgā pārskata gada beigām publisko ziņojumu, kurš sagatavots saskaņā ar šo noteikumu prasībām par stāvokli pārskata gada beigu datumā. Ziņojumu par grupas maksātspēju un finansiālo stāvokli vai vienot</w:t>
      </w:r>
      <w:r w:rsidR="0001115B">
        <w:rPr>
          <w:rFonts w:eastAsia="Times New Roman" w:cs="Times New Roman"/>
          <w:szCs w:val="24"/>
        </w:rPr>
        <w:t>o</w:t>
      </w:r>
      <w:r w:rsidRPr="0015453B">
        <w:rPr>
          <w:rFonts w:eastAsia="Times New Roman" w:cs="Times New Roman"/>
          <w:szCs w:val="24"/>
        </w:rPr>
        <w:t xml:space="preserve"> ziņojumu par maksātspēju un finansiālo stāvokli </w:t>
      </w:r>
      <w:r w:rsidRPr="00A62FF3">
        <w:rPr>
          <w:rFonts w:eastAsia="Times New Roman" w:cs="Times New Roman"/>
          <w:szCs w:val="24"/>
        </w:rPr>
        <w:t xml:space="preserve">apdrošināšanas vai pārapdrošināšanas dalības sabiedrība, apdrošināšanas </w:t>
      </w:r>
      <w:proofErr w:type="spellStart"/>
      <w:r w:rsidRPr="00A62FF3">
        <w:rPr>
          <w:rFonts w:eastAsia="Times New Roman" w:cs="Times New Roman"/>
          <w:szCs w:val="24"/>
        </w:rPr>
        <w:t>pārvaldītājsabiedrība</w:t>
      </w:r>
      <w:proofErr w:type="spellEnd"/>
      <w:r w:rsidRPr="00A62FF3">
        <w:rPr>
          <w:rFonts w:eastAsia="Times New Roman" w:cs="Times New Roman"/>
          <w:szCs w:val="24"/>
        </w:rPr>
        <w:t xml:space="preserve"> vai jaukta</w:t>
      </w:r>
      <w:r w:rsidRPr="0015453B">
        <w:rPr>
          <w:rFonts w:eastAsia="Times New Roman" w:cs="Times New Roman"/>
          <w:szCs w:val="24"/>
        </w:rPr>
        <w:t xml:space="preserve"> finanšu </w:t>
      </w:r>
      <w:proofErr w:type="spellStart"/>
      <w:r w:rsidRPr="0015453B">
        <w:rPr>
          <w:rFonts w:eastAsia="Times New Roman" w:cs="Times New Roman"/>
          <w:szCs w:val="24"/>
        </w:rPr>
        <w:t>pārvaldītājsabiedrība</w:t>
      </w:r>
      <w:proofErr w:type="spellEnd"/>
      <w:r w:rsidRPr="0015453B">
        <w:rPr>
          <w:rFonts w:eastAsia="Times New Roman" w:cs="Times New Roman"/>
          <w:szCs w:val="24"/>
        </w:rPr>
        <w:t xml:space="preserve"> publisko vismaz reizi gadā Regulas</w:t>
      </w:r>
      <w:r w:rsidR="00901349">
        <w:rPr>
          <w:rFonts w:eastAsia="Times New Roman" w:cs="Times New Roman"/>
          <w:szCs w:val="24"/>
        </w:rPr>
        <w:t> </w:t>
      </w:r>
      <w:hyperlink r:id="rId15" w:tgtFrame="_blank" w:history="1">
        <w:r w:rsidRPr="0015453B">
          <w:rPr>
            <w:rFonts w:eastAsia="Times New Roman" w:cs="Times New Roman"/>
            <w:szCs w:val="24"/>
          </w:rPr>
          <w:t>2015/35</w:t>
        </w:r>
      </w:hyperlink>
      <w:r w:rsidRPr="0015453B">
        <w:rPr>
          <w:rFonts w:eastAsia="Times New Roman" w:cs="Times New Roman"/>
          <w:szCs w:val="24"/>
        </w:rPr>
        <w:t xml:space="preserve"> 362. vai 369. pantā noteiktajos termiņos.</w:t>
      </w:r>
    </w:p>
    <w:p w14:paraId="105EEA41" w14:textId="1F17455E" w:rsidR="0015453B" w:rsidRPr="0015453B" w:rsidRDefault="0015453B" w:rsidP="0015453B">
      <w:pPr>
        <w:numPr>
          <w:ilvl w:val="0"/>
          <w:numId w:val="2"/>
        </w:numPr>
        <w:spacing w:before="240"/>
        <w:ind w:left="0" w:firstLine="0"/>
        <w:jc w:val="both"/>
        <w:outlineLvl w:val="0"/>
        <w:rPr>
          <w:rFonts w:eastAsia="Times New Roman" w:cs="Times New Roman"/>
          <w:szCs w:val="24"/>
        </w:rPr>
      </w:pPr>
      <w:r w:rsidRPr="0015453B">
        <w:rPr>
          <w:rFonts w:eastAsia="Times New Roman" w:cs="Times New Roman"/>
          <w:szCs w:val="24"/>
        </w:rPr>
        <w:t>Ziņojuma p</w:t>
      </w:r>
      <w:r w:rsidRPr="00A62FF3">
        <w:rPr>
          <w:rFonts w:eastAsia="Times New Roman" w:cs="Times New Roman"/>
          <w:szCs w:val="24"/>
        </w:rPr>
        <w:t>ubli</w:t>
      </w:r>
      <w:r w:rsidR="005473A2" w:rsidRPr="002E2BA3">
        <w:rPr>
          <w:rFonts w:eastAsia="Times New Roman" w:cs="Times New Roman"/>
          <w:szCs w:val="24"/>
        </w:rPr>
        <w:t>sko</w:t>
      </w:r>
      <w:r w:rsidRPr="00A62FF3">
        <w:rPr>
          <w:rFonts w:eastAsia="Times New Roman" w:cs="Times New Roman"/>
          <w:szCs w:val="24"/>
        </w:rPr>
        <w:t>šanas</w:t>
      </w:r>
      <w:r w:rsidRPr="0015453B">
        <w:rPr>
          <w:rFonts w:eastAsia="Times New Roman" w:cs="Times New Roman"/>
          <w:szCs w:val="24"/>
        </w:rPr>
        <w:t xml:space="preserve"> vietu sabiedrība nosaka saskaņā ar Regulas</w:t>
      </w:r>
      <w:r w:rsidR="00901349">
        <w:rPr>
          <w:rFonts w:eastAsia="Times New Roman" w:cs="Times New Roman"/>
          <w:szCs w:val="24"/>
        </w:rPr>
        <w:t> </w:t>
      </w:r>
      <w:hyperlink r:id="rId16" w:tgtFrame="_blank" w:history="1">
        <w:r w:rsidRPr="0015453B">
          <w:rPr>
            <w:rFonts w:eastAsia="Times New Roman" w:cs="Times New Roman"/>
            <w:szCs w:val="24"/>
          </w:rPr>
          <w:t>2015/35</w:t>
        </w:r>
      </w:hyperlink>
      <w:r w:rsidRPr="0015453B">
        <w:rPr>
          <w:rFonts w:eastAsia="Times New Roman" w:cs="Times New Roman"/>
          <w:szCs w:val="24"/>
        </w:rPr>
        <w:t xml:space="preserve"> 301. pantā minēto.</w:t>
      </w:r>
    </w:p>
    <w:p w14:paraId="244D7FE7" w14:textId="0F5BD5C9" w:rsidR="0015453B" w:rsidRPr="0015453B" w:rsidRDefault="0015453B" w:rsidP="0015453B">
      <w:pPr>
        <w:numPr>
          <w:ilvl w:val="0"/>
          <w:numId w:val="2"/>
        </w:numPr>
        <w:spacing w:before="240"/>
        <w:ind w:left="0" w:firstLine="0"/>
        <w:jc w:val="both"/>
        <w:outlineLvl w:val="0"/>
        <w:rPr>
          <w:rFonts w:eastAsia="Times New Roman" w:cs="Times New Roman"/>
          <w:szCs w:val="24"/>
        </w:rPr>
      </w:pPr>
      <w:r w:rsidRPr="0015453B">
        <w:rPr>
          <w:rFonts w:eastAsia="Times New Roman" w:cs="Times New Roman"/>
          <w:szCs w:val="24"/>
        </w:rPr>
        <w:t xml:space="preserve">Ziņojumu publisko tikai pēc </w:t>
      </w:r>
      <w:r w:rsidR="002F4CBA">
        <w:rPr>
          <w:rFonts w:eastAsia="Times New Roman" w:cs="Times New Roman"/>
          <w:szCs w:val="24"/>
        </w:rPr>
        <w:t xml:space="preserve">tā </w:t>
      </w:r>
      <w:r w:rsidRPr="0015453B">
        <w:rPr>
          <w:rFonts w:eastAsia="Times New Roman" w:cs="Times New Roman"/>
          <w:szCs w:val="24"/>
        </w:rPr>
        <w:t>apstiprinā</w:t>
      </w:r>
      <w:r w:rsidR="002F4CBA">
        <w:rPr>
          <w:rFonts w:eastAsia="Times New Roman" w:cs="Times New Roman"/>
          <w:szCs w:val="24"/>
        </w:rPr>
        <w:t>šanas sabiedrības valdē</w:t>
      </w:r>
      <w:r w:rsidRPr="0015453B">
        <w:rPr>
          <w:rFonts w:eastAsia="Times New Roman" w:cs="Times New Roman"/>
          <w:szCs w:val="24"/>
        </w:rPr>
        <w:t>.</w:t>
      </w:r>
    </w:p>
    <w:p w14:paraId="4C3094EA" w14:textId="46578093" w:rsidR="0015453B" w:rsidRDefault="0015453B" w:rsidP="0015453B">
      <w:pPr>
        <w:numPr>
          <w:ilvl w:val="0"/>
          <w:numId w:val="2"/>
        </w:numPr>
        <w:spacing w:before="240"/>
        <w:ind w:left="0" w:firstLine="0"/>
        <w:jc w:val="both"/>
        <w:outlineLvl w:val="0"/>
        <w:rPr>
          <w:rFonts w:eastAsia="Times New Roman" w:cs="Times New Roman"/>
          <w:szCs w:val="24"/>
        </w:rPr>
      </w:pPr>
      <w:r w:rsidRPr="0015453B">
        <w:rPr>
          <w:rFonts w:eastAsia="Times New Roman" w:cs="Times New Roman"/>
          <w:szCs w:val="24"/>
        </w:rPr>
        <w:t xml:space="preserve">Visu ziņojumā ietverto informāciju, ciktāl iespējams, publisko vienā </w:t>
      </w:r>
      <w:r w:rsidRPr="007A3EEE">
        <w:rPr>
          <w:rFonts w:eastAsia="Times New Roman" w:cs="Times New Roman"/>
          <w:szCs w:val="24"/>
        </w:rPr>
        <w:t>informācijas nesējā un vietā. Ziņojumu sagatavo, iekļaujot visas Regulas</w:t>
      </w:r>
      <w:r w:rsidR="00901349" w:rsidRPr="007A3EEE">
        <w:rPr>
          <w:rFonts w:eastAsia="Times New Roman" w:cs="Times New Roman"/>
          <w:szCs w:val="24"/>
        </w:rPr>
        <w:t> </w:t>
      </w:r>
      <w:hyperlink r:id="rId17" w:tgtFrame="_blank" w:history="1">
        <w:r w:rsidRPr="007A3EEE">
          <w:rPr>
            <w:rFonts w:eastAsia="Times New Roman" w:cs="Times New Roman"/>
            <w:szCs w:val="24"/>
          </w:rPr>
          <w:t>2015/35</w:t>
        </w:r>
      </w:hyperlink>
      <w:r w:rsidRPr="007A3EEE">
        <w:rPr>
          <w:rFonts w:eastAsia="Times New Roman" w:cs="Times New Roman"/>
          <w:szCs w:val="24"/>
        </w:rPr>
        <w:t xml:space="preserve"> XX pielikumā norādītās ziņojuma struktūras iedaļas. Ja kādas no Regulas</w:t>
      </w:r>
      <w:r w:rsidR="00901349" w:rsidRPr="007A3EEE">
        <w:rPr>
          <w:rFonts w:eastAsia="Times New Roman" w:cs="Times New Roman"/>
          <w:szCs w:val="24"/>
        </w:rPr>
        <w:t> </w:t>
      </w:r>
      <w:hyperlink r:id="rId18" w:tgtFrame="_blank" w:history="1">
        <w:r w:rsidRPr="007A3EEE">
          <w:rPr>
            <w:rFonts w:eastAsia="Times New Roman" w:cs="Times New Roman"/>
            <w:szCs w:val="24"/>
          </w:rPr>
          <w:t>2015/35</w:t>
        </w:r>
      </w:hyperlink>
      <w:r w:rsidRPr="007A3EEE">
        <w:rPr>
          <w:rFonts w:eastAsia="Times New Roman" w:cs="Times New Roman"/>
          <w:szCs w:val="24"/>
        </w:rPr>
        <w:t xml:space="preserve"> XX pielikumā norādītā</w:t>
      </w:r>
      <w:r w:rsidR="007A3EEE">
        <w:rPr>
          <w:rFonts w:eastAsia="Times New Roman" w:cs="Times New Roman"/>
          <w:szCs w:val="24"/>
        </w:rPr>
        <w:t>s</w:t>
      </w:r>
      <w:r w:rsidRPr="007A3EEE">
        <w:rPr>
          <w:rFonts w:eastAsia="Times New Roman" w:cs="Times New Roman"/>
          <w:szCs w:val="24"/>
        </w:rPr>
        <w:t xml:space="preserve"> ziņojuma struktūras</w:t>
      </w:r>
      <w:r w:rsidR="007A3EEE" w:rsidRPr="002E2BA3">
        <w:rPr>
          <w:rFonts w:eastAsia="Times New Roman" w:cs="Times New Roman"/>
          <w:szCs w:val="24"/>
        </w:rPr>
        <w:t xml:space="preserve"> </w:t>
      </w:r>
      <w:r w:rsidR="009326A6">
        <w:rPr>
          <w:rFonts w:eastAsia="Times New Roman" w:cs="Times New Roman"/>
          <w:szCs w:val="24"/>
        </w:rPr>
        <w:t>konkrētā</w:t>
      </w:r>
      <w:r w:rsidRPr="007A3EEE">
        <w:rPr>
          <w:rFonts w:eastAsia="Times New Roman" w:cs="Times New Roman"/>
          <w:szCs w:val="24"/>
        </w:rPr>
        <w:t xml:space="preserve"> iedaļā minētajām informācijas atklāšanas prasībām nav piemērojamas, tad sabiedrība sniedz nepārprotamu komentāru pie attiecīgās iedaļas. </w:t>
      </w:r>
      <w:r w:rsidR="0001115B" w:rsidRPr="007A3EEE">
        <w:rPr>
          <w:rFonts w:eastAsia="Times New Roman" w:cs="Times New Roman"/>
          <w:szCs w:val="24"/>
        </w:rPr>
        <w:t>Ja l</w:t>
      </w:r>
      <w:r w:rsidRPr="007A3EEE">
        <w:rPr>
          <w:rFonts w:eastAsia="Times New Roman" w:cs="Times New Roman"/>
          <w:szCs w:val="24"/>
        </w:rPr>
        <w:t>īdzvērtīg</w:t>
      </w:r>
      <w:r w:rsidR="0001115B" w:rsidRPr="007A3EEE">
        <w:rPr>
          <w:rFonts w:eastAsia="Times New Roman" w:cs="Times New Roman"/>
          <w:szCs w:val="24"/>
        </w:rPr>
        <w:t>a</w:t>
      </w:r>
      <w:r w:rsidRPr="007A3EEE">
        <w:rPr>
          <w:rFonts w:eastAsia="Times New Roman" w:cs="Times New Roman"/>
          <w:szCs w:val="24"/>
        </w:rPr>
        <w:t xml:space="preserve"> informācij</w:t>
      </w:r>
      <w:r w:rsidR="0001115B" w:rsidRPr="007A3EEE">
        <w:rPr>
          <w:rFonts w:eastAsia="Times New Roman" w:cs="Times New Roman"/>
          <w:szCs w:val="24"/>
        </w:rPr>
        <w:t>a</w:t>
      </w:r>
      <w:r w:rsidRPr="007A3EEE">
        <w:rPr>
          <w:rFonts w:eastAsia="Times New Roman" w:cs="Times New Roman"/>
          <w:szCs w:val="24"/>
        </w:rPr>
        <w:t xml:space="preserve"> ir publiskota saskaņā ar gada</w:t>
      </w:r>
      <w:r w:rsidRPr="0015453B">
        <w:rPr>
          <w:rFonts w:eastAsia="Times New Roman" w:cs="Times New Roman"/>
          <w:szCs w:val="24"/>
        </w:rPr>
        <w:t xml:space="preserve"> pārskata un konsolidētā gada pārskata sagatavošanas, regulētā tirgus vai citām prasībām, </w:t>
      </w:r>
      <w:r w:rsidR="0001115B">
        <w:rPr>
          <w:rFonts w:eastAsia="Times New Roman" w:cs="Times New Roman"/>
          <w:szCs w:val="24"/>
        </w:rPr>
        <w:t xml:space="preserve">to </w:t>
      </w:r>
      <w:r w:rsidRPr="0015453B">
        <w:rPr>
          <w:rFonts w:eastAsia="Times New Roman" w:cs="Times New Roman"/>
          <w:szCs w:val="24"/>
        </w:rPr>
        <w:t>var uzskatīt par publiskotu saskaņā ar šo noteikumu prasībām un tā nav jāpublisko atkārtoti. Šādā gadījumā sabiedrība pie Regulas</w:t>
      </w:r>
      <w:r w:rsidR="00901349">
        <w:rPr>
          <w:rFonts w:eastAsia="Times New Roman" w:cs="Times New Roman"/>
          <w:szCs w:val="24"/>
        </w:rPr>
        <w:t> </w:t>
      </w:r>
      <w:hyperlink r:id="rId19" w:tgtFrame="_blank" w:history="1">
        <w:r w:rsidRPr="0015453B">
          <w:rPr>
            <w:rFonts w:eastAsia="Times New Roman" w:cs="Times New Roman"/>
            <w:szCs w:val="24"/>
          </w:rPr>
          <w:t>2015/35</w:t>
        </w:r>
      </w:hyperlink>
      <w:r w:rsidR="006156DB">
        <w:rPr>
          <w:rFonts w:eastAsia="Times New Roman" w:cs="Times New Roman"/>
          <w:szCs w:val="24"/>
        </w:rPr>
        <w:t xml:space="preserve"> </w:t>
      </w:r>
      <w:r w:rsidRPr="0015453B">
        <w:rPr>
          <w:rFonts w:eastAsia="Times New Roman" w:cs="Times New Roman"/>
          <w:szCs w:val="24"/>
        </w:rPr>
        <w:t>XX</w:t>
      </w:r>
      <w:r>
        <w:rPr>
          <w:rFonts w:eastAsia="Times New Roman" w:cs="Times New Roman"/>
          <w:szCs w:val="24"/>
        </w:rPr>
        <w:t> </w:t>
      </w:r>
      <w:r w:rsidRPr="0015453B">
        <w:rPr>
          <w:rFonts w:eastAsia="Times New Roman" w:cs="Times New Roman"/>
          <w:szCs w:val="24"/>
        </w:rPr>
        <w:t>pielikumā norādītās ziņojuma struktūras attiecīgās iedaļas sniedz nepārprotamu norādi uz vietu, kur pieejama minētā informācija.</w:t>
      </w:r>
    </w:p>
    <w:p w14:paraId="064428BF" w14:textId="4DDCB9BC" w:rsidR="0015453B" w:rsidRPr="00147176" w:rsidRDefault="0015453B" w:rsidP="0015453B">
      <w:pPr>
        <w:spacing w:before="240"/>
        <w:outlineLvl w:val="0"/>
        <w:rPr>
          <w:rFonts w:eastAsia="Times New Roman" w:cs="Times New Roman"/>
          <w:b/>
          <w:szCs w:val="24"/>
        </w:rPr>
      </w:pPr>
      <w:r w:rsidRPr="00147176">
        <w:rPr>
          <w:rFonts w:eastAsia="Times New Roman" w:cs="Times New Roman"/>
          <w:b/>
          <w:szCs w:val="24"/>
        </w:rPr>
        <w:t>II. Publiskojamās informācijas saturs, ņemot vērā Regulas</w:t>
      </w:r>
      <w:r w:rsidR="00901349" w:rsidRPr="00147176">
        <w:rPr>
          <w:rFonts w:eastAsia="Times New Roman" w:cs="Times New Roman"/>
          <w:b/>
          <w:szCs w:val="24"/>
        </w:rPr>
        <w:t> </w:t>
      </w:r>
      <w:r w:rsidRPr="00147176">
        <w:rPr>
          <w:rFonts w:eastAsia="Times New Roman" w:cs="Times New Roman"/>
          <w:b/>
          <w:szCs w:val="24"/>
        </w:rPr>
        <w:t>2015/35 XX</w:t>
      </w:r>
      <w:r w:rsidR="006156DB" w:rsidRPr="00147176">
        <w:rPr>
          <w:rFonts w:eastAsia="Times New Roman" w:cs="Times New Roman"/>
          <w:b/>
          <w:szCs w:val="24"/>
        </w:rPr>
        <w:t> </w:t>
      </w:r>
      <w:r w:rsidRPr="00147176">
        <w:rPr>
          <w:rFonts w:eastAsia="Times New Roman" w:cs="Times New Roman"/>
          <w:b/>
          <w:szCs w:val="24"/>
        </w:rPr>
        <w:t>pielikumā norādīto ziņojuma struktūru</w:t>
      </w:r>
    </w:p>
    <w:p w14:paraId="7FDBE9C5" w14:textId="2D386577" w:rsidR="0015453B" w:rsidRPr="0015453B" w:rsidRDefault="0015453B" w:rsidP="0015453B">
      <w:pPr>
        <w:numPr>
          <w:ilvl w:val="0"/>
          <w:numId w:val="2"/>
        </w:numPr>
        <w:spacing w:before="240"/>
        <w:ind w:left="0" w:firstLine="0"/>
        <w:jc w:val="both"/>
        <w:outlineLvl w:val="0"/>
        <w:rPr>
          <w:rFonts w:eastAsia="Times New Roman" w:cs="Times New Roman"/>
          <w:szCs w:val="24"/>
        </w:rPr>
      </w:pPr>
      <w:bookmarkStart w:id="4" w:name="_Ref151390691"/>
      <w:r w:rsidRPr="00147176">
        <w:rPr>
          <w:rFonts w:eastAsia="Times New Roman" w:cs="Times New Roman"/>
          <w:szCs w:val="24"/>
        </w:rPr>
        <w:t>Saskaņā ar Regulas</w:t>
      </w:r>
      <w:r w:rsidR="00901349" w:rsidRPr="00147176">
        <w:rPr>
          <w:rFonts w:eastAsia="Times New Roman" w:cs="Times New Roman"/>
          <w:szCs w:val="24"/>
        </w:rPr>
        <w:t> </w:t>
      </w:r>
      <w:hyperlink r:id="rId20" w:tgtFrame="_blank" w:history="1">
        <w:r w:rsidRPr="00147176">
          <w:rPr>
            <w:rFonts w:eastAsia="Times New Roman" w:cs="Times New Roman"/>
            <w:szCs w:val="24"/>
          </w:rPr>
          <w:t>2015/35</w:t>
        </w:r>
      </w:hyperlink>
      <w:r w:rsidRPr="00147176">
        <w:rPr>
          <w:rFonts w:eastAsia="Times New Roman" w:cs="Times New Roman"/>
          <w:szCs w:val="24"/>
        </w:rPr>
        <w:t xml:space="preserve"> 293. pantā minēto sabiedrība sniedz tās darbības</w:t>
      </w:r>
      <w:r w:rsidRPr="0015453B">
        <w:rPr>
          <w:rFonts w:eastAsia="Times New Roman" w:cs="Times New Roman"/>
          <w:szCs w:val="24"/>
        </w:rPr>
        <w:t xml:space="preserve"> aprakstu un rezultātus, </w:t>
      </w:r>
      <w:r w:rsidR="00000987">
        <w:rPr>
          <w:rFonts w:eastAsia="Times New Roman" w:cs="Times New Roman"/>
          <w:szCs w:val="24"/>
        </w:rPr>
        <w:t>tai skaitā</w:t>
      </w:r>
      <w:r w:rsidRPr="0015453B">
        <w:rPr>
          <w:rFonts w:eastAsia="Times New Roman" w:cs="Times New Roman"/>
          <w:szCs w:val="24"/>
        </w:rPr>
        <w:t>:</w:t>
      </w:r>
    </w:p>
    <w:p w14:paraId="32A42839" w14:textId="0DC208E8" w:rsidR="0015453B" w:rsidRPr="0015453B" w:rsidRDefault="00AC3F68" w:rsidP="0015453B">
      <w:pPr>
        <w:shd w:val="clear" w:color="auto" w:fill="FFFFFF"/>
        <w:jc w:val="both"/>
        <w:outlineLvl w:val="0"/>
        <w:rPr>
          <w:rFonts w:eastAsia="Times New Roman" w:cs="Times New Roman"/>
          <w:szCs w:val="24"/>
        </w:rPr>
      </w:pPr>
      <w:r>
        <w:rPr>
          <w:rFonts w:eastAsia="Times New Roman" w:cs="Times New Roman"/>
          <w:szCs w:val="24"/>
        </w:rPr>
        <w:t>11</w:t>
      </w:r>
      <w:r w:rsidR="0015453B" w:rsidRPr="0015453B">
        <w:rPr>
          <w:rFonts w:eastAsia="Times New Roman" w:cs="Times New Roman"/>
          <w:szCs w:val="24"/>
        </w:rPr>
        <w:t>.1. </w:t>
      </w:r>
      <w:r w:rsidR="006C7BD6">
        <w:rPr>
          <w:rFonts w:eastAsia="Times New Roman" w:cs="Times New Roman"/>
          <w:szCs w:val="24"/>
        </w:rPr>
        <w:t xml:space="preserve">ziņojuma </w:t>
      </w:r>
      <w:r w:rsidR="0015453B" w:rsidRPr="0015453B">
        <w:rPr>
          <w:rFonts w:eastAsia="Times New Roman" w:cs="Times New Roman"/>
          <w:szCs w:val="24"/>
        </w:rPr>
        <w:t>iedaļā A.1</w:t>
      </w:r>
      <w:r w:rsidR="00B57A86">
        <w:rPr>
          <w:rFonts w:eastAsia="Times New Roman" w:cs="Times New Roman"/>
          <w:szCs w:val="24"/>
        </w:rPr>
        <w:t> </w:t>
      </w:r>
      <w:r w:rsidR="0015453B" w:rsidRPr="0015453B">
        <w:rPr>
          <w:rFonts w:eastAsia="Times New Roman" w:cs="Times New Roman"/>
          <w:szCs w:val="24"/>
        </w:rPr>
        <w:t>"</w:t>
      </w:r>
      <w:proofErr w:type="spellStart"/>
      <w:r w:rsidR="0015453B" w:rsidRPr="0015453B">
        <w:rPr>
          <w:rFonts w:eastAsia="Times New Roman" w:cs="Times New Roman"/>
          <w:szCs w:val="24"/>
        </w:rPr>
        <w:t>Darījumdarbība</w:t>
      </w:r>
      <w:proofErr w:type="spellEnd"/>
      <w:r w:rsidR="0015453B" w:rsidRPr="0015453B">
        <w:rPr>
          <w:rFonts w:eastAsia="Times New Roman" w:cs="Times New Roman"/>
          <w:szCs w:val="24"/>
        </w:rPr>
        <w:t>" sniedz vismaz šādu informāciju:</w:t>
      </w:r>
    </w:p>
    <w:p w14:paraId="5EA7DDB5" w14:textId="3D70BFF5" w:rsidR="0015453B" w:rsidRPr="0015453B" w:rsidRDefault="00AC3F68" w:rsidP="0015453B">
      <w:pPr>
        <w:shd w:val="clear" w:color="auto" w:fill="FFFFFF"/>
        <w:jc w:val="both"/>
        <w:outlineLvl w:val="0"/>
        <w:rPr>
          <w:rFonts w:eastAsia="Times New Roman" w:cs="Times New Roman"/>
          <w:szCs w:val="24"/>
        </w:rPr>
      </w:pPr>
      <w:r>
        <w:rPr>
          <w:rFonts w:eastAsia="Times New Roman" w:cs="Times New Roman"/>
          <w:szCs w:val="24"/>
        </w:rPr>
        <w:t>11</w:t>
      </w:r>
      <w:r w:rsidR="0015453B" w:rsidRPr="0015453B">
        <w:rPr>
          <w:rFonts w:eastAsia="Times New Roman" w:cs="Times New Roman"/>
          <w:szCs w:val="24"/>
        </w:rPr>
        <w:t>.1.1. juridiskās vai fiziskās personas, kura tieši vai netieši ieguvusi būtisku līdzdalību sabiedrībā, nosaukumu un reģistrācijas valsti, kā arī līdzdalības apmēru procentos no sabiedrības pamatkapitāla un balsstiesīgo akciju vai daļu skaita, ja tie atšķiras. Informāciju sniedz līdz galējai mātes sabiedrībai vai fiziskajai personai;</w:t>
      </w:r>
    </w:p>
    <w:p w14:paraId="68F16223" w14:textId="2980F1AC" w:rsidR="0015453B" w:rsidRPr="0015453B" w:rsidRDefault="00AC3F68" w:rsidP="0015453B">
      <w:pPr>
        <w:shd w:val="clear" w:color="auto" w:fill="FFFFFF"/>
        <w:jc w:val="both"/>
        <w:outlineLvl w:val="0"/>
        <w:rPr>
          <w:rFonts w:eastAsia="Times New Roman" w:cs="Times New Roman"/>
          <w:szCs w:val="24"/>
        </w:rPr>
      </w:pPr>
      <w:r>
        <w:rPr>
          <w:rFonts w:eastAsia="Times New Roman" w:cs="Times New Roman"/>
          <w:szCs w:val="24"/>
        </w:rPr>
        <w:t>11</w:t>
      </w:r>
      <w:r w:rsidR="0015453B" w:rsidRPr="0015453B">
        <w:rPr>
          <w:rFonts w:eastAsia="Times New Roman" w:cs="Times New Roman"/>
          <w:szCs w:val="24"/>
        </w:rPr>
        <w:t>.1.2. būtisku saistīto sabiedrību sarakstu, norādot to nosaukumu, juridisko formu, reģistrācijas valsti, darbības veidu, līdzdalības apmēru procentos no sabiedrības pamatkapitāla un balsstiesīgo akciju vai daļu skaita, ja tie atšķiras;</w:t>
      </w:r>
    </w:p>
    <w:p w14:paraId="0F4EBC73" w14:textId="52C41AE4" w:rsidR="0015453B" w:rsidRPr="0015453B" w:rsidRDefault="00AC3F68" w:rsidP="0015453B">
      <w:pPr>
        <w:shd w:val="clear" w:color="auto" w:fill="FFFFFF"/>
        <w:jc w:val="both"/>
        <w:outlineLvl w:val="0"/>
        <w:rPr>
          <w:rFonts w:eastAsia="Times New Roman" w:cs="Times New Roman"/>
          <w:szCs w:val="24"/>
        </w:rPr>
      </w:pPr>
      <w:r>
        <w:rPr>
          <w:rFonts w:eastAsia="Times New Roman" w:cs="Times New Roman"/>
          <w:szCs w:val="24"/>
        </w:rPr>
        <w:t>11</w:t>
      </w:r>
      <w:r w:rsidR="0015453B" w:rsidRPr="0015453B">
        <w:rPr>
          <w:rFonts w:eastAsia="Times New Roman" w:cs="Times New Roman"/>
          <w:szCs w:val="24"/>
        </w:rPr>
        <w:t>.1.3. vienkāršotu grupas struktūras grafisku attēlojumu;</w:t>
      </w:r>
    </w:p>
    <w:p w14:paraId="5AA0322F" w14:textId="25EC5E19" w:rsidR="0015453B" w:rsidRPr="0015453B" w:rsidRDefault="00AC3F68" w:rsidP="0015453B">
      <w:pPr>
        <w:shd w:val="clear" w:color="auto" w:fill="FFFFFF"/>
        <w:jc w:val="both"/>
        <w:outlineLvl w:val="0"/>
        <w:rPr>
          <w:rFonts w:eastAsia="Times New Roman" w:cs="Times New Roman"/>
          <w:szCs w:val="24"/>
        </w:rPr>
      </w:pPr>
      <w:r>
        <w:rPr>
          <w:rFonts w:eastAsia="Times New Roman" w:cs="Times New Roman"/>
          <w:szCs w:val="24"/>
        </w:rPr>
        <w:t>11</w:t>
      </w:r>
      <w:r w:rsidR="0015453B" w:rsidRPr="0015453B">
        <w:rPr>
          <w:rFonts w:eastAsia="Times New Roman" w:cs="Times New Roman"/>
          <w:szCs w:val="24"/>
        </w:rPr>
        <w:t xml:space="preserve">.1.4. piemērojot šo noteikumu prasības grupas līmenī, papildus sniedz informāciju par grupas juridisko un organizatorisko struktūru un pārvaldības sistēmu, </w:t>
      </w:r>
      <w:r w:rsidR="00000987">
        <w:rPr>
          <w:rFonts w:eastAsia="Times New Roman" w:cs="Times New Roman"/>
          <w:szCs w:val="24"/>
        </w:rPr>
        <w:t>tai skaitā</w:t>
      </w:r>
      <w:r w:rsidR="0015453B" w:rsidRPr="0015453B">
        <w:rPr>
          <w:rFonts w:eastAsia="Times New Roman" w:cs="Times New Roman"/>
          <w:szCs w:val="24"/>
        </w:rPr>
        <w:t xml:space="preserve"> raksturo visas meitas sabiedrības, saistītās sabiedrības un nozīmīgas filiāles, kuras ietilpst grupā. Tāpat apdrošināšanas vai pārapdrošināšanas dalības sabiedrība, apdrošināšanas </w:t>
      </w:r>
      <w:proofErr w:type="spellStart"/>
      <w:r w:rsidR="0015453B" w:rsidRPr="0015453B">
        <w:rPr>
          <w:rFonts w:eastAsia="Times New Roman" w:cs="Times New Roman"/>
          <w:szCs w:val="24"/>
        </w:rPr>
        <w:t>pārvaldītājsabiedrība</w:t>
      </w:r>
      <w:proofErr w:type="spellEnd"/>
      <w:r w:rsidR="0015453B" w:rsidRPr="0015453B">
        <w:rPr>
          <w:rFonts w:eastAsia="Times New Roman" w:cs="Times New Roman"/>
          <w:szCs w:val="24"/>
        </w:rPr>
        <w:t xml:space="preserve"> </w:t>
      </w:r>
      <w:r w:rsidR="00A62FF3" w:rsidRPr="002E2BA3">
        <w:rPr>
          <w:rFonts w:eastAsia="Times New Roman" w:cs="Times New Roman"/>
          <w:szCs w:val="24"/>
        </w:rPr>
        <w:t>vai</w:t>
      </w:r>
      <w:r w:rsidR="0015453B" w:rsidRPr="0015453B">
        <w:rPr>
          <w:rFonts w:eastAsia="Times New Roman" w:cs="Times New Roman"/>
          <w:szCs w:val="24"/>
        </w:rPr>
        <w:t xml:space="preserve"> jaukta finanšu </w:t>
      </w:r>
      <w:proofErr w:type="spellStart"/>
      <w:r w:rsidR="0015453B" w:rsidRPr="0015453B">
        <w:rPr>
          <w:rFonts w:eastAsia="Times New Roman" w:cs="Times New Roman"/>
          <w:szCs w:val="24"/>
        </w:rPr>
        <w:t>pārvaldītājsabiedrība</w:t>
      </w:r>
      <w:proofErr w:type="spellEnd"/>
      <w:r w:rsidR="0015453B" w:rsidRPr="0015453B">
        <w:rPr>
          <w:rFonts w:eastAsia="Times New Roman" w:cs="Times New Roman"/>
          <w:szCs w:val="24"/>
        </w:rPr>
        <w:t xml:space="preserve"> skaidro būtiskās atšķirības starp grupas struktūru, kas uzrādīta konsolidētajos finanšu pārskatos, un grupas struktūru, kas noteikta saskaņā ar Regulas</w:t>
      </w:r>
      <w:r w:rsidR="00901349">
        <w:rPr>
          <w:rFonts w:eastAsia="Times New Roman" w:cs="Times New Roman"/>
          <w:szCs w:val="24"/>
        </w:rPr>
        <w:t> </w:t>
      </w:r>
      <w:hyperlink r:id="rId21" w:tgtFrame="_blank" w:history="1">
        <w:r w:rsidR="0015453B" w:rsidRPr="0015453B">
          <w:rPr>
            <w:rFonts w:eastAsia="Times New Roman" w:cs="Times New Roman"/>
            <w:szCs w:val="24"/>
          </w:rPr>
          <w:t>2015/35</w:t>
        </w:r>
      </w:hyperlink>
      <w:r w:rsidR="0015453B" w:rsidRPr="0015453B">
        <w:rPr>
          <w:rFonts w:eastAsia="Times New Roman" w:cs="Times New Roman"/>
          <w:szCs w:val="24"/>
        </w:rPr>
        <w:t xml:space="preserve"> 335. pantu;</w:t>
      </w:r>
    </w:p>
    <w:p w14:paraId="4EB22DEF" w14:textId="0F6043FA" w:rsidR="0015453B" w:rsidRPr="0015453B" w:rsidRDefault="00AC3F68" w:rsidP="0015453B">
      <w:pPr>
        <w:shd w:val="clear" w:color="auto" w:fill="FFFFFF"/>
        <w:jc w:val="both"/>
        <w:rPr>
          <w:rFonts w:eastAsia="Times New Roman" w:cs="Times New Roman"/>
          <w:szCs w:val="24"/>
        </w:rPr>
      </w:pPr>
      <w:r>
        <w:rPr>
          <w:rFonts w:eastAsia="Times New Roman" w:cs="Times New Roman"/>
          <w:szCs w:val="24"/>
        </w:rPr>
        <w:t>11</w:t>
      </w:r>
      <w:r w:rsidR="0015453B" w:rsidRPr="0015453B">
        <w:rPr>
          <w:rFonts w:eastAsia="Times New Roman" w:cs="Times New Roman"/>
          <w:szCs w:val="24"/>
        </w:rPr>
        <w:t>.2. </w:t>
      </w:r>
      <w:r w:rsidR="006C7BD6">
        <w:rPr>
          <w:rFonts w:eastAsia="Times New Roman" w:cs="Times New Roman"/>
          <w:szCs w:val="24"/>
        </w:rPr>
        <w:t xml:space="preserve">ziņojuma </w:t>
      </w:r>
      <w:r w:rsidR="0015453B" w:rsidRPr="0015453B">
        <w:rPr>
          <w:rFonts w:eastAsia="Times New Roman" w:cs="Times New Roman"/>
          <w:szCs w:val="24"/>
        </w:rPr>
        <w:t>iedaļā A.4</w:t>
      </w:r>
      <w:r w:rsidR="00B57A86">
        <w:rPr>
          <w:rFonts w:eastAsia="Times New Roman" w:cs="Times New Roman"/>
          <w:szCs w:val="24"/>
        </w:rPr>
        <w:t> </w:t>
      </w:r>
      <w:r w:rsidR="0015453B" w:rsidRPr="0015453B">
        <w:rPr>
          <w:rFonts w:eastAsia="Times New Roman" w:cs="Times New Roman"/>
          <w:szCs w:val="24"/>
        </w:rPr>
        <w:t>"Citu darbību rezultāti" sniedz vispārēju aprakstu par katru būtisku nomas (līzinga) līgumu, atsevišķi izdalot operatīvo un finanšu nomu.</w:t>
      </w:r>
    </w:p>
    <w:p w14:paraId="24990324" w14:textId="74BA1FCE" w:rsidR="0015453B" w:rsidRPr="0015453B" w:rsidRDefault="0015453B" w:rsidP="0015453B">
      <w:pPr>
        <w:numPr>
          <w:ilvl w:val="0"/>
          <w:numId w:val="2"/>
        </w:numPr>
        <w:spacing w:before="240"/>
        <w:ind w:left="0" w:firstLine="0"/>
        <w:jc w:val="both"/>
        <w:outlineLvl w:val="0"/>
        <w:rPr>
          <w:rFonts w:eastAsia="Times New Roman" w:cs="Times New Roman"/>
          <w:szCs w:val="24"/>
        </w:rPr>
      </w:pPr>
      <w:r w:rsidRPr="0015453B">
        <w:rPr>
          <w:rFonts w:eastAsia="Times New Roman" w:cs="Times New Roman"/>
          <w:szCs w:val="24"/>
        </w:rPr>
        <w:lastRenderedPageBreak/>
        <w:t>Saskaņā ar Regulas</w:t>
      </w:r>
      <w:r w:rsidR="00901349">
        <w:rPr>
          <w:rFonts w:eastAsia="Times New Roman" w:cs="Times New Roman"/>
          <w:szCs w:val="24"/>
        </w:rPr>
        <w:t> </w:t>
      </w:r>
      <w:hyperlink r:id="rId22" w:tgtFrame="_blank" w:history="1">
        <w:r w:rsidRPr="0015453B">
          <w:rPr>
            <w:rFonts w:eastAsia="Times New Roman" w:cs="Times New Roman"/>
            <w:szCs w:val="24"/>
          </w:rPr>
          <w:t>2015/35</w:t>
        </w:r>
      </w:hyperlink>
      <w:r w:rsidRPr="0015453B">
        <w:rPr>
          <w:rFonts w:eastAsia="Times New Roman" w:cs="Times New Roman"/>
          <w:szCs w:val="24"/>
        </w:rPr>
        <w:t xml:space="preserve"> 294. pantā minēto sabiedrība sniedz tās pārvaldības sistēmas aprakstu un </w:t>
      </w:r>
      <w:proofErr w:type="spellStart"/>
      <w:r w:rsidRPr="0015453B">
        <w:rPr>
          <w:rFonts w:eastAsia="Times New Roman" w:cs="Times New Roman"/>
          <w:szCs w:val="24"/>
        </w:rPr>
        <w:t>izvērtējumu</w:t>
      </w:r>
      <w:proofErr w:type="spellEnd"/>
      <w:r w:rsidRPr="0015453B">
        <w:rPr>
          <w:rFonts w:eastAsia="Times New Roman" w:cs="Times New Roman"/>
          <w:szCs w:val="24"/>
        </w:rPr>
        <w:t xml:space="preserve"> par tās atbilstību sabiedrības riska profilam, </w:t>
      </w:r>
      <w:r w:rsidR="00000987">
        <w:rPr>
          <w:rFonts w:eastAsia="Times New Roman" w:cs="Times New Roman"/>
          <w:szCs w:val="24"/>
        </w:rPr>
        <w:t>tai skaitā</w:t>
      </w:r>
      <w:r w:rsidRPr="0015453B">
        <w:rPr>
          <w:rFonts w:eastAsia="Times New Roman" w:cs="Times New Roman"/>
          <w:szCs w:val="24"/>
        </w:rPr>
        <w:t>:</w:t>
      </w:r>
    </w:p>
    <w:p w14:paraId="1D1A4356" w14:textId="4358695F" w:rsidR="0015453B" w:rsidRPr="0015453B" w:rsidRDefault="00F13CE9" w:rsidP="0015453B">
      <w:pPr>
        <w:jc w:val="both"/>
        <w:outlineLvl w:val="0"/>
        <w:rPr>
          <w:rFonts w:eastAsia="Times New Roman" w:cs="Times New Roman"/>
          <w:szCs w:val="24"/>
        </w:rPr>
      </w:pPr>
      <w:r>
        <w:rPr>
          <w:rFonts w:eastAsia="Times New Roman" w:cs="Times New Roman"/>
          <w:szCs w:val="24"/>
        </w:rPr>
        <w:t>12</w:t>
      </w:r>
      <w:r w:rsidR="0015453B" w:rsidRPr="0015453B">
        <w:rPr>
          <w:rFonts w:eastAsia="Times New Roman" w:cs="Times New Roman"/>
          <w:szCs w:val="24"/>
        </w:rPr>
        <w:t>.1. </w:t>
      </w:r>
      <w:r w:rsidR="006C7BD6">
        <w:rPr>
          <w:rFonts w:eastAsia="Times New Roman" w:cs="Times New Roman"/>
          <w:szCs w:val="24"/>
        </w:rPr>
        <w:t xml:space="preserve">ziņojuma </w:t>
      </w:r>
      <w:r w:rsidR="0015453B" w:rsidRPr="0015453B">
        <w:rPr>
          <w:rFonts w:eastAsia="Times New Roman" w:cs="Times New Roman"/>
          <w:szCs w:val="24"/>
        </w:rPr>
        <w:t>iedaļā B.1</w:t>
      </w:r>
      <w:r w:rsidR="00B57A86">
        <w:rPr>
          <w:rFonts w:eastAsia="Times New Roman" w:cs="Times New Roman"/>
          <w:szCs w:val="24"/>
        </w:rPr>
        <w:t> </w:t>
      </w:r>
      <w:r w:rsidR="0015453B" w:rsidRPr="0015453B">
        <w:rPr>
          <w:rFonts w:eastAsia="Times New Roman" w:cs="Times New Roman"/>
          <w:szCs w:val="24"/>
        </w:rPr>
        <w:t xml:space="preserve">"Vispārīga informācija par pārvaldības sistēmu" sniedz aprakstu par to, kā pārvaldības sistēmas </w:t>
      </w:r>
      <w:r w:rsidR="0015453B" w:rsidRPr="00A62FF3">
        <w:rPr>
          <w:rFonts w:eastAsia="Times New Roman" w:cs="Times New Roman"/>
          <w:szCs w:val="24"/>
        </w:rPr>
        <w:t>pamatfunkcij</w:t>
      </w:r>
      <w:r w:rsidR="00A62FF3" w:rsidRPr="00A62FF3">
        <w:rPr>
          <w:rFonts w:eastAsia="Times New Roman" w:cs="Times New Roman"/>
          <w:szCs w:val="24"/>
        </w:rPr>
        <w:t>u veicēji</w:t>
      </w:r>
      <w:r w:rsidR="0015453B" w:rsidRPr="00A62FF3">
        <w:rPr>
          <w:rFonts w:eastAsia="Times New Roman" w:cs="Times New Roman"/>
          <w:szCs w:val="24"/>
        </w:rPr>
        <w:t xml:space="preserve"> t</w:t>
      </w:r>
      <w:r w:rsidR="00A62FF3">
        <w:rPr>
          <w:rFonts w:eastAsia="Times New Roman" w:cs="Times New Roman"/>
          <w:szCs w:val="24"/>
        </w:rPr>
        <w:t>ie</w:t>
      </w:r>
      <w:r w:rsidR="0015453B" w:rsidRPr="00A62FF3">
        <w:rPr>
          <w:rFonts w:eastAsia="Times New Roman" w:cs="Times New Roman"/>
          <w:szCs w:val="24"/>
        </w:rPr>
        <w:t>m</w:t>
      </w:r>
      <w:r w:rsidR="0015453B" w:rsidRPr="0015453B">
        <w:rPr>
          <w:rFonts w:eastAsia="Times New Roman" w:cs="Times New Roman"/>
          <w:szCs w:val="24"/>
        </w:rPr>
        <w:t xml:space="preserve"> deleģēto uzdevumu veikšanai tiek nodrošināt</w:t>
      </w:r>
      <w:r w:rsidR="00A62FF3">
        <w:rPr>
          <w:rFonts w:eastAsia="Times New Roman" w:cs="Times New Roman"/>
          <w:szCs w:val="24"/>
        </w:rPr>
        <w:t>i</w:t>
      </w:r>
      <w:r w:rsidR="0015453B" w:rsidRPr="0015453B">
        <w:rPr>
          <w:rFonts w:eastAsia="Times New Roman" w:cs="Times New Roman"/>
          <w:szCs w:val="24"/>
        </w:rPr>
        <w:t xml:space="preserve"> ar nepieciešamajām pilnvarām, līdzekļiem un darbības neatkarību, un </w:t>
      </w:r>
      <w:r w:rsidR="0001115B">
        <w:rPr>
          <w:rFonts w:eastAsia="Times New Roman" w:cs="Times New Roman"/>
          <w:szCs w:val="24"/>
        </w:rPr>
        <w:t xml:space="preserve">par </w:t>
      </w:r>
      <w:r w:rsidR="0015453B" w:rsidRPr="0015453B">
        <w:rPr>
          <w:rFonts w:eastAsia="Times New Roman" w:cs="Times New Roman"/>
          <w:szCs w:val="24"/>
        </w:rPr>
        <w:t xml:space="preserve">šo </w:t>
      </w:r>
      <w:r w:rsidR="0015453B" w:rsidRPr="00AD0BE2">
        <w:rPr>
          <w:rFonts w:eastAsia="Times New Roman" w:cs="Times New Roman"/>
          <w:szCs w:val="24"/>
        </w:rPr>
        <w:t xml:space="preserve">pamatfunkciju </w:t>
      </w:r>
      <w:r w:rsidR="00A62FF3" w:rsidRPr="00AD0BE2">
        <w:rPr>
          <w:rFonts w:eastAsia="Times New Roman" w:cs="Times New Roman"/>
          <w:szCs w:val="24"/>
        </w:rPr>
        <w:t xml:space="preserve">veicēju </w:t>
      </w:r>
      <w:r w:rsidR="0015453B" w:rsidRPr="00AD0BE2">
        <w:rPr>
          <w:rFonts w:eastAsia="Times New Roman" w:cs="Times New Roman"/>
          <w:szCs w:val="24"/>
        </w:rPr>
        <w:t>sadarbību</w:t>
      </w:r>
      <w:r w:rsidR="0015453B" w:rsidRPr="0015453B">
        <w:rPr>
          <w:rFonts w:eastAsia="Times New Roman" w:cs="Times New Roman"/>
          <w:szCs w:val="24"/>
        </w:rPr>
        <w:t xml:space="preserve"> ar padomi un valdi;</w:t>
      </w:r>
    </w:p>
    <w:p w14:paraId="13960A1E" w14:textId="1F362A29" w:rsidR="0015453B" w:rsidRPr="0015453B" w:rsidRDefault="00F13CE9" w:rsidP="0015453B">
      <w:pPr>
        <w:jc w:val="both"/>
        <w:outlineLvl w:val="0"/>
        <w:rPr>
          <w:rFonts w:eastAsia="Times New Roman" w:cs="Times New Roman"/>
          <w:szCs w:val="24"/>
        </w:rPr>
      </w:pPr>
      <w:r>
        <w:rPr>
          <w:rFonts w:eastAsia="Times New Roman" w:cs="Times New Roman"/>
          <w:szCs w:val="24"/>
        </w:rPr>
        <w:t>12</w:t>
      </w:r>
      <w:r w:rsidR="0015453B" w:rsidRPr="0015453B">
        <w:rPr>
          <w:rFonts w:eastAsia="Times New Roman" w:cs="Times New Roman"/>
          <w:szCs w:val="24"/>
        </w:rPr>
        <w:t>.</w:t>
      </w:r>
      <w:hyperlink r:id="rId23" w:anchor="n2" w:history="1">
        <w:r w:rsidR="0015453B" w:rsidRPr="0015453B">
          <w:rPr>
            <w:rFonts w:eastAsia="Times New Roman" w:cs="Times New Roman"/>
            <w:szCs w:val="24"/>
          </w:rPr>
          <w:t>2. </w:t>
        </w:r>
      </w:hyperlink>
      <w:r w:rsidR="006C7BD6">
        <w:rPr>
          <w:rFonts w:eastAsia="Times New Roman" w:cs="Times New Roman"/>
          <w:szCs w:val="24"/>
        </w:rPr>
        <w:t xml:space="preserve">ziņojuma </w:t>
      </w:r>
      <w:r w:rsidR="0015453B" w:rsidRPr="0015453B">
        <w:rPr>
          <w:rFonts w:eastAsia="Times New Roman" w:cs="Times New Roman"/>
          <w:szCs w:val="24"/>
        </w:rPr>
        <w:t>iedaļā B.3</w:t>
      </w:r>
      <w:r w:rsidR="00B57A86">
        <w:rPr>
          <w:rFonts w:eastAsia="Times New Roman" w:cs="Times New Roman"/>
          <w:szCs w:val="24"/>
        </w:rPr>
        <w:t> </w:t>
      </w:r>
      <w:r w:rsidR="0015453B" w:rsidRPr="0015453B">
        <w:rPr>
          <w:rFonts w:eastAsia="Times New Roman" w:cs="Times New Roman"/>
          <w:szCs w:val="24"/>
        </w:rPr>
        <w:t>"Riska pārvaldības sistēma, tostarp riska un maksātspējas pašu novērtējums" sabiedrība, kura maksātspējas kapitāla prasības aprēķinam izmanto pilnīgu vai daļēju iekšējo modeli, sniedz vismaz šādu informāciju par iekšējā modeļa pārvaldību:</w:t>
      </w:r>
    </w:p>
    <w:p w14:paraId="7E0EEC7F" w14:textId="096C4142" w:rsidR="0015453B" w:rsidRPr="0015453B" w:rsidRDefault="00F13CE9" w:rsidP="0015453B">
      <w:pPr>
        <w:jc w:val="both"/>
        <w:outlineLvl w:val="0"/>
        <w:rPr>
          <w:rFonts w:eastAsia="Times New Roman" w:cs="Times New Roman"/>
          <w:szCs w:val="24"/>
        </w:rPr>
      </w:pPr>
      <w:r>
        <w:rPr>
          <w:rFonts w:eastAsia="Times New Roman" w:cs="Times New Roman"/>
          <w:szCs w:val="24"/>
        </w:rPr>
        <w:t>12</w:t>
      </w:r>
      <w:r w:rsidR="0015453B" w:rsidRPr="0015453B">
        <w:rPr>
          <w:rFonts w:eastAsia="Times New Roman" w:cs="Times New Roman"/>
          <w:szCs w:val="24"/>
        </w:rPr>
        <w:t>.2.1. aprakstu par atbildības sadalījumu pārvaldības jomā un visām komitejām, ja tādas izveidotas, to galvenajiem uzdevumiem un atbildības jomām;</w:t>
      </w:r>
    </w:p>
    <w:p w14:paraId="1D93CEE8" w14:textId="31CF2EB0" w:rsidR="0015453B" w:rsidRPr="0015453B" w:rsidRDefault="0015453B" w:rsidP="0015453B">
      <w:pPr>
        <w:jc w:val="both"/>
        <w:outlineLvl w:val="0"/>
        <w:rPr>
          <w:rFonts w:eastAsia="Times New Roman" w:cs="Times New Roman"/>
          <w:szCs w:val="24"/>
        </w:rPr>
      </w:pPr>
      <w:r w:rsidRPr="0015453B">
        <w:rPr>
          <w:rFonts w:eastAsia="Times New Roman" w:cs="Times New Roman"/>
          <w:szCs w:val="24"/>
        </w:rPr>
        <w:t xml:space="preserve">11.2.2. aprakstu par to, kā </w:t>
      </w:r>
      <w:r w:rsidR="009326A6">
        <w:rPr>
          <w:rFonts w:eastAsia="Times New Roman" w:cs="Times New Roman"/>
          <w:szCs w:val="24"/>
        </w:rPr>
        <w:t xml:space="preserve">izveidotās </w:t>
      </w:r>
      <w:r w:rsidRPr="0015453B">
        <w:rPr>
          <w:rFonts w:eastAsia="Times New Roman" w:cs="Times New Roman"/>
          <w:szCs w:val="24"/>
        </w:rPr>
        <w:t>komitejas sadarbojas ar padomi un valdi, lai nodrošinātu</w:t>
      </w:r>
      <w:r w:rsidR="005F71EB">
        <w:rPr>
          <w:rFonts w:eastAsia="Times New Roman" w:cs="Times New Roman"/>
          <w:szCs w:val="24"/>
        </w:rPr>
        <w:t xml:space="preserve"> </w:t>
      </w:r>
      <w:hyperlink r:id="rId24" w:tgtFrame="_blank" w:history="1">
        <w:r w:rsidRPr="0015453B">
          <w:rPr>
            <w:rFonts w:eastAsia="Times New Roman" w:cs="Times New Roman"/>
            <w:szCs w:val="24"/>
          </w:rPr>
          <w:t>Apdrošināšanas un pārapdrošināšanas likuma</w:t>
        </w:r>
      </w:hyperlink>
      <w:r w:rsidR="005F71EB">
        <w:rPr>
          <w:rFonts w:eastAsia="Times New Roman" w:cs="Times New Roman"/>
          <w:szCs w:val="24"/>
        </w:rPr>
        <w:t xml:space="preserve"> </w:t>
      </w:r>
      <w:hyperlink r:id="rId25" w:anchor="p124" w:tgtFrame="_blank" w:history="1">
        <w:r w:rsidRPr="0015453B">
          <w:rPr>
            <w:rFonts w:eastAsia="Times New Roman" w:cs="Times New Roman"/>
            <w:szCs w:val="24"/>
          </w:rPr>
          <w:t>124. panta</w:t>
        </w:r>
      </w:hyperlink>
      <w:r w:rsidRPr="0015453B">
        <w:rPr>
          <w:rFonts w:eastAsia="Times New Roman" w:cs="Times New Roman"/>
          <w:szCs w:val="24"/>
        </w:rPr>
        <w:t xml:space="preserve"> prasību ievērošanu;</w:t>
      </w:r>
    </w:p>
    <w:p w14:paraId="4A755D0B" w14:textId="12325A28" w:rsidR="0015453B" w:rsidRPr="0015453B" w:rsidRDefault="00F13CE9" w:rsidP="0015453B">
      <w:pPr>
        <w:jc w:val="both"/>
        <w:outlineLvl w:val="0"/>
        <w:rPr>
          <w:rFonts w:eastAsia="Times New Roman" w:cs="Times New Roman"/>
          <w:szCs w:val="24"/>
        </w:rPr>
      </w:pPr>
      <w:r>
        <w:rPr>
          <w:rFonts w:eastAsia="Times New Roman" w:cs="Times New Roman"/>
          <w:szCs w:val="24"/>
        </w:rPr>
        <w:t>12</w:t>
      </w:r>
      <w:r w:rsidR="0015453B" w:rsidRPr="0015453B">
        <w:rPr>
          <w:rFonts w:eastAsia="Times New Roman" w:cs="Times New Roman"/>
          <w:szCs w:val="24"/>
        </w:rPr>
        <w:t>.2.3. aprakstu par jebkādām būtiskām izmaiņām iekšējā modeļa pārvaldībā pārskata periodā;</w:t>
      </w:r>
    </w:p>
    <w:p w14:paraId="137F42C5" w14:textId="30B962A9" w:rsidR="0015453B" w:rsidRPr="0015453B" w:rsidRDefault="00F13CE9" w:rsidP="0015453B">
      <w:pPr>
        <w:jc w:val="both"/>
        <w:outlineLvl w:val="0"/>
        <w:rPr>
          <w:rFonts w:eastAsia="Times New Roman" w:cs="Times New Roman"/>
          <w:szCs w:val="24"/>
        </w:rPr>
      </w:pPr>
      <w:r>
        <w:rPr>
          <w:rFonts w:eastAsia="Times New Roman" w:cs="Times New Roman"/>
          <w:szCs w:val="24"/>
        </w:rPr>
        <w:t>12</w:t>
      </w:r>
      <w:r w:rsidR="0015453B" w:rsidRPr="0015453B">
        <w:rPr>
          <w:rFonts w:eastAsia="Times New Roman" w:cs="Times New Roman"/>
          <w:szCs w:val="24"/>
        </w:rPr>
        <w:t>.2.4. aprakstu par novērtēšanas procesu, kuru izmanto iekšējā modeļa darbības un pastāvīgas atbilstības kontrolei.</w:t>
      </w:r>
    </w:p>
    <w:p w14:paraId="143135E4" w14:textId="2A2C8D44" w:rsidR="0015453B" w:rsidRPr="0015453B" w:rsidRDefault="0015453B" w:rsidP="0015453B">
      <w:pPr>
        <w:numPr>
          <w:ilvl w:val="0"/>
          <w:numId w:val="2"/>
        </w:numPr>
        <w:spacing w:before="240"/>
        <w:ind w:left="0" w:firstLine="0"/>
        <w:jc w:val="both"/>
        <w:outlineLvl w:val="0"/>
        <w:rPr>
          <w:rFonts w:eastAsia="Times New Roman" w:cs="Times New Roman"/>
          <w:szCs w:val="24"/>
        </w:rPr>
      </w:pPr>
      <w:r w:rsidRPr="0015453B">
        <w:rPr>
          <w:rFonts w:eastAsia="Times New Roman" w:cs="Times New Roman"/>
          <w:szCs w:val="24"/>
        </w:rPr>
        <w:t>Saskaņā ar Regulas</w:t>
      </w:r>
      <w:r w:rsidR="00901349">
        <w:rPr>
          <w:rFonts w:eastAsia="Times New Roman" w:cs="Times New Roman"/>
          <w:szCs w:val="24"/>
        </w:rPr>
        <w:t> </w:t>
      </w:r>
      <w:hyperlink r:id="rId26" w:tgtFrame="_blank" w:history="1">
        <w:r w:rsidRPr="0015453B">
          <w:rPr>
            <w:rFonts w:eastAsia="Times New Roman" w:cs="Times New Roman"/>
            <w:szCs w:val="24"/>
          </w:rPr>
          <w:t>2015/35</w:t>
        </w:r>
      </w:hyperlink>
      <w:r w:rsidRPr="0015453B">
        <w:rPr>
          <w:rFonts w:eastAsia="Times New Roman" w:cs="Times New Roman"/>
          <w:szCs w:val="24"/>
        </w:rPr>
        <w:t xml:space="preserve"> 295. pantā minēto sabiedrība atsevišķi par katru riska kategoriju norāda riska darījumu apmēru, būtisku riska koncentrāciju, riska ierobežošanas metožu, stresa testu un riska jutīguma analīzes rezultātu aprakstu. </w:t>
      </w:r>
      <w:r w:rsidR="00260836">
        <w:rPr>
          <w:rFonts w:eastAsia="Times New Roman" w:cs="Times New Roman"/>
          <w:szCs w:val="24"/>
        </w:rPr>
        <w:t>Ziņojuma</w:t>
      </w:r>
      <w:r w:rsidRPr="0015453B">
        <w:rPr>
          <w:rFonts w:eastAsia="Times New Roman" w:cs="Times New Roman"/>
          <w:szCs w:val="24"/>
        </w:rPr>
        <w:t xml:space="preserve"> iedaļā C.1</w:t>
      </w:r>
      <w:r w:rsidR="006C7BD6">
        <w:rPr>
          <w:rFonts w:eastAsia="Times New Roman" w:cs="Times New Roman"/>
          <w:szCs w:val="24"/>
        </w:rPr>
        <w:t> </w:t>
      </w:r>
      <w:r w:rsidRPr="0015453B">
        <w:rPr>
          <w:rFonts w:eastAsia="Times New Roman" w:cs="Times New Roman"/>
          <w:szCs w:val="24"/>
        </w:rPr>
        <w:t xml:space="preserve">"Parakstīšanas risks" </w:t>
      </w:r>
      <w:r w:rsidR="00260836">
        <w:rPr>
          <w:rFonts w:eastAsia="Times New Roman" w:cs="Times New Roman"/>
          <w:szCs w:val="24"/>
        </w:rPr>
        <w:t xml:space="preserve">sabiedrība </w:t>
      </w:r>
      <w:r w:rsidRPr="0015453B">
        <w:rPr>
          <w:rFonts w:eastAsia="Times New Roman" w:cs="Times New Roman"/>
          <w:szCs w:val="24"/>
        </w:rPr>
        <w:t>sniedz informāciju par sadarbību ar īpašam nolūkam dibinātu sabiedrību, kas atbilst</w:t>
      </w:r>
      <w:r w:rsidR="005F71EB">
        <w:rPr>
          <w:rFonts w:eastAsia="Times New Roman" w:cs="Times New Roman"/>
          <w:szCs w:val="24"/>
        </w:rPr>
        <w:t xml:space="preserve"> </w:t>
      </w:r>
      <w:hyperlink r:id="rId27" w:tgtFrame="_blank" w:history="1">
        <w:r w:rsidRPr="0015453B">
          <w:rPr>
            <w:rFonts w:eastAsia="Times New Roman" w:cs="Times New Roman"/>
            <w:szCs w:val="24"/>
          </w:rPr>
          <w:t>Apdrošināšanas un pārapdrošināšanas likuma</w:t>
        </w:r>
      </w:hyperlink>
      <w:r w:rsidRPr="0015453B">
        <w:rPr>
          <w:rFonts w:eastAsia="Times New Roman" w:cs="Times New Roman"/>
          <w:szCs w:val="24"/>
        </w:rPr>
        <w:t xml:space="preserve"> </w:t>
      </w:r>
      <w:hyperlink r:id="rId28" w:anchor="p28" w:tgtFrame="_blank" w:history="1">
        <w:r w:rsidRPr="0015453B">
          <w:rPr>
            <w:rFonts w:eastAsia="Times New Roman" w:cs="Times New Roman"/>
            <w:szCs w:val="24"/>
          </w:rPr>
          <w:t>28. panta</w:t>
        </w:r>
      </w:hyperlink>
      <w:r w:rsidRPr="0015453B">
        <w:rPr>
          <w:rFonts w:eastAsia="Times New Roman" w:cs="Times New Roman"/>
          <w:szCs w:val="24"/>
        </w:rPr>
        <w:t xml:space="preserve"> prasībām, aprakstot, kā tā identificē riskus, kas nodoti īpašam nolūkam dibinātai sabiedrībai, un kā tā regulāri izvērtē pilnīgas finansēšanas mehānismu.</w:t>
      </w:r>
    </w:p>
    <w:p w14:paraId="3EED39C1" w14:textId="0E1F0A91" w:rsidR="0015453B" w:rsidRPr="0015453B" w:rsidRDefault="0015453B" w:rsidP="0015453B">
      <w:pPr>
        <w:numPr>
          <w:ilvl w:val="0"/>
          <w:numId w:val="2"/>
        </w:numPr>
        <w:spacing w:before="240"/>
        <w:ind w:left="0" w:firstLine="0"/>
        <w:jc w:val="both"/>
        <w:outlineLvl w:val="0"/>
        <w:rPr>
          <w:rFonts w:eastAsia="Times New Roman" w:cs="Times New Roman"/>
          <w:szCs w:val="24"/>
        </w:rPr>
      </w:pPr>
      <w:r w:rsidRPr="0015453B">
        <w:rPr>
          <w:rFonts w:eastAsia="Times New Roman" w:cs="Times New Roman"/>
          <w:szCs w:val="24"/>
        </w:rPr>
        <w:t>Saskaņā ar Regulas</w:t>
      </w:r>
      <w:r w:rsidR="00901349">
        <w:rPr>
          <w:rFonts w:eastAsia="Times New Roman" w:cs="Times New Roman"/>
          <w:szCs w:val="24"/>
        </w:rPr>
        <w:t> </w:t>
      </w:r>
      <w:hyperlink r:id="rId29" w:tgtFrame="_blank" w:history="1">
        <w:r w:rsidRPr="0015453B">
          <w:rPr>
            <w:rFonts w:eastAsia="Times New Roman" w:cs="Times New Roman"/>
            <w:szCs w:val="24"/>
          </w:rPr>
          <w:t>2015/35</w:t>
        </w:r>
      </w:hyperlink>
      <w:r w:rsidRPr="0015453B">
        <w:rPr>
          <w:rFonts w:eastAsia="Times New Roman" w:cs="Times New Roman"/>
          <w:szCs w:val="24"/>
        </w:rPr>
        <w:t xml:space="preserve"> 296. pantā minēto sabiedrība atsevišķi par bilances aktīvu, tehnisko rezervju un pārējo saistību posteņiem norāda to novērtēšanā maksātspējas vajadzībām izmantoto metožu un pieņēmumu aprakstu, kā arī skaidrojumu par jebkurām būtiskām atšķirībām to novērtēšanā finanšu pārskatos izmantotajās metodēs un pieņēmumos,</w:t>
      </w:r>
      <w:r w:rsidR="00000987">
        <w:rPr>
          <w:rFonts w:eastAsia="Times New Roman" w:cs="Times New Roman"/>
          <w:szCs w:val="24"/>
        </w:rPr>
        <w:t xml:space="preserve"> tai skaitā</w:t>
      </w:r>
      <w:r w:rsidRPr="0015453B">
        <w:rPr>
          <w:rFonts w:eastAsia="Times New Roman" w:cs="Times New Roman"/>
          <w:szCs w:val="24"/>
        </w:rPr>
        <w:t>:</w:t>
      </w:r>
    </w:p>
    <w:p w14:paraId="2DCD775B" w14:textId="77F387B6" w:rsidR="0015453B" w:rsidRPr="0015453B" w:rsidRDefault="00F13CE9" w:rsidP="0015453B">
      <w:pPr>
        <w:jc w:val="both"/>
        <w:outlineLvl w:val="0"/>
        <w:rPr>
          <w:rFonts w:eastAsia="Times New Roman" w:cs="Times New Roman"/>
          <w:szCs w:val="24"/>
        </w:rPr>
      </w:pPr>
      <w:r>
        <w:rPr>
          <w:rFonts w:eastAsia="Times New Roman" w:cs="Times New Roman"/>
          <w:szCs w:val="24"/>
        </w:rPr>
        <w:t>14</w:t>
      </w:r>
      <w:r w:rsidR="0015453B" w:rsidRPr="0015453B">
        <w:rPr>
          <w:rFonts w:eastAsia="Times New Roman" w:cs="Times New Roman"/>
          <w:szCs w:val="24"/>
        </w:rPr>
        <w:t>.1. </w:t>
      </w:r>
      <w:r w:rsidR="00B45CD8">
        <w:rPr>
          <w:rFonts w:eastAsia="Times New Roman" w:cs="Times New Roman"/>
          <w:szCs w:val="24"/>
        </w:rPr>
        <w:t xml:space="preserve">ziņojuma </w:t>
      </w:r>
      <w:r w:rsidR="0015453B" w:rsidRPr="0015453B">
        <w:rPr>
          <w:rFonts w:eastAsia="Times New Roman" w:cs="Times New Roman"/>
          <w:szCs w:val="24"/>
        </w:rPr>
        <w:t>iedaļā D.1</w:t>
      </w:r>
      <w:r w:rsidR="00B57A86">
        <w:rPr>
          <w:rFonts w:eastAsia="Times New Roman" w:cs="Times New Roman"/>
          <w:szCs w:val="24"/>
        </w:rPr>
        <w:t> </w:t>
      </w:r>
      <w:r w:rsidR="0015453B" w:rsidRPr="0015453B">
        <w:rPr>
          <w:rFonts w:eastAsia="Times New Roman" w:cs="Times New Roman"/>
          <w:szCs w:val="24"/>
        </w:rPr>
        <w:t xml:space="preserve">"Aktīvi" sabiedrība, lai aprakstītu aktīva posteņu vērtējuma pamatojumu, aktīvus grupē, ņemot vērā to būtību, funkcionalitāti, riskus un būtiskumu. Vienlaikus par katru būtisku aktīva posteņu grupu sniedz vismaz šādu kvalitatīvu un kvantitatīvu informāciju – atzīšanas uzskaitē un vērtēšanas pamatojumu, </w:t>
      </w:r>
      <w:r w:rsidR="00000987">
        <w:rPr>
          <w:rFonts w:eastAsia="Times New Roman" w:cs="Times New Roman"/>
          <w:szCs w:val="24"/>
        </w:rPr>
        <w:t xml:space="preserve">tai skaitā </w:t>
      </w:r>
      <w:r w:rsidR="0015453B" w:rsidRPr="0015453B">
        <w:rPr>
          <w:rFonts w:eastAsia="Times New Roman" w:cs="Times New Roman"/>
          <w:szCs w:val="24"/>
        </w:rPr>
        <w:t>aprakstu par izmantotajām metodēm un informācijas avotiem, kā arī spriedumos, kas nav aplēses, izmantotajiem apsvērumiem par šādiem posteņiem:</w:t>
      </w:r>
    </w:p>
    <w:p w14:paraId="3E68BA85" w14:textId="0CE659E0" w:rsidR="0015453B" w:rsidRPr="0015453B" w:rsidRDefault="00F13CE9" w:rsidP="0015453B">
      <w:pPr>
        <w:jc w:val="both"/>
        <w:outlineLvl w:val="0"/>
        <w:rPr>
          <w:rFonts w:eastAsia="Times New Roman" w:cs="Times New Roman"/>
          <w:szCs w:val="24"/>
        </w:rPr>
      </w:pPr>
      <w:r>
        <w:rPr>
          <w:rFonts w:eastAsia="Times New Roman" w:cs="Times New Roman"/>
          <w:szCs w:val="24"/>
        </w:rPr>
        <w:t>14</w:t>
      </w:r>
      <w:r w:rsidR="0015453B" w:rsidRPr="0015453B">
        <w:rPr>
          <w:rFonts w:eastAsia="Times New Roman" w:cs="Times New Roman"/>
          <w:szCs w:val="24"/>
        </w:rPr>
        <w:t>.1.1. nemateriālajiem aktīviem, kuru summas ir būtiskas, – to būtības aprakstu un informāciju par izmantotajiem pierādījumiem un kritērijiem, kas ļauj secināt, ka šādiem aktīviem eksistē aktīvs tirgus;</w:t>
      </w:r>
    </w:p>
    <w:p w14:paraId="52C85FB3" w14:textId="6FD33B4E" w:rsidR="0015453B" w:rsidRPr="0015453B" w:rsidRDefault="00F13CE9" w:rsidP="0015453B">
      <w:pPr>
        <w:jc w:val="both"/>
        <w:outlineLvl w:val="0"/>
        <w:rPr>
          <w:rFonts w:eastAsia="Times New Roman" w:cs="Times New Roman"/>
          <w:szCs w:val="24"/>
        </w:rPr>
      </w:pPr>
      <w:r>
        <w:rPr>
          <w:rFonts w:eastAsia="Times New Roman" w:cs="Times New Roman"/>
          <w:szCs w:val="24"/>
        </w:rPr>
        <w:t>14</w:t>
      </w:r>
      <w:r w:rsidR="0015453B" w:rsidRPr="0015453B">
        <w:rPr>
          <w:rFonts w:eastAsia="Times New Roman" w:cs="Times New Roman"/>
          <w:szCs w:val="24"/>
        </w:rPr>
        <w:t>.1.2. finanšu aktīviem, kuros veikti būtiski ieguldījumi, – informāciju par izmantotajiem kritērijiem, lai novērtētu aktīva tirgus esamību, bet neaktīva tirgus situācijā</w:t>
      </w:r>
      <w:r w:rsidR="006B34FB">
        <w:rPr>
          <w:rFonts w:eastAsia="Times New Roman" w:cs="Times New Roman"/>
          <w:szCs w:val="24"/>
        </w:rPr>
        <w:t> </w:t>
      </w:r>
      <w:r w:rsidR="0015453B" w:rsidRPr="0015453B">
        <w:rPr>
          <w:rFonts w:eastAsia="Times New Roman" w:cs="Times New Roman"/>
          <w:szCs w:val="24"/>
        </w:rPr>
        <w:t>– aprakstu par vērtējumam izmantoto modeli;</w:t>
      </w:r>
    </w:p>
    <w:p w14:paraId="6C0C38A1" w14:textId="15971919" w:rsidR="0015453B" w:rsidRPr="0015453B" w:rsidRDefault="00F13CE9" w:rsidP="0015453B">
      <w:pPr>
        <w:jc w:val="both"/>
        <w:outlineLvl w:val="0"/>
        <w:rPr>
          <w:rFonts w:eastAsia="Times New Roman" w:cs="Times New Roman"/>
          <w:szCs w:val="24"/>
        </w:rPr>
      </w:pPr>
      <w:r>
        <w:rPr>
          <w:rFonts w:eastAsia="Times New Roman" w:cs="Times New Roman"/>
          <w:szCs w:val="24"/>
        </w:rPr>
        <w:t>14</w:t>
      </w:r>
      <w:r w:rsidR="0015453B" w:rsidRPr="0015453B">
        <w:rPr>
          <w:rFonts w:eastAsia="Times New Roman" w:cs="Times New Roman"/>
          <w:szCs w:val="24"/>
        </w:rPr>
        <w:t>.1.3. finanšu un operatīvo nomu – nomas līgumu aprakstu, sasaistot to ar attiecīgo aktīvu, uz kuriem nomas līgumi attiecas, grupu;</w:t>
      </w:r>
    </w:p>
    <w:p w14:paraId="2BE57A31" w14:textId="60AA8E00" w:rsidR="0015453B" w:rsidRPr="0015453B" w:rsidRDefault="00F13CE9" w:rsidP="0015453B">
      <w:pPr>
        <w:jc w:val="both"/>
        <w:outlineLvl w:val="0"/>
        <w:rPr>
          <w:rFonts w:eastAsia="Times New Roman" w:cs="Times New Roman"/>
          <w:szCs w:val="24"/>
        </w:rPr>
      </w:pPr>
      <w:r>
        <w:rPr>
          <w:rFonts w:eastAsia="Times New Roman" w:cs="Times New Roman"/>
          <w:szCs w:val="24"/>
        </w:rPr>
        <w:t>14</w:t>
      </w:r>
      <w:r w:rsidR="0015453B" w:rsidRPr="0015453B">
        <w:rPr>
          <w:rFonts w:eastAsia="Times New Roman" w:cs="Times New Roman"/>
          <w:szCs w:val="24"/>
        </w:rPr>
        <w:t>.1.4. atliktā nodokļa aktīviem, kuru summas ir būtiskas, – informāciju par atliktā nodokļa aktīvu atzīšanas pamatojumu, kā arī atskaitāmo pagaidu starpību, neizmantoto nodokļa zaudējumu un neizmantoto nodokļa kredītu apmēru un to izmantošanas termiņiem;</w:t>
      </w:r>
    </w:p>
    <w:p w14:paraId="1D8D6D77" w14:textId="0A167F81" w:rsidR="0015453B" w:rsidRPr="0015453B" w:rsidRDefault="00F13CE9" w:rsidP="0015453B">
      <w:pPr>
        <w:jc w:val="both"/>
        <w:outlineLvl w:val="0"/>
        <w:rPr>
          <w:rFonts w:eastAsia="Times New Roman" w:cs="Times New Roman"/>
          <w:szCs w:val="24"/>
        </w:rPr>
      </w:pPr>
      <w:r>
        <w:rPr>
          <w:rFonts w:eastAsia="Times New Roman" w:cs="Times New Roman"/>
          <w:szCs w:val="24"/>
        </w:rPr>
        <w:t>14</w:t>
      </w:r>
      <w:r w:rsidR="0015453B" w:rsidRPr="0015453B">
        <w:rPr>
          <w:rFonts w:eastAsia="Times New Roman" w:cs="Times New Roman"/>
          <w:szCs w:val="24"/>
        </w:rPr>
        <w:t>.1.5. saistītajām sabiedrībām – ja ieguldījuma vērtība netika noteikta, izmantojot aktīvā tirgū kotētas cenas vai izmantojot koriģēto pašu kapitāla metodi, sniedz skaidrojumu par iemesliem, kāpēc vērtības noteikšana šādi nebija iespējama vai praktiski īstenojama;</w:t>
      </w:r>
    </w:p>
    <w:p w14:paraId="55AD2288" w14:textId="23C256C4" w:rsidR="0015453B" w:rsidRPr="0015453B" w:rsidRDefault="00F13CE9" w:rsidP="0015453B">
      <w:pPr>
        <w:shd w:val="clear" w:color="auto" w:fill="FFFFFF"/>
        <w:jc w:val="both"/>
        <w:rPr>
          <w:rFonts w:eastAsia="Times New Roman" w:cs="Times New Roman"/>
          <w:szCs w:val="24"/>
        </w:rPr>
      </w:pPr>
      <w:r>
        <w:rPr>
          <w:rFonts w:eastAsia="Times New Roman" w:cs="Times New Roman"/>
          <w:szCs w:val="24"/>
        </w:rPr>
        <w:t>14</w:t>
      </w:r>
      <w:r w:rsidR="0015453B" w:rsidRPr="0015453B">
        <w:rPr>
          <w:rFonts w:eastAsia="Times New Roman" w:cs="Times New Roman"/>
          <w:szCs w:val="24"/>
        </w:rPr>
        <w:t>.</w:t>
      </w:r>
      <w:hyperlink r:id="rId30" w:anchor="n2" w:history="1">
        <w:r w:rsidR="0015453B" w:rsidRPr="0015453B">
          <w:rPr>
            <w:rFonts w:eastAsia="Times New Roman" w:cs="Times New Roman"/>
            <w:szCs w:val="24"/>
          </w:rPr>
          <w:t>2. </w:t>
        </w:r>
      </w:hyperlink>
      <w:r w:rsidR="00B45CD8">
        <w:rPr>
          <w:rFonts w:eastAsia="Times New Roman" w:cs="Times New Roman"/>
          <w:szCs w:val="24"/>
        </w:rPr>
        <w:t xml:space="preserve">ziņojuma </w:t>
      </w:r>
      <w:r w:rsidR="0015453B" w:rsidRPr="0015453B">
        <w:rPr>
          <w:rFonts w:eastAsia="Times New Roman" w:cs="Times New Roman"/>
          <w:szCs w:val="24"/>
        </w:rPr>
        <w:t>iedaļā D.2</w:t>
      </w:r>
      <w:r w:rsidR="00B57A86">
        <w:rPr>
          <w:rFonts w:eastAsia="Times New Roman" w:cs="Times New Roman"/>
          <w:szCs w:val="24"/>
        </w:rPr>
        <w:t> </w:t>
      </w:r>
      <w:r w:rsidR="0015453B" w:rsidRPr="0015453B">
        <w:rPr>
          <w:rFonts w:eastAsia="Times New Roman" w:cs="Times New Roman"/>
          <w:szCs w:val="24"/>
        </w:rPr>
        <w:t xml:space="preserve">"Tehniskās rezerves" sabiedrība apraksta tehnisko rezervju aprēķinā izmantotās būtiskākās vienkāršotās metodes, </w:t>
      </w:r>
      <w:r w:rsidR="00000987">
        <w:rPr>
          <w:rFonts w:eastAsia="Times New Roman" w:cs="Times New Roman"/>
          <w:szCs w:val="24"/>
        </w:rPr>
        <w:t xml:space="preserve">tai skaitā </w:t>
      </w:r>
      <w:r w:rsidR="0015453B" w:rsidRPr="0015453B">
        <w:rPr>
          <w:rFonts w:eastAsia="Times New Roman" w:cs="Times New Roman"/>
          <w:szCs w:val="24"/>
        </w:rPr>
        <w:t>tās, kuras izmantotas riska rezerves aprēķinam;</w:t>
      </w:r>
    </w:p>
    <w:p w14:paraId="6E128D00" w14:textId="6F1AD5C9" w:rsidR="0015453B" w:rsidRPr="0015453B" w:rsidRDefault="00F13CE9" w:rsidP="0015453B">
      <w:pPr>
        <w:shd w:val="clear" w:color="auto" w:fill="FFFFFF"/>
        <w:jc w:val="both"/>
        <w:rPr>
          <w:rFonts w:eastAsia="Times New Roman" w:cs="Times New Roman"/>
          <w:szCs w:val="24"/>
        </w:rPr>
      </w:pPr>
      <w:r>
        <w:rPr>
          <w:rFonts w:eastAsia="Times New Roman" w:cs="Times New Roman"/>
          <w:szCs w:val="24"/>
        </w:rPr>
        <w:t>14</w:t>
      </w:r>
      <w:r w:rsidR="0015453B" w:rsidRPr="0015453B">
        <w:rPr>
          <w:rFonts w:eastAsia="Times New Roman" w:cs="Times New Roman"/>
          <w:szCs w:val="24"/>
        </w:rPr>
        <w:t>.</w:t>
      </w:r>
      <w:hyperlink r:id="rId31" w:anchor="n3" w:history="1">
        <w:r w:rsidR="0015453B" w:rsidRPr="0015453B">
          <w:rPr>
            <w:rFonts w:eastAsia="Times New Roman" w:cs="Times New Roman"/>
            <w:szCs w:val="24"/>
          </w:rPr>
          <w:t>3. </w:t>
        </w:r>
      </w:hyperlink>
      <w:r w:rsidR="00B45CD8">
        <w:rPr>
          <w:rFonts w:eastAsia="Times New Roman" w:cs="Times New Roman"/>
          <w:szCs w:val="24"/>
        </w:rPr>
        <w:t>ziņoj</w:t>
      </w:r>
      <w:r w:rsidR="00503F85">
        <w:rPr>
          <w:rFonts w:eastAsia="Times New Roman" w:cs="Times New Roman"/>
          <w:szCs w:val="24"/>
        </w:rPr>
        <w:t>u</w:t>
      </w:r>
      <w:r w:rsidR="00B45CD8">
        <w:rPr>
          <w:rFonts w:eastAsia="Times New Roman" w:cs="Times New Roman"/>
          <w:szCs w:val="24"/>
        </w:rPr>
        <w:t xml:space="preserve">ma </w:t>
      </w:r>
      <w:r w:rsidR="0015453B" w:rsidRPr="0015453B">
        <w:rPr>
          <w:rFonts w:eastAsia="Times New Roman" w:cs="Times New Roman"/>
          <w:szCs w:val="24"/>
        </w:rPr>
        <w:t>iedaļā D.3</w:t>
      </w:r>
      <w:r w:rsidR="00B57A86">
        <w:rPr>
          <w:rFonts w:eastAsia="Times New Roman" w:cs="Times New Roman"/>
          <w:szCs w:val="24"/>
        </w:rPr>
        <w:t> </w:t>
      </w:r>
      <w:r w:rsidR="0015453B" w:rsidRPr="0015453B">
        <w:rPr>
          <w:rFonts w:eastAsia="Times New Roman" w:cs="Times New Roman"/>
          <w:szCs w:val="24"/>
        </w:rPr>
        <w:t xml:space="preserve">"Citas saistības" sabiedrība, lai aprakstītu citu saistību posteņu vērtējuma pamatojumu, saistības grupē, ņemot vērā to būtību, funkcionalitāti, riskus un būtiskumu. Vienlaikus par katru būtisku citu saistību posteņu grupu sniedz vismaz šādu kvalitatīvo un kvantitatīvo informāciju – atzīšanas uzskaitē un vērtēšanas pamatojumu, </w:t>
      </w:r>
      <w:r w:rsidR="00000987">
        <w:rPr>
          <w:rFonts w:eastAsia="Times New Roman" w:cs="Times New Roman"/>
          <w:szCs w:val="24"/>
        </w:rPr>
        <w:t xml:space="preserve">tai skaitā </w:t>
      </w:r>
      <w:r w:rsidR="0015453B" w:rsidRPr="0015453B">
        <w:rPr>
          <w:rFonts w:eastAsia="Times New Roman" w:cs="Times New Roman"/>
          <w:szCs w:val="24"/>
        </w:rPr>
        <w:t>aprakstu par izmantotajām metodēm un informācijas avotiem:</w:t>
      </w:r>
    </w:p>
    <w:p w14:paraId="58B831C9" w14:textId="64E4E25D" w:rsidR="0015453B" w:rsidRPr="0015453B" w:rsidRDefault="00F13CE9" w:rsidP="0015453B">
      <w:pPr>
        <w:shd w:val="clear" w:color="auto" w:fill="FFFFFF"/>
        <w:jc w:val="both"/>
        <w:rPr>
          <w:rFonts w:eastAsia="Times New Roman" w:cs="Times New Roman"/>
          <w:szCs w:val="24"/>
        </w:rPr>
      </w:pPr>
      <w:r>
        <w:rPr>
          <w:rFonts w:eastAsia="Times New Roman" w:cs="Times New Roman"/>
          <w:szCs w:val="24"/>
        </w:rPr>
        <w:t>14</w:t>
      </w:r>
      <w:r w:rsidR="0015453B" w:rsidRPr="0015453B">
        <w:rPr>
          <w:rFonts w:eastAsia="Times New Roman" w:cs="Times New Roman"/>
          <w:szCs w:val="24"/>
        </w:rPr>
        <w:t>.3.1. aprakstu par būtiskām saistību summām, kas izriet no finanšu un operatīvās nomas līgumiem;</w:t>
      </w:r>
    </w:p>
    <w:p w14:paraId="2D5ABE5E" w14:textId="3BCCEE6A" w:rsidR="0015453B" w:rsidRPr="0015453B" w:rsidRDefault="00F13CE9" w:rsidP="0015453B">
      <w:pPr>
        <w:shd w:val="clear" w:color="auto" w:fill="FFFFFF"/>
        <w:jc w:val="both"/>
        <w:rPr>
          <w:rFonts w:eastAsia="Times New Roman" w:cs="Times New Roman"/>
          <w:szCs w:val="24"/>
        </w:rPr>
      </w:pPr>
      <w:r>
        <w:rPr>
          <w:rFonts w:eastAsia="Times New Roman" w:cs="Times New Roman"/>
          <w:szCs w:val="24"/>
        </w:rPr>
        <w:t>14</w:t>
      </w:r>
      <w:r w:rsidR="0015453B" w:rsidRPr="0015453B">
        <w:rPr>
          <w:rFonts w:eastAsia="Times New Roman" w:cs="Times New Roman"/>
          <w:szCs w:val="24"/>
        </w:rPr>
        <w:t>.3.2. aprakstu par atliktā nodokļa saistībām, kuru summas ir būtiskas, kā arī ar nodokli apliekamo pagaidu starpību apmēru un to izmantošanas termiņiem;</w:t>
      </w:r>
    </w:p>
    <w:p w14:paraId="0D45E788" w14:textId="1B94895C" w:rsidR="0015453B" w:rsidRPr="0082793F" w:rsidRDefault="00F13CE9" w:rsidP="0015453B">
      <w:pPr>
        <w:shd w:val="clear" w:color="auto" w:fill="FFFFFF"/>
        <w:jc w:val="both"/>
        <w:rPr>
          <w:rFonts w:eastAsia="Times New Roman" w:cs="Times New Roman"/>
          <w:szCs w:val="24"/>
        </w:rPr>
      </w:pPr>
      <w:r w:rsidRPr="0082793F">
        <w:rPr>
          <w:rFonts w:eastAsia="Times New Roman" w:cs="Times New Roman"/>
          <w:szCs w:val="24"/>
        </w:rPr>
        <w:t>14</w:t>
      </w:r>
      <w:r w:rsidR="0015453B" w:rsidRPr="0082793F">
        <w:rPr>
          <w:rFonts w:eastAsia="Times New Roman" w:cs="Times New Roman"/>
          <w:szCs w:val="24"/>
        </w:rPr>
        <w:t>.3.3. saistību būtības aprakstu un, ja zināms, sagaidāmo saimniecisko labumu aizplūdes laika periodu un norādes par nenoteiktībām attiecībā uz saimniecisko labumu aizplūdes apmēru vai laika periodu, kā arī to, kā saistību vērtējumā ņemts vērā saistību izpildes novirzes risks;</w:t>
      </w:r>
    </w:p>
    <w:p w14:paraId="4DCFF58B" w14:textId="4179D2A8" w:rsidR="0015453B" w:rsidRPr="0015453B" w:rsidRDefault="00F13CE9" w:rsidP="0015453B">
      <w:pPr>
        <w:shd w:val="clear" w:color="auto" w:fill="FFFFFF"/>
        <w:jc w:val="both"/>
        <w:rPr>
          <w:rFonts w:eastAsia="Times New Roman" w:cs="Times New Roman"/>
          <w:szCs w:val="24"/>
        </w:rPr>
      </w:pPr>
      <w:r w:rsidRPr="0082793F">
        <w:rPr>
          <w:rFonts w:eastAsia="Times New Roman" w:cs="Times New Roman"/>
          <w:szCs w:val="24"/>
        </w:rPr>
        <w:t>14</w:t>
      </w:r>
      <w:r w:rsidR="0015453B" w:rsidRPr="0082793F">
        <w:rPr>
          <w:rFonts w:eastAsia="Times New Roman" w:cs="Times New Roman"/>
          <w:szCs w:val="24"/>
        </w:rPr>
        <w:t>.3.4. darbinieku pensiju pabalstu saistību būtības aprakstu un šo pabalstu apmēra sadalījumu, ņemot vērā šādu saistību un noteikto izmaksu pensiju plānu aktīvu būtību, kā</w:t>
      </w:r>
      <w:r w:rsidR="0015453B" w:rsidRPr="0015453B">
        <w:rPr>
          <w:rFonts w:eastAsia="Times New Roman" w:cs="Times New Roman"/>
          <w:szCs w:val="24"/>
        </w:rPr>
        <w:t xml:space="preserve"> arī katras aktīvu grupas vērtību un tās procentuālo īpatsvaru kopējos noteikto izmaksu pensiju plānu aktīvos, iekļaujot atmaksāšanas tiesības;</w:t>
      </w:r>
    </w:p>
    <w:p w14:paraId="3E0BA49F" w14:textId="7993591C" w:rsidR="0015453B" w:rsidRPr="0015453B" w:rsidRDefault="00F13CE9" w:rsidP="0015453B">
      <w:pPr>
        <w:shd w:val="clear" w:color="auto" w:fill="FFFFFF"/>
        <w:jc w:val="both"/>
        <w:rPr>
          <w:rFonts w:eastAsia="Times New Roman" w:cs="Times New Roman"/>
          <w:szCs w:val="24"/>
        </w:rPr>
      </w:pPr>
      <w:r>
        <w:rPr>
          <w:rFonts w:eastAsia="Times New Roman" w:cs="Times New Roman"/>
          <w:szCs w:val="24"/>
        </w:rPr>
        <w:t>14</w:t>
      </w:r>
      <w:r w:rsidR="0015453B" w:rsidRPr="0015453B">
        <w:rPr>
          <w:rFonts w:eastAsia="Times New Roman" w:cs="Times New Roman"/>
          <w:szCs w:val="24"/>
        </w:rPr>
        <w:t>.4. sniedz aprakstu par izmaiņām bilances aktīvu un citu saistību posteņu atzīšanas un vērtēšanas pamatojumā vai aplēsēs pārskata periodā;</w:t>
      </w:r>
    </w:p>
    <w:p w14:paraId="5FB73A68" w14:textId="24CE7E76" w:rsidR="0015453B" w:rsidRPr="0015453B" w:rsidRDefault="00F13CE9" w:rsidP="0015453B">
      <w:pPr>
        <w:shd w:val="clear" w:color="auto" w:fill="FFFFFF"/>
        <w:jc w:val="both"/>
        <w:rPr>
          <w:rFonts w:eastAsia="Times New Roman" w:cs="Times New Roman"/>
          <w:szCs w:val="24"/>
        </w:rPr>
      </w:pPr>
      <w:r>
        <w:rPr>
          <w:rFonts w:eastAsia="Times New Roman" w:cs="Times New Roman"/>
          <w:szCs w:val="24"/>
        </w:rPr>
        <w:t>14</w:t>
      </w:r>
      <w:r w:rsidR="0015453B" w:rsidRPr="0015453B">
        <w:rPr>
          <w:rFonts w:eastAsia="Times New Roman" w:cs="Times New Roman"/>
          <w:szCs w:val="24"/>
        </w:rPr>
        <w:t>.5. sniedz aprakstu par bilances aktīvu un citu saistību vērtēšanā izmantotajiem pieņēmumiem un spriedumiem un citiem aplēšu nenoteiktības avotiem;</w:t>
      </w:r>
    </w:p>
    <w:p w14:paraId="13488F09" w14:textId="6F1384CC" w:rsidR="0015453B" w:rsidRPr="0015453B" w:rsidRDefault="00F13CE9" w:rsidP="0015453B">
      <w:pPr>
        <w:shd w:val="clear" w:color="auto" w:fill="FFFFFF"/>
        <w:jc w:val="both"/>
        <w:rPr>
          <w:rFonts w:eastAsia="Times New Roman" w:cs="Times New Roman"/>
          <w:szCs w:val="24"/>
        </w:rPr>
      </w:pPr>
      <w:r>
        <w:rPr>
          <w:rFonts w:eastAsia="Times New Roman" w:cs="Times New Roman"/>
          <w:szCs w:val="24"/>
        </w:rPr>
        <w:t>14</w:t>
      </w:r>
      <w:r w:rsidR="0015453B" w:rsidRPr="0015453B">
        <w:rPr>
          <w:rFonts w:eastAsia="Times New Roman" w:cs="Times New Roman"/>
          <w:szCs w:val="24"/>
        </w:rPr>
        <w:t xml:space="preserve">.6. bilances aktīvu, tehnisko rezervju un citu saistību posteņu grupēšanai piemēro </w:t>
      </w:r>
      <w:r w:rsidR="00823E29">
        <w:rPr>
          <w:rFonts w:eastAsia="Times New Roman" w:cs="Times New Roman"/>
          <w:szCs w:val="24"/>
        </w:rPr>
        <w:t>Komisijas 2023. gada 4. aprīļa īstenošanas regulā (ES)</w:t>
      </w:r>
      <w:r w:rsidR="00901349">
        <w:rPr>
          <w:rFonts w:eastAsia="Times New Roman" w:cs="Times New Roman"/>
          <w:szCs w:val="24"/>
        </w:rPr>
        <w:t> </w:t>
      </w:r>
      <w:r w:rsidR="00823E29">
        <w:rPr>
          <w:rFonts w:eastAsia="Times New Roman" w:cs="Times New Roman"/>
          <w:szCs w:val="24"/>
        </w:rPr>
        <w:t>2023/894, ar ko nosaka īstenošanas tehniskos standartus Eiropas Parlamenta un Padomes direktīvas</w:t>
      </w:r>
      <w:r w:rsidR="00901349">
        <w:rPr>
          <w:rFonts w:eastAsia="Times New Roman" w:cs="Times New Roman"/>
          <w:szCs w:val="24"/>
        </w:rPr>
        <w:t> </w:t>
      </w:r>
      <w:r w:rsidR="00823E29">
        <w:rPr>
          <w:rFonts w:eastAsia="Times New Roman" w:cs="Times New Roman"/>
          <w:szCs w:val="24"/>
        </w:rPr>
        <w:t>2009/138</w:t>
      </w:r>
      <w:r w:rsidR="00B57A86">
        <w:rPr>
          <w:rFonts w:eastAsia="Times New Roman" w:cs="Times New Roman"/>
          <w:szCs w:val="24"/>
        </w:rPr>
        <w:t>/</w:t>
      </w:r>
      <w:r w:rsidR="00823E29">
        <w:rPr>
          <w:rFonts w:eastAsia="Times New Roman" w:cs="Times New Roman"/>
          <w:szCs w:val="24"/>
        </w:rPr>
        <w:t xml:space="preserve">EK piemērošanai attiecībā uz veidnēm, kuras apdrošināšanas un pārapdrošināšanas sabiedrības izmanto, lai iesniegtu savām uzraudzības iestādēm informāciju, kas nepieciešama to uzraudzībai, un ar ko atceļ </w:t>
      </w:r>
      <w:r w:rsidR="000263EB">
        <w:rPr>
          <w:rFonts w:eastAsia="Times New Roman" w:cs="Times New Roman"/>
          <w:szCs w:val="24"/>
        </w:rPr>
        <w:t>ī</w:t>
      </w:r>
      <w:r w:rsidR="00823E29">
        <w:rPr>
          <w:rFonts w:eastAsia="Times New Roman" w:cs="Times New Roman"/>
          <w:szCs w:val="24"/>
        </w:rPr>
        <w:t>stenošanas regulu (ES)</w:t>
      </w:r>
      <w:r w:rsidR="00901349">
        <w:rPr>
          <w:rFonts w:eastAsia="Times New Roman" w:cs="Times New Roman"/>
          <w:szCs w:val="24"/>
        </w:rPr>
        <w:t> </w:t>
      </w:r>
      <w:r w:rsidR="00823E29">
        <w:rPr>
          <w:rFonts w:eastAsia="Times New Roman" w:cs="Times New Roman"/>
          <w:szCs w:val="24"/>
        </w:rPr>
        <w:t>2015/2450</w:t>
      </w:r>
      <w:r w:rsidR="0015453B" w:rsidRPr="0015453B">
        <w:rPr>
          <w:rFonts w:eastAsia="Times New Roman" w:cs="Times New Roman"/>
          <w:szCs w:val="24"/>
        </w:rPr>
        <w:t>, norādīto sadalījumu. Ja sabiedrība piemēro no šā apakšpunkta pirmajā teikumā minētā sadalījuma atšķirīgu posteņu grupēšanu, tā dokumentē un uzglabā pamatojumu tam, kāpēc šāda pieeja ļauj atklāt precīzāku un daudz būtiskāku informāciju.</w:t>
      </w:r>
    </w:p>
    <w:p w14:paraId="61A40B48" w14:textId="09997CAE" w:rsidR="0015453B" w:rsidRPr="0015453B" w:rsidRDefault="0015453B" w:rsidP="0015453B">
      <w:pPr>
        <w:numPr>
          <w:ilvl w:val="0"/>
          <w:numId w:val="2"/>
        </w:numPr>
        <w:spacing w:before="240"/>
        <w:ind w:left="0" w:firstLine="0"/>
        <w:jc w:val="both"/>
        <w:outlineLvl w:val="0"/>
        <w:rPr>
          <w:rFonts w:eastAsia="Times New Roman" w:cs="Times New Roman"/>
          <w:szCs w:val="24"/>
        </w:rPr>
      </w:pPr>
      <w:r w:rsidRPr="0015453B">
        <w:rPr>
          <w:rFonts w:eastAsia="Times New Roman" w:cs="Times New Roman"/>
          <w:szCs w:val="24"/>
        </w:rPr>
        <w:t>Saskaņā ar Regulas</w:t>
      </w:r>
      <w:r w:rsidR="00901349">
        <w:rPr>
          <w:rFonts w:eastAsia="Times New Roman" w:cs="Times New Roman"/>
          <w:szCs w:val="24"/>
        </w:rPr>
        <w:t> </w:t>
      </w:r>
      <w:hyperlink r:id="rId32" w:tgtFrame="_blank" w:history="1">
        <w:r w:rsidRPr="0015453B">
          <w:rPr>
            <w:rFonts w:eastAsia="Times New Roman" w:cs="Times New Roman"/>
            <w:szCs w:val="24"/>
          </w:rPr>
          <w:t>2015/35</w:t>
        </w:r>
      </w:hyperlink>
      <w:r w:rsidRPr="0015453B">
        <w:rPr>
          <w:rFonts w:eastAsia="Times New Roman" w:cs="Times New Roman"/>
          <w:szCs w:val="24"/>
        </w:rPr>
        <w:t xml:space="preserve"> 297. pantā minēto sabiedrība kapitāla pārvaldības aprakstā atklāj vismaz šādu informāciju:</w:t>
      </w:r>
    </w:p>
    <w:p w14:paraId="6D51C024" w14:textId="55306D86" w:rsidR="0015453B" w:rsidRPr="0015453B" w:rsidRDefault="00F13CE9" w:rsidP="0015453B">
      <w:pPr>
        <w:jc w:val="both"/>
        <w:outlineLvl w:val="0"/>
        <w:rPr>
          <w:rFonts w:eastAsia="Times New Roman" w:cs="Times New Roman"/>
          <w:szCs w:val="24"/>
        </w:rPr>
      </w:pPr>
      <w:r>
        <w:rPr>
          <w:rFonts w:eastAsia="Times New Roman" w:cs="Times New Roman"/>
          <w:szCs w:val="24"/>
        </w:rPr>
        <w:t>15</w:t>
      </w:r>
      <w:r w:rsidR="0015453B" w:rsidRPr="0015453B">
        <w:rPr>
          <w:rFonts w:eastAsia="Times New Roman" w:cs="Times New Roman"/>
          <w:szCs w:val="24"/>
        </w:rPr>
        <w:t xml:space="preserve">.1. pašu kapitāla struktūra, apmērs un tā posteņu (instrumentu) kvalitāte. Papildus sniedz analīzi par būtiskām izmaiņām, salīdzinot ar iepriekšējā ziņojumā publiskoto informāciju, un skaidro jebkuras būtiskas šo posteņu (instrumentu) vērtības atšķirības salīdzinājumā ar finanšu pārskatos uzrādītajām. </w:t>
      </w:r>
      <w:r w:rsidR="00A51440">
        <w:rPr>
          <w:rFonts w:eastAsia="Times New Roman" w:cs="Times New Roman"/>
          <w:szCs w:val="24"/>
        </w:rPr>
        <w:t>Ziņojuma i</w:t>
      </w:r>
      <w:r w:rsidR="0015453B" w:rsidRPr="0015453B">
        <w:rPr>
          <w:rFonts w:eastAsia="Times New Roman" w:cs="Times New Roman"/>
          <w:szCs w:val="24"/>
        </w:rPr>
        <w:t>edaļā E.1</w:t>
      </w:r>
      <w:r w:rsidR="00B57A86">
        <w:rPr>
          <w:rFonts w:eastAsia="Times New Roman" w:cs="Times New Roman"/>
          <w:szCs w:val="24"/>
        </w:rPr>
        <w:t> </w:t>
      </w:r>
      <w:r w:rsidR="0015453B" w:rsidRPr="0015453B">
        <w:rPr>
          <w:rFonts w:eastAsia="Times New Roman" w:cs="Times New Roman"/>
          <w:szCs w:val="24"/>
        </w:rPr>
        <w:t>"Pašu kapitāls" sabiedrība sniedz vismaz šādu informāciju:</w:t>
      </w:r>
    </w:p>
    <w:p w14:paraId="74450FFF" w14:textId="493009F6" w:rsidR="0015453B" w:rsidRPr="0015453B" w:rsidRDefault="00F13CE9" w:rsidP="0015453B">
      <w:pPr>
        <w:jc w:val="both"/>
        <w:outlineLvl w:val="0"/>
        <w:rPr>
          <w:rFonts w:eastAsia="Times New Roman" w:cs="Times New Roman"/>
          <w:szCs w:val="24"/>
        </w:rPr>
      </w:pPr>
      <w:r>
        <w:rPr>
          <w:rFonts w:eastAsia="Times New Roman" w:cs="Times New Roman"/>
          <w:szCs w:val="24"/>
        </w:rPr>
        <w:t>15</w:t>
      </w:r>
      <w:r w:rsidR="0015453B" w:rsidRPr="0015453B">
        <w:rPr>
          <w:rFonts w:eastAsia="Times New Roman" w:cs="Times New Roman"/>
          <w:szCs w:val="24"/>
        </w:rPr>
        <w:t>.1.1. aprakstot Regulas</w:t>
      </w:r>
      <w:r w:rsidR="00901349">
        <w:rPr>
          <w:rFonts w:eastAsia="Times New Roman" w:cs="Times New Roman"/>
          <w:szCs w:val="24"/>
        </w:rPr>
        <w:t> </w:t>
      </w:r>
      <w:hyperlink r:id="rId33" w:tgtFrame="_blank" w:history="1">
        <w:r w:rsidR="0015453B" w:rsidRPr="0015453B">
          <w:rPr>
            <w:rFonts w:eastAsia="Times New Roman" w:cs="Times New Roman"/>
            <w:szCs w:val="24"/>
          </w:rPr>
          <w:t>2015/35</w:t>
        </w:r>
      </w:hyperlink>
      <w:r w:rsidR="0015453B" w:rsidRPr="0015453B">
        <w:rPr>
          <w:rFonts w:eastAsia="Times New Roman" w:cs="Times New Roman"/>
          <w:szCs w:val="24"/>
        </w:rPr>
        <w:t xml:space="preserve"> 297. panta 1. punktā minēto informāciju sadalījumā pa pamata un papildu pašu kapitāla posteņiem (instrumentiem) – informāciju par katru būtisku pašu kapitāla posteni (instrumentu), kas minēts Regulas</w:t>
      </w:r>
      <w:r w:rsidR="00901349">
        <w:rPr>
          <w:rFonts w:eastAsia="Times New Roman" w:cs="Times New Roman"/>
          <w:szCs w:val="24"/>
        </w:rPr>
        <w:t> </w:t>
      </w:r>
      <w:hyperlink r:id="rId34" w:tgtFrame="_blank" w:history="1">
        <w:r w:rsidR="0015453B" w:rsidRPr="0015453B">
          <w:rPr>
            <w:rFonts w:eastAsia="Times New Roman" w:cs="Times New Roman"/>
            <w:szCs w:val="24"/>
          </w:rPr>
          <w:t>2015/35</w:t>
        </w:r>
      </w:hyperlink>
      <w:r w:rsidR="006156DB">
        <w:rPr>
          <w:rFonts w:eastAsia="Times New Roman" w:cs="Times New Roman"/>
          <w:szCs w:val="24"/>
        </w:rPr>
        <w:t xml:space="preserve"> </w:t>
      </w:r>
      <w:r w:rsidR="0015453B" w:rsidRPr="0015453B">
        <w:rPr>
          <w:rFonts w:eastAsia="Times New Roman" w:cs="Times New Roman"/>
          <w:szCs w:val="24"/>
        </w:rPr>
        <w:t>69., 72., 74., 76.</w:t>
      </w:r>
      <w:r w:rsidR="00901349">
        <w:rPr>
          <w:rFonts w:eastAsia="Times New Roman" w:cs="Times New Roman"/>
          <w:szCs w:val="24"/>
        </w:rPr>
        <w:t xml:space="preserve"> </w:t>
      </w:r>
      <w:r w:rsidR="0015453B" w:rsidRPr="0015453B">
        <w:rPr>
          <w:rFonts w:eastAsia="Times New Roman" w:cs="Times New Roman"/>
          <w:szCs w:val="24"/>
        </w:rPr>
        <w:t>un 78. pantā, kā arī par 79. pantā minētajiem posteņiem (instrumentiem), par kuriem saņemta Latvijas Bankas atļauja iekļaušanai pašu kapitāla attiecīgajā līmenī;</w:t>
      </w:r>
    </w:p>
    <w:p w14:paraId="1883B1A2" w14:textId="105375A1" w:rsidR="0015453B" w:rsidRPr="0015453B" w:rsidRDefault="00F13CE9" w:rsidP="0015453B">
      <w:pPr>
        <w:jc w:val="both"/>
        <w:outlineLvl w:val="0"/>
        <w:rPr>
          <w:rFonts w:eastAsia="Times New Roman" w:cs="Times New Roman"/>
          <w:szCs w:val="24"/>
        </w:rPr>
      </w:pPr>
      <w:r>
        <w:rPr>
          <w:rFonts w:eastAsia="Times New Roman" w:cs="Times New Roman"/>
          <w:szCs w:val="24"/>
        </w:rPr>
        <w:t>15</w:t>
      </w:r>
      <w:r w:rsidR="0015453B" w:rsidRPr="0015453B">
        <w:rPr>
          <w:rFonts w:eastAsia="Times New Roman" w:cs="Times New Roman"/>
          <w:szCs w:val="24"/>
        </w:rPr>
        <w:t xml:space="preserve">.1.2. aprakstu par katra būtiska pašu kapitāla posteņa (instrumenta) kvalitāti, </w:t>
      </w:r>
      <w:r w:rsidR="00000987">
        <w:rPr>
          <w:rFonts w:eastAsia="Times New Roman" w:cs="Times New Roman"/>
          <w:szCs w:val="24"/>
        </w:rPr>
        <w:t xml:space="preserve">tai skaitā </w:t>
      </w:r>
      <w:r w:rsidR="0015453B" w:rsidRPr="0015453B">
        <w:rPr>
          <w:rFonts w:eastAsia="Times New Roman" w:cs="Times New Roman"/>
          <w:szCs w:val="24"/>
        </w:rPr>
        <w:t>tā pieejamību, subordināciju, ilgumu un citām iezīmēm;</w:t>
      </w:r>
    </w:p>
    <w:p w14:paraId="0F426168" w14:textId="2B673B66" w:rsidR="0015453B" w:rsidRPr="0015453B" w:rsidRDefault="00F13CE9" w:rsidP="0015453B">
      <w:pPr>
        <w:jc w:val="both"/>
        <w:outlineLvl w:val="0"/>
        <w:rPr>
          <w:rFonts w:eastAsia="Times New Roman" w:cs="Times New Roman"/>
          <w:szCs w:val="24"/>
        </w:rPr>
      </w:pPr>
      <w:r>
        <w:rPr>
          <w:rFonts w:eastAsia="Times New Roman" w:cs="Times New Roman"/>
          <w:szCs w:val="24"/>
        </w:rPr>
        <w:t>15</w:t>
      </w:r>
      <w:r w:rsidR="0015453B" w:rsidRPr="0015453B">
        <w:rPr>
          <w:rFonts w:eastAsia="Times New Roman" w:cs="Times New Roman"/>
          <w:szCs w:val="24"/>
        </w:rPr>
        <w:t xml:space="preserve">.1.3. analīzi par būtiskām izmaiņām pašu kapitāla apmērā pārskata periodā, </w:t>
      </w:r>
      <w:r w:rsidR="00000987">
        <w:rPr>
          <w:rFonts w:eastAsia="Times New Roman" w:cs="Times New Roman"/>
          <w:szCs w:val="24"/>
        </w:rPr>
        <w:t xml:space="preserve">tai skaitā </w:t>
      </w:r>
      <w:r w:rsidR="0015453B" w:rsidRPr="0015453B">
        <w:rPr>
          <w:rFonts w:eastAsia="Times New Roman" w:cs="Times New Roman"/>
          <w:szCs w:val="24"/>
        </w:rPr>
        <w:t>gada laikā emitētā pašu kapitāla posteņu (instrumentu) apmēru, gada laikā dzēstā pašu kapitāla posteņu (instrumentu) apmēru un apmēru, kādā instrumentu emisija ir izmantota, lai finansētu instrumentu dzēšanu;</w:t>
      </w:r>
    </w:p>
    <w:p w14:paraId="009F8630" w14:textId="325E9498" w:rsidR="0015453B" w:rsidRPr="0015453B" w:rsidRDefault="00F13CE9" w:rsidP="0015453B">
      <w:pPr>
        <w:shd w:val="clear" w:color="auto" w:fill="FFFFFF"/>
        <w:jc w:val="both"/>
        <w:rPr>
          <w:rFonts w:eastAsia="Times New Roman" w:cs="Times New Roman"/>
          <w:szCs w:val="24"/>
        </w:rPr>
      </w:pPr>
      <w:r>
        <w:rPr>
          <w:rFonts w:eastAsia="Times New Roman" w:cs="Times New Roman"/>
          <w:szCs w:val="24"/>
        </w:rPr>
        <w:t>15</w:t>
      </w:r>
      <w:r w:rsidR="0015453B" w:rsidRPr="0015453B">
        <w:rPr>
          <w:rFonts w:eastAsia="Times New Roman" w:cs="Times New Roman"/>
          <w:szCs w:val="24"/>
        </w:rPr>
        <w:t>.1.4. aprakstu par izmaiņām subordinēto parādu apmērā;</w:t>
      </w:r>
    </w:p>
    <w:p w14:paraId="02EB83C8" w14:textId="09638750" w:rsidR="0015453B" w:rsidRPr="0015453B" w:rsidRDefault="00F13CE9" w:rsidP="0015453B">
      <w:pPr>
        <w:shd w:val="clear" w:color="auto" w:fill="FFFFFF"/>
        <w:jc w:val="both"/>
        <w:rPr>
          <w:rFonts w:eastAsia="Times New Roman" w:cs="Times New Roman"/>
          <w:szCs w:val="24"/>
        </w:rPr>
      </w:pPr>
      <w:r>
        <w:rPr>
          <w:rFonts w:eastAsia="Times New Roman" w:cs="Times New Roman"/>
          <w:szCs w:val="24"/>
        </w:rPr>
        <w:t>15</w:t>
      </w:r>
      <w:r w:rsidR="0015453B" w:rsidRPr="0015453B">
        <w:rPr>
          <w:rFonts w:eastAsia="Times New Roman" w:cs="Times New Roman"/>
          <w:szCs w:val="24"/>
        </w:rPr>
        <w:t>.1.5. aprakstot Regulas</w:t>
      </w:r>
      <w:r w:rsidR="00901349">
        <w:rPr>
          <w:rFonts w:eastAsia="Times New Roman" w:cs="Times New Roman"/>
          <w:szCs w:val="24"/>
        </w:rPr>
        <w:t> </w:t>
      </w:r>
      <w:hyperlink r:id="rId35" w:tgtFrame="_blank" w:history="1">
        <w:r w:rsidR="0015453B" w:rsidRPr="0015453B">
          <w:rPr>
            <w:rFonts w:eastAsia="Times New Roman" w:cs="Times New Roman"/>
            <w:szCs w:val="24"/>
          </w:rPr>
          <w:t>2015/35</w:t>
        </w:r>
      </w:hyperlink>
      <w:r w:rsidR="0015453B" w:rsidRPr="0015453B">
        <w:rPr>
          <w:rFonts w:eastAsia="Times New Roman" w:cs="Times New Roman"/>
          <w:szCs w:val="24"/>
        </w:rPr>
        <w:t xml:space="preserve"> 297. panta 1. punkta </w:t>
      </w:r>
      <w:r w:rsidR="00901349">
        <w:rPr>
          <w:rFonts w:eastAsia="Times New Roman" w:cs="Times New Roman"/>
          <w:szCs w:val="24"/>
        </w:rPr>
        <w:t>"</w:t>
      </w:r>
      <w:r w:rsidR="0015453B" w:rsidRPr="0015453B">
        <w:rPr>
          <w:rFonts w:eastAsia="Times New Roman" w:cs="Times New Roman"/>
          <w:szCs w:val="24"/>
        </w:rPr>
        <w:t>c</w:t>
      </w:r>
      <w:r w:rsidR="00901349">
        <w:rPr>
          <w:rFonts w:eastAsia="Times New Roman" w:cs="Times New Roman"/>
          <w:szCs w:val="24"/>
        </w:rPr>
        <w:t>"</w:t>
      </w:r>
      <w:r w:rsidR="0015453B" w:rsidRPr="0015453B">
        <w:rPr>
          <w:rFonts w:eastAsia="Times New Roman" w:cs="Times New Roman"/>
          <w:szCs w:val="24"/>
        </w:rPr>
        <w:t xml:space="preserve"> apakšpunktā minēto </w:t>
      </w:r>
      <w:r w:rsidR="0015453B" w:rsidRPr="007A3EEE">
        <w:rPr>
          <w:rFonts w:eastAsia="Times New Roman" w:cs="Times New Roman"/>
          <w:szCs w:val="24"/>
        </w:rPr>
        <w:t>informāciju, norāda jebkādu</w:t>
      </w:r>
      <w:r w:rsidR="0015453B" w:rsidRPr="0015453B">
        <w:rPr>
          <w:rFonts w:eastAsia="Times New Roman" w:cs="Times New Roman"/>
          <w:szCs w:val="24"/>
        </w:rPr>
        <w:t xml:space="preserve"> ierobežojumu eksistenci pieejamajā pašu kapitālā un Regulas</w:t>
      </w:r>
      <w:r w:rsidR="00901349">
        <w:rPr>
          <w:rFonts w:eastAsia="Times New Roman" w:cs="Times New Roman"/>
          <w:szCs w:val="24"/>
        </w:rPr>
        <w:t> </w:t>
      </w:r>
      <w:hyperlink r:id="rId36" w:tgtFrame="_blank" w:history="1">
        <w:r w:rsidR="0015453B" w:rsidRPr="0015453B">
          <w:rPr>
            <w:rFonts w:eastAsia="Times New Roman" w:cs="Times New Roman"/>
            <w:szCs w:val="24"/>
          </w:rPr>
          <w:t>2015/35</w:t>
        </w:r>
      </w:hyperlink>
      <w:r w:rsidR="0015453B" w:rsidRPr="0015453B">
        <w:rPr>
          <w:rFonts w:eastAsia="Times New Roman" w:cs="Times New Roman"/>
          <w:szCs w:val="24"/>
        </w:rPr>
        <w:t xml:space="preserve"> 82. pantā noteikto kvantitatīvo ierobežojumu ietekmi uz izmantojamo pirmā, otrā un trešā līmeņa pašu kapitālu;</w:t>
      </w:r>
    </w:p>
    <w:p w14:paraId="202B46CF" w14:textId="6B296A41" w:rsidR="0015453B" w:rsidRPr="0015453B" w:rsidRDefault="00F13CE9" w:rsidP="0015453B">
      <w:pPr>
        <w:shd w:val="clear" w:color="auto" w:fill="FFFFFF"/>
        <w:jc w:val="both"/>
        <w:rPr>
          <w:rFonts w:eastAsia="Times New Roman" w:cs="Times New Roman"/>
          <w:szCs w:val="24"/>
        </w:rPr>
      </w:pPr>
      <w:r>
        <w:rPr>
          <w:rFonts w:eastAsia="Times New Roman" w:cs="Times New Roman"/>
          <w:szCs w:val="24"/>
        </w:rPr>
        <w:t>15</w:t>
      </w:r>
      <w:r w:rsidR="0015453B" w:rsidRPr="0015453B">
        <w:rPr>
          <w:rFonts w:eastAsia="Times New Roman" w:cs="Times New Roman"/>
          <w:szCs w:val="24"/>
        </w:rPr>
        <w:t>.1.6. detalizētu aprakstu par izmantotajiem galvenajiem zaudējumu absorbcijas mehānismiem, lai ievērotu Regulas</w:t>
      </w:r>
      <w:r w:rsidR="00901349">
        <w:rPr>
          <w:rFonts w:eastAsia="Times New Roman" w:cs="Times New Roman"/>
          <w:szCs w:val="24"/>
        </w:rPr>
        <w:t> </w:t>
      </w:r>
      <w:hyperlink r:id="rId37" w:tgtFrame="_blank" w:history="1">
        <w:r w:rsidR="0015453B" w:rsidRPr="0015453B">
          <w:rPr>
            <w:rFonts w:eastAsia="Times New Roman" w:cs="Times New Roman"/>
            <w:szCs w:val="24"/>
          </w:rPr>
          <w:t>2015/35</w:t>
        </w:r>
      </w:hyperlink>
      <w:r w:rsidR="0015453B" w:rsidRPr="0015453B">
        <w:rPr>
          <w:rFonts w:eastAsia="Times New Roman" w:cs="Times New Roman"/>
          <w:szCs w:val="24"/>
        </w:rPr>
        <w:t xml:space="preserve"> 71. panta 1. punkta </w:t>
      </w:r>
      <w:r w:rsidR="00901349">
        <w:rPr>
          <w:rFonts w:eastAsia="Times New Roman" w:cs="Times New Roman"/>
          <w:szCs w:val="24"/>
        </w:rPr>
        <w:t>"</w:t>
      </w:r>
      <w:r w:rsidR="0015453B" w:rsidRPr="0015453B">
        <w:rPr>
          <w:rFonts w:eastAsia="Times New Roman" w:cs="Times New Roman"/>
          <w:szCs w:val="24"/>
        </w:rPr>
        <w:t>e</w:t>
      </w:r>
      <w:r w:rsidR="00901349">
        <w:rPr>
          <w:rFonts w:eastAsia="Times New Roman" w:cs="Times New Roman"/>
          <w:szCs w:val="24"/>
        </w:rPr>
        <w:t>"</w:t>
      </w:r>
      <w:r w:rsidR="0015453B" w:rsidRPr="0015453B">
        <w:rPr>
          <w:rFonts w:eastAsia="Times New Roman" w:cs="Times New Roman"/>
          <w:szCs w:val="24"/>
        </w:rPr>
        <w:t xml:space="preserve"> apakšpunkta nosacījumus, kā arī par </w:t>
      </w:r>
      <w:proofErr w:type="spellStart"/>
      <w:r w:rsidR="0015453B" w:rsidRPr="0015453B">
        <w:rPr>
          <w:rFonts w:eastAsia="Times New Roman" w:cs="Times New Roman"/>
          <w:szCs w:val="24"/>
        </w:rPr>
        <w:t>izraisītājpunktu</w:t>
      </w:r>
      <w:proofErr w:type="spellEnd"/>
      <w:r w:rsidR="0015453B" w:rsidRPr="0015453B">
        <w:rPr>
          <w:rFonts w:eastAsia="Times New Roman" w:cs="Times New Roman"/>
          <w:szCs w:val="24"/>
        </w:rPr>
        <w:t xml:space="preserve"> un tā iedarbību;</w:t>
      </w:r>
    </w:p>
    <w:p w14:paraId="37482630" w14:textId="0FB15113" w:rsidR="0015453B" w:rsidRPr="0015453B" w:rsidRDefault="00F13CE9" w:rsidP="0015453B">
      <w:pPr>
        <w:shd w:val="clear" w:color="auto" w:fill="FFFFFF"/>
        <w:jc w:val="both"/>
        <w:rPr>
          <w:rFonts w:eastAsia="Times New Roman" w:cs="Times New Roman"/>
          <w:szCs w:val="24"/>
        </w:rPr>
      </w:pPr>
      <w:r>
        <w:rPr>
          <w:rFonts w:eastAsia="Times New Roman" w:cs="Times New Roman"/>
          <w:szCs w:val="24"/>
        </w:rPr>
        <w:t>15</w:t>
      </w:r>
      <w:r w:rsidR="0015453B" w:rsidRPr="0015453B">
        <w:rPr>
          <w:rFonts w:eastAsia="Times New Roman" w:cs="Times New Roman"/>
          <w:szCs w:val="24"/>
        </w:rPr>
        <w:t>.1.7. skaidrojumu par saskaņošanas rezerves galvenajiem elementiem;</w:t>
      </w:r>
    </w:p>
    <w:p w14:paraId="65EDC65B" w14:textId="20800AC4" w:rsidR="0015453B" w:rsidRPr="0015453B" w:rsidRDefault="00F13CE9" w:rsidP="0015453B">
      <w:pPr>
        <w:shd w:val="clear" w:color="auto" w:fill="FFFFFF"/>
        <w:jc w:val="both"/>
        <w:rPr>
          <w:rFonts w:eastAsia="Times New Roman" w:cs="Times New Roman"/>
          <w:szCs w:val="24"/>
        </w:rPr>
      </w:pPr>
      <w:r>
        <w:rPr>
          <w:rFonts w:eastAsia="Times New Roman" w:cs="Times New Roman"/>
          <w:szCs w:val="24"/>
        </w:rPr>
        <w:t>15</w:t>
      </w:r>
      <w:r w:rsidR="0015453B" w:rsidRPr="0015453B">
        <w:rPr>
          <w:rFonts w:eastAsia="Times New Roman" w:cs="Times New Roman"/>
          <w:szCs w:val="24"/>
        </w:rPr>
        <w:t>.1.8. par katru pamata pašu kapitāla posteni (instrumentu), uz kuru attiecas pārejas noteikumi, norāda kapitāla līmeni, kurā attiecīgais pamata pašu kapitāla postenis (instruments) ir klasificēts, un klasifikācijas pamatojumu, kā arī nākamo posteņa (instrumenta) izpirkuma vai atmaksas termiņu un jebkuru turpmāko izpirkuma vai atmaksas termiņu regularitāti vai arī norāda, ka līdz pārejas perioda beigām neiestāsies neviens izpirkuma vai atmaksas datums;</w:t>
      </w:r>
    </w:p>
    <w:p w14:paraId="6DDF7B28" w14:textId="5C1CC1E9" w:rsidR="0015453B" w:rsidRPr="0015453B" w:rsidRDefault="00F13CE9" w:rsidP="0015453B">
      <w:pPr>
        <w:shd w:val="clear" w:color="auto" w:fill="FFFFFF"/>
        <w:jc w:val="both"/>
        <w:rPr>
          <w:rFonts w:eastAsia="Times New Roman" w:cs="Times New Roman"/>
          <w:szCs w:val="24"/>
        </w:rPr>
      </w:pPr>
      <w:r>
        <w:rPr>
          <w:rFonts w:eastAsia="Times New Roman" w:cs="Times New Roman"/>
          <w:szCs w:val="24"/>
        </w:rPr>
        <w:t>15</w:t>
      </w:r>
      <w:r w:rsidR="0015453B" w:rsidRPr="0015453B">
        <w:rPr>
          <w:rFonts w:eastAsia="Times New Roman" w:cs="Times New Roman"/>
          <w:szCs w:val="24"/>
        </w:rPr>
        <w:t>.1.9. aprakstot Regulas</w:t>
      </w:r>
      <w:r w:rsidR="00901349">
        <w:rPr>
          <w:rFonts w:eastAsia="Times New Roman" w:cs="Times New Roman"/>
          <w:szCs w:val="24"/>
        </w:rPr>
        <w:t> </w:t>
      </w:r>
      <w:hyperlink r:id="rId38" w:tgtFrame="_blank" w:history="1">
        <w:r w:rsidR="0015453B" w:rsidRPr="0015453B">
          <w:rPr>
            <w:rFonts w:eastAsia="Times New Roman" w:cs="Times New Roman"/>
            <w:szCs w:val="24"/>
          </w:rPr>
          <w:t>2015/35</w:t>
        </w:r>
      </w:hyperlink>
      <w:r w:rsidR="0015453B" w:rsidRPr="0015453B">
        <w:rPr>
          <w:rFonts w:eastAsia="Times New Roman" w:cs="Times New Roman"/>
          <w:szCs w:val="24"/>
        </w:rPr>
        <w:t xml:space="preserve"> 297. panta 1. punkta </w:t>
      </w:r>
      <w:r w:rsidR="00901349">
        <w:rPr>
          <w:rFonts w:eastAsia="Times New Roman" w:cs="Times New Roman"/>
          <w:szCs w:val="24"/>
        </w:rPr>
        <w:t>"</w:t>
      </w:r>
      <w:r w:rsidR="0015453B" w:rsidRPr="0015453B">
        <w:rPr>
          <w:rFonts w:eastAsia="Times New Roman" w:cs="Times New Roman"/>
          <w:szCs w:val="24"/>
        </w:rPr>
        <w:t>g</w:t>
      </w:r>
      <w:r w:rsidR="00901349">
        <w:rPr>
          <w:rFonts w:eastAsia="Times New Roman" w:cs="Times New Roman"/>
          <w:szCs w:val="24"/>
        </w:rPr>
        <w:t>"</w:t>
      </w:r>
      <w:r w:rsidR="0015453B" w:rsidRPr="0015453B">
        <w:rPr>
          <w:rFonts w:eastAsia="Times New Roman" w:cs="Times New Roman"/>
          <w:szCs w:val="24"/>
        </w:rPr>
        <w:t xml:space="preserve"> apakšpunktā minēto informāciju, norāda līguma veidu, kā arī pamata pašu kapitāla posteni (instrumentu) un līmeni, uz kuru katrs papildu pašu kapitāla postenis būtu attiecināms, ja tiktu pieprasīta tā izpilde, </w:t>
      </w:r>
      <w:r w:rsidR="00000987">
        <w:rPr>
          <w:rFonts w:eastAsia="Times New Roman" w:cs="Times New Roman"/>
          <w:szCs w:val="24"/>
        </w:rPr>
        <w:t xml:space="preserve">tai skaitā </w:t>
      </w:r>
      <w:r w:rsidR="0015453B" w:rsidRPr="0015453B">
        <w:rPr>
          <w:rFonts w:eastAsia="Times New Roman" w:cs="Times New Roman"/>
          <w:szCs w:val="24"/>
        </w:rPr>
        <w:t>norāda datumu, kad Latvijas Banka ir piešķīrusi atļauju papildu pašu kapitāla posteņa iekļaušanai pašu kapitālā, vai metodes apstiprināšanas gadījumā – termiņu, uz kādu metodes piemērošana ir atļauta;</w:t>
      </w:r>
    </w:p>
    <w:p w14:paraId="31848F2A" w14:textId="48BA1EE4" w:rsidR="0015453B" w:rsidRPr="0015453B" w:rsidRDefault="00F13CE9" w:rsidP="0015453B">
      <w:pPr>
        <w:shd w:val="clear" w:color="auto" w:fill="FFFFFF"/>
        <w:jc w:val="both"/>
        <w:rPr>
          <w:rFonts w:eastAsia="Times New Roman" w:cs="Times New Roman"/>
          <w:szCs w:val="24"/>
        </w:rPr>
      </w:pPr>
      <w:r>
        <w:rPr>
          <w:rFonts w:eastAsia="Times New Roman" w:cs="Times New Roman"/>
          <w:szCs w:val="24"/>
        </w:rPr>
        <w:t>15</w:t>
      </w:r>
      <w:r w:rsidR="0015453B" w:rsidRPr="0015453B">
        <w:rPr>
          <w:rFonts w:eastAsia="Times New Roman" w:cs="Times New Roman"/>
          <w:szCs w:val="24"/>
        </w:rPr>
        <w:t>.1.10. ja papildu pašu kapitāla posteņa summas noteikšanā ir izmantota Latvijas Bankas apstiprinātā metode, sabiedrība apraksta:</w:t>
      </w:r>
    </w:p>
    <w:p w14:paraId="45750BCF" w14:textId="5BDDBF7D" w:rsidR="0015453B" w:rsidRPr="0015453B" w:rsidRDefault="00F13CE9" w:rsidP="0015453B">
      <w:pPr>
        <w:shd w:val="clear" w:color="auto" w:fill="FFFFFF"/>
        <w:jc w:val="both"/>
        <w:rPr>
          <w:rFonts w:eastAsia="Times New Roman" w:cs="Times New Roman"/>
          <w:szCs w:val="24"/>
        </w:rPr>
      </w:pPr>
      <w:r>
        <w:rPr>
          <w:rFonts w:eastAsia="Times New Roman" w:cs="Times New Roman"/>
          <w:szCs w:val="24"/>
        </w:rPr>
        <w:t>15</w:t>
      </w:r>
      <w:r w:rsidR="0015453B" w:rsidRPr="0015453B">
        <w:rPr>
          <w:rFonts w:eastAsia="Times New Roman" w:cs="Times New Roman"/>
          <w:szCs w:val="24"/>
        </w:rPr>
        <w:t>.1.10.1. kā ar šo metodi nodrošinātais vērtējums laika gaitā ir izmainījies</w:t>
      </w:r>
      <w:r w:rsidR="00A4177F">
        <w:rPr>
          <w:rFonts w:eastAsia="Times New Roman" w:cs="Times New Roman"/>
          <w:szCs w:val="24"/>
        </w:rPr>
        <w:t>;</w:t>
      </w:r>
    </w:p>
    <w:p w14:paraId="3652DDF7" w14:textId="7E8098C5" w:rsidR="0015453B" w:rsidRPr="0015453B" w:rsidRDefault="00F13CE9" w:rsidP="0015453B">
      <w:pPr>
        <w:shd w:val="clear" w:color="auto" w:fill="FFFFFF"/>
        <w:jc w:val="both"/>
        <w:rPr>
          <w:rFonts w:eastAsia="Times New Roman" w:cs="Times New Roman"/>
          <w:szCs w:val="24"/>
        </w:rPr>
      </w:pPr>
      <w:r>
        <w:rPr>
          <w:rFonts w:eastAsia="Times New Roman" w:cs="Times New Roman"/>
          <w:szCs w:val="24"/>
        </w:rPr>
        <w:t>15</w:t>
      </w:r>
      <w:r w:rsidR="0015453B" w:rsidRPr="0015453B">
        <w:rPr>
          <w:rFonts w:eastAsia="Times New Roman" w:cs="Times New Roman"/>
          <w:szCs w:val="24"/>
        </w:rPr>
        <w:t xml:space="preserve">.1.10.2. kādi </w:t>
      </w:r>
      <w:proofErr w:type="spellStart"/>
      <w:r w:rsidR="0015453B" w:rsidRPr="0015453B">
        <w:rPr>
          <w:rFonts w:eastAsia="Times New Roman" w:cs="Times New Roman"/>
          <w:szCs w:val="24"/>
        </w:rPr>
        <w:t>ievaddati</w:t>
      </w:r>
      <w:proofErr w:type="spellEnd"/>
      <w:r w:rsidR="0015453B" w:rsidRPr="0015453B">
        <w:rPr>
          <w:rFonts w:eastAsia="Times New Roman" w:cs="Times New Roman"/>
          <w:szCs w:val="24"/>
        </w:rPr>
        <w:t xml:space="preserve"> bija galvenie izmaiņu veicinātāji</w:t>
      </w:r>
      <w:r w:rsidR="00A4177F">
        <w:rPr>
          <w:rFonts w:eastAsia="Times New Roman" w:cs="Times New Roman"/>
          <w:szCs w:val="24"/>
        </w:rPr>
        <w:t>;</w:t>
      </w:r>
    </w:p>
    <w:p w14:paraId="241A1770" w14:textId="46AF4FF8" w:rsidR="0015453B" w:rsidRPr="0015453B" w:rsidRDefault="00F13CE9" w:rsidP="0015453B">
      <w:pPr>
        <w:shd w:val="clear" w:color="auto" w:fill="FFFFFF"/>
        <w:jc w:val="both"/>
        <w:rPr>
          <w:rFonts w:eastAsia="Times New Roman" w:cs="Times New Roman"/>
          <w:szCs w:val="24"/>
        </w:rPr>
      </w:pPr>
      <w:r>
        <w:rPr>
          <w:rFonts w:eastAsia="Times New Roman" w:cs="Times New Roman"/>
          <w:szCs w:val="24"/>
        </w:rPr>
        <w:t>15</w:t>
      </w:r>
      <w:r w:rsidR="0015453B" w:rsidRPr="0015453B">
        <w:rPr>
          <w:rFonts w:eastAsia="Times New Roman" w:cs="Times New Roman"/>
          <w:szCs w:val="24"/>
        </w:rPr>
        <w:t>.</w:t>
      </w:r>
      <w:hyperlink r:id="rId39" w:anchor="n1.10" w:history="1">
        <w:r w:rsidR="0015453B" w:rsidRPr="0015453B">
          <w:rPr>
            <w:rFonts w:eastAsia="Times New Roman" w:cs="Times New Roman"/>
            <w:szCs w:val="24"/>
          </w:rPr>
          <w:t>1.10</w:t>
        </w:r>
      </w:hyperlink>
      <w:r w:rsidR="0015453B" w:rsidRPr="0015453B">
        <w:rPr>
          <w:rFonts w:eastAsia="Times New Roman" w:cs="Times New Roman"/>
          <w:szCs w:val="24"/>
        </w:rPr>
        <w:t>.</w:t>
      </w:r>
      <w:hyperlink r:id="rId40" w:anchor="n3" w:history="1">
        <w:r w:rsidR="0015453B" w:rsidRPr="0015453B">
          <w:rPr>
            <w:rFonts w:eastAsia="Times New Roman" w:cs="Times New Roman"/>
            <w:szCs w:val="24"/>
          </w:rPr>
          <w:t>3. </w:t>
        </w:r>
      </w:hyperlink>
      <w:r w:rsidR="0015453B" w:rsidRPr="0015453B">
        <w:rPr>
          <w:rFonts w:eastAsia="Times New Roman" w:cs="Times New Roman"/>
          <w:szCs w:val="24"/>
        </w:rPr>
        <w:t xml:space="preserve">cik lielā apmērā aprēķinu ietekmējusi iepriekšējā pieredze, </w:t>
      </w:r>
      <w:r w:rsidR="00000987">
        <w:rPr>
          <w:rFonts w:eastAsia="Times New Roman" w:cs="Times New Roman"/>
          <w:szCs w:val="24"/>
        </w:rPr>
        <w:t xml:space="preserve">tai skaitā </w:t>
      </w:r>
      <w:r w:rsidR="0015453B" w:rsidRPr="0015453B">
        <w:rPr>
          <w:rFonts w:eastAsia="Times New Roman" w:cs="Times New Roman"/>
          <w:szCs w:val="24"/>
        </w:rPr>
        <w:t>iepriekšējo posteņu izpildes pieprasījumu rezultāti;</w:t>
      </w:r>
    </w:p>
    <w:p w14:paraId="1801DAD6" w14:textId="415307E0" w:rsidR="0015453B" w:rsidRPr="0015453B" w:rsidRDefault="00CB0287" w:rsidP="0015453B">
      <w:pPr>
        <w:shd w:val="clear" w:color="auto" w:fill="FFFFFF"/>
        <w:jc w:val="both"/>
        <w:rPr>
          <w:rFonts w:eastAsia="Times New Roman" w:cs="Times New Roman"/>
          <w:szCs w:val="24"/>
        </w:rPr>
      </w:pPr>
      <w:r>
        <w:rPr>
          <w:rFonts w:eastAsia="Times New Roman" w:cs="Times New Roman"/>
          <w:szCs w:val="24"/>
        </w:rPr>
        <w:t>15</w:t>
      </w:r>
      <w:r w:rsidR="0015453B" w:rsidRPr="0015453B">
        <w:rPr>
          <w:rFonts w:eastAsia="Times New Roman" w:cs="Times New Roman"/>
          <w:szCs w:val="24"/>
        </w:rPr>
        <w:t>.1.11. aprakstot Regulas</w:t>
      </w:r>
      <w:r w:rsidR="00901349">
        <w:rPr>
          <w:rFonts w:eastAsia="Times New Roman" w:cs="Times New Roman"/>
          <w:szCs w:val="24"/>
        </w:rPr>
        <w:t> </w:t>
      </w:r>
      <w:hyperlink r:id="rId41" w:tgtFrame="_blank" w:history="1">
        <w:r w:rsidR="0015453B" w:rsidRPr="0015453B">
          <w:rPr>
            <w:rFonts w:eastAsia="Times New Roman" w:cs="Times New Roman"/>
            <w:szCs w:val="24"/>
          </w:rPr>
          <w:t>2015/35</w:t>
        </w:r>
      </w:hyperlink>
      <w:r w:rsidR="0015453B" w:rsidRPr="0015453B">
        <w:rPr>
          <w:rFonts w:eastAsia="Times New Roman" w:cs="Times New Roman"/>
          <w:szCs w:val="24"/>
        </w:rPr>
        <w:t xml:space="preserve"> 297. panta 1. punkta </w:t>
      </w:r>
      <w:r w:rsidR="00901349">
        <w:rPr>
          <w:rFonts w:eastAsia="Times New Roman" w:cs="Times New Roman"/>
          <w:szCs w:val="24"/>
        </w:rPr>
        <w:t>"</w:t>
      </w:r>
      <w:r w:rsidR="0015453B" w:rsidRPr="0015453B">
        <w:rPr>
          <w:rFonts w:eastAsia="Times New Roman" w:cs="Times New Roman"/>
          <w:szCs w:val="24"/>
        </w:rPr>
        <w:t>h</w:t>
      </w:r>
      <w:r w:rsidR="00901349">
        <w:rPr>
          <w:rFonts w:eastAsia="Times New Roman" w:cs="Times New Roman"/>
          <w:szCs w:val="24"/>
        </w:rPr>
        <w:t>"</w:t>
      </w:r>
      <w:r w:rsidR="0015453B" w:rsidRPr="0015453B">
        <w:rPr>
          <w:rFonts w:eastAsia="Times New Roman" w:cs="Times New Roman"/>
          <w:szCs w:val="24"/>
        </w:rPr>
        <w:t> apakšpunktā minēto informāciju par posteņiem (instrumentiem), kas izslēgti no pašu kapitāla, norāda:</w:t>
      </w:r>
    </w:p>
    <w:p w14:paraId="1A351198" w14:textId="02A58046" w:rsidR="0015453B" w:rsidRPr="0015453B" w:rsidRDefault="00CB0287" w:rsidP="0015453B">
      <w:pPr>
        <w:shd w:val="clear" w:color="auto" w:fill="FFFFFF"/>
        <w:jc w:val="both"/>
        <w:rPr>
          <w:rFonts w:eastAsia="Times New Roman" w:cs="Times New Roman"/>
          <w:szCs w:val="24"/>
        </w:rPr>
      </w:pPr>
      <w:r>
        <w:rPr>
          <w:rFonts w:eastAsia="Times New Roman" w:cs="Times New Roman"/>
          <w:szCs w:val="24"/>
        </w:rPr>
        <w:t>15</w:t>
      </w:r>
      <w:r w:rsidR="0015453B" w:rsidRPr="0015453B">
        <w:rPr>
          <w:rFonts w:eastAsia="Times New Roman" w:cs="Times New Roman"/>
          <w:szCs w:val="24"/>
        </w:rPr>
        <w:t>.1.11.1. aktīvu pārsnieguma pār saistībām apmēru norobežotajos fondos un atbilstības korekcijas portfelī, identificējot korekcijas, kas piemērota pieejamā pašu kapitāla noteikšanai, apmēru</w:t>
      </w:r>
      <w:r w:rsidR="00A4177F">
        <w:rPr>
          <w:rFonts w:eastAsia="Times New Roman" w:cs="Times New Roman"/>
          <w:szCs w:val="24"/>
        </w:rPr>
        <w:t>;</w:t>
      </w:r>
    </w:p>
    <w:p w14:paraId="00F0C37F" w14:textId="2236B8B3" w:rsidR="0015453B" w:rsidRPr="0015453B" w:rsidRDefault="00CB0287" w:rsidP="0015453B">
      <w:pPr>
        <w:shd w:val="clear" w:color="auto" w:fill="FFFFFF"/>
        <w:jc w:val="both"/>
        <w:rPr>
          <w:rFonts w:eastAsia="Times New Roman" w:cs="Times New Roman"/>
          <w:szCs w:val="24"/>
        </w:rPr>
      </w:pPr>
      <w:r>
        <w:rPr>
          <w:rFonts w:eastAsia="Times New Roman" w:cs="Times New Roman"/>
          <w:szCs w:val="24"/>
        </w:rPr>
        <w:t>15</w:t>
      </w:r>
      <w:r w:rsidR="0015453B" w:rsidRPr="0015453B">
        <w:rPr>
          <w:rFonts w:eastAsia="Times New Roman" w:cs="Times New Roman"/>
          <w:szCs w:val="24"/>
        </w:rPr>
        <w:t>.1.11.2. pašu kapitāla būtisku ierobežojumu, atskaitījumu vai apgrūtinājumu apmēru un iemeslus;</w:t>
      </w:r>
    </w:p>
    <w:p w14:paraId="2F88995B" w14:textId="743EF338" w:rsidR="0015453B" w:rsidRPr="0015453B" w:rsidRDefault="00CB0287" w:rsidP="0015453B">
      <w:pPr>
        <w:shd w:val="clear" w:color="auto" w:fill="FFFFFF"/>
        <w:jc w:val="both"/>
        <w:rPr>
          <w:rFonts w:eastAsia="Times New Roman" w:cs="Times New Roman"/>
          <w:szCs w:val="24"/>
        </w:rPr>
      </w:pPr>
      <w:r>
        <w:rPr>
          <w:rFonts w:eastAsia="Times New Roman" w:cs="Times New Roman"/>
          <w:szCs w:val="24"/>
        </w:rPr>
        <w:t>15</w:t>
      </w:r>
      <w:r w:rsidR="0015453B" w:rsidRPr="0015453B">
        <w:rPr>
          <w:rFonts w:eastAsia="Times New Roman" w:cs="Times New Roman"/>
          <w:szCs w:val="24"/>
        </w:rPr>
        <w:t>.2. maksātspējas kapitāla prasības un minimālās kapitāla prasības apmēr</w:t>
      </w:r>
      <w:r w:rsidR="00F26CF0">
        <w:rPr>
          <w:rFonts w:eastAsia="Times New Roman" w:cs="Times New Roman"/>
          <w:szCs w:val="24"/>
        </w:rPr>
        <w:t>s</w:t>
      </w:r>
      <w:r w:rsidR="0015453B" w:rsidRPr="0015453B">
        <w:rPr>
          <w:rFonts w:eastAsia="Times New Roman" w:cs="Times New Roman"/>
          <w:szCs w:val="24"/>
        </w:rPr>
        <w:t xml:space="preserve"> pārskata perioda beigās. Atsevišķi norāda maksātspējas kapitāla prasības apmēru, kurš aprēķināts, izmantojot standarta formulu vai pilnīgu vai daļēju iekšējo modeli, kā arī papildu kapitāla prasības apmēru saskaņā ar Latvijas Bankas novērtējumu vai to konkrēto parametru ietekmes apmēru, kuri sabiedrībai jāizmanto saskaņā ar Latvijas Bankas lēmumu situācijās, kad konstatētas būtiskas novirzes no standarta formulas pamatā esošajiem pieņēmumiem. Sabiedrība sniedz īsu aprakstu par Latvijas Bankas lēmuma pamatojumu;</w:t>
      </w:r>
    </w:p>
    <w:p w14:paraId="26701712" w14:textId="51EF33B5" w:rsidR="0015453B" w:rsidRPr="0015453B" w:rsidRDefault="00CB0287" w:rsidP="0015453B">
      <w:pPr>
        <w:shd w:val="clear" w:color="auto" w:fill="FFFFFF"/>
        <w:jc w:val="both"/>
        <w:rPr>
          <w:rFonts w:eastAsia="Times New Roman" w:cs="Times New Roman"/>
          <w:szCs w:val="24"/>
        </w:rPr>
      </w:pPr>
      <w:r>
        <w:rPr>
          <w:rFonts w:eastAsia="Times New Roman" w:cs="Times New Roman"/>
          <w:szCs w:val="24"/>
        </w:rPr>
        <w:t>15</w:t>
      </w:r>
      <w:r w:rsidR="0015453B" w:rsidRPr="0015453B">
        <w:rPr>
          <w:rFonts w:eastAsia="Times New Roman" w:cs="Times New Roman"/>
          <w:szCs w:val="24"/>
        </w:rPr>
        <w:t xml:space="preserve">.3. ja maksātspējas kapitāla prasības aprēķināšanai sabiedrība piemēro pilnīgu vai daļēju iekšējo modeli, tad apraksta galvenās atšķirības starp standarta formulu un iekšējā modelī izmantotajiem pieņēmumiem. </w:t>
      </w:r>
      <w:r w:rsidR="00712576">
        <w:rPr>
          <w:rFonts w:eastAsia="Times New Roman" w:cs="Times New Roman"/>
          <w:szCs w:val="24"/>
        </w:rPr>
        <w:t>Ziņojuma i</w:t>
      </w:r>
      <w:r w:rsidR="0015453B" w:rsidRPr="0015453B">
        <w:rPr>
          <w:rFonts w:eastAsia="Times New Roman" w:cs="Times New Roman"/>
          <w:szCs w:val="24"/>
        </w:rPr>
        <w:t>edaļā E.4</w:t>
      </w:r>
      <w:r w:rsidR="00B57A86">
        <w:rPr>
          <w:rFonts w:eastAsia="Times New Roman" w:cs="Times New Roman"/>
          <w:szCs w:val="24"/>
        </w:rPr>
        <w:t> </w:t>
      </w:r>
      <w:r w:rsidR="0015453B" w:rsidRPr="0015453B">
        <w:rPr>
          <w:rFonts w:eastAsia="Times New Roman" w:cs="Times New Roman"/>
          <w:szCs w:val="24"/>
        </w:rPr>
        <w:t>"Atšķirības starp standarta formulu un jebkādu izmantoto iekšējo modeli", aprakstot atšķirības, sabiedrība sniedz vismaz informāciju par:</w:t>
      </w:r>
    </w:p>
    <w:p w14:paraId="3531D8CE" w14:textId="37A7784E" w:rsidR="0015453B" w:rsidRPr="0015453B" w:rsidRDefault="00CB0287" w:rsidP="0015453B">
      <w:pPr>
        <w:shd w:val="clear" w:color="auto" w:fill="FFFFFF"/>
        <w:jc w:val="both"/>
        <w:rPr>
          <w:rFonts w:eastAsia="Times New Roman" w:cs="Times New Roman"/>
          <w:szCs w:val="24"/>
        </w:rPr>
      </w:pPr>
      <w:r>
        <w:rPr>
          <w:rFonts w:eastAsia="Times New Roman" w:cs="Times New Roman"/>
          <w:szCs w:val="24"/>
        </w:rPr>
        <w:t>15</w:t>
      </w:r>
      <w:r w:rsidR="0015453B" w:rsidRPr="0015453B">
        <w:rPr>
          <w:rFonts w:eastAsia="Times New Roman" w:cs="Times New Roman"/>
          <w:szCs w:val="24"/>
        </w:rPr>
        <w:t>.3.1. iekšējā modeļa struktūru;</w:t>
      </w:r>
    </w:p>
    <w:p w14:paraId="54572F10" w14:textId="2EBF2540" w:rsidR="0015453B" w:rsidRPr="0015453B" w:rsidRDefault="00CB0287" w:rsidP="0015453B">
      <w:pPr>
        <w:shd w:val="clear" w:color="auto" w:fill="FFFFFF"/>
        <w:jc w:val="both"/>
        <w:rPr>
          <w:rFonts w:eastAsia="Times New Roman" w:cs="Times New Roman"/>
          <w:szCs w:val="24"/>
        </w:rPr>
      </w:pPr>
      <w:r>
        <w:rPr>
          <w:rFonts w:eastAsia="Times New Roman" w:cs="Times New Roman"/>
          <w:szCs w:val="24"/>
        </w:rPr>
        <w:t>15</w:t>
      </w:r>
      <w:r w:rsidR="0015453B" w:rsidRPr="0015453B">
        <w:rPr>
          <w:rFonts w:eastAsia="Times New Roman" w:cs="Times New Roman"/>
          <w:szCs w:val="24"/>
        </w:rPr>
        <w:t>.3.2. apkopojuma metodēm un diversifikācijas efektiem;</w:t>
      </w:r>
    </w:p>
    <w:p w14:paraId="2FB5614D" w14:textId="7604C4B7" w:rsidR="0015453B" w:rsidRPr="0015453B" w:rsidRDefault="00CB0287" w:rsidP="0015453B">
      <w:pPr>
        <w:shd w:val="clear" w:color="auto" w:fill="FFFFFF"/>
        <w:jc w:val="both"/>
        <w:rPr>
          <w:rFonts w:eastAsia="Times New Roman" w:cs="Times New Roman"/>
          <w:szCs w:val="24"/>
        </w:rPr>
      </w:pPr>
      <w:r>
        <w:rPr>
          <w:rFonts w:eastAsia="Times New Roman" w:cs="Times New Roman"/>
          <w:szCs w:val="24"/>
        </w:rPr>
        <w:t>15</w:t>
      </w:r>
      <w:r w:rsidR="0015453B" w:rsidRPr="0015453B">
        <w:rPr>
          <w:rFonts w:eastAsia="Times New Roman" w:cs="Times New Roman"/>
          <w:szCs w:val="24"/>
        </w:rPr>
        <w:t>.3.3. standarta formulā neietvertajiem, bet iekšējā modelī iekļautajiem riskiem;</w:t>
      </w:r>
    </w:p>
    <w:p w14:paraId="5C629918" w14:textId="1989BE4A" w:rsidR="0015453B" w:rsidRPr="0015453B" w:rsidRDefault="00CB0287" w:rsidP="0015453B">
      <w:pPr>
        <w:shd w:val="clear" w:color="auto" w:fill="FFFFFF"/>
        <w:jc w:val="both"/>
        <w:rPr>
          <w:rFonts w:eastAsia="Times New Roman" w:cs="Times New Roman"/>
          <w:szCs w:val="24"/>
        </w:rPr>
      </w:pPr>
      <w:r>
        <w:rPr>
          <w:rFonts w:eastAsia="Times New Roman" w:cs="Times New Roman"/>
          <w:szCs w:val="24"/>
        </w:rPr>
        <w:t>15</w:t>
      </w:r>
      <w:r w:rsidR="0015453B" w:rsidRPr="0015453B">
        <w:rPr>
          <w:rFonts w:eastAsia="Times New Roman" w:cs="Times New Roman"/>
          <w:szCs w:val="24"/>
        </w:rPr>
        <w:t>.4. jebkuras neatbilstības minimālajai kapitāla prasībai vai jebkuras būtiskas neatbilstības maksātspējas kapitāla prasībai apmērs periodā, par kuru tiek publiskots ziņojums, skaidrojot to iemeslus un sekas, kā arī veiktos neatbilstību novēršanas pasākumus. Informāciju sniedz arī tad, ja šādas neatbilstības ziņojuma publiskošanas datumā jau ir novērstas;</w:t>
      </w:r>
    </w:p>
    <w:p w14:paraId="4D980A8E" w14:textId="65D52DB2" w:rsidR="0015453B" w:rsidRPr="0015453B" w:rsidRDefault="00CB0287" w:rsidP="0015453B">
      <w:pPr>
        <w:shd w:val="clear" w:color="auto" w:fill="FFFFFF"/>
        <w:jc w:val="both"/>
        <w:rPr>
          <w:rFonts w:eastAsia="Times New Roman" w:cs="Times New Roman"/>
          <w:szCs w:val="24"/>
        </w:rPr>
      </w:pPr>
      <w:r>
        <w:rPr>
          <w:rFonts w:eastAsia="Times New Roman" w:cs="Times New Roman"/>
          <w:szCs w:val="24"/>
        </w:rPr>
        <w:t>15</w:t>
      </w:r>
      <w:r w:rsidR="0015453B" w:rsidRPr="0015453B">
        <w:rPr>
          <w:rFonts w:eastAsia="Times New Roman" w:cs="Times New Roman"/>
          <w:szCs w:val="24"/>
        </w:rPr>
        <w:t xml:space="preserve">.5. par grupas pašu kapitālu </w:t>
      </w:r>
      <w:r w:rsidR="00712576">
        <w:rPr>
          <w:rFonts w:eastAsia="Times New Roman" w:cs="Times New Roman"/>
          <w:szCs w:val="24"/>
        </w:rPr>
        <w:t xml:space="preserve">ziņojuma </w:t>
      </w:r>
      <w:r w:rsidR="0015453B" w:rsidRPr="0015453B">
        <w:rPr>
          <w:rFonts w:eastAsia="Times New Roman" w:cs="Times New Roman"/>
          <w:szCs w:val="24"/>
        </w:rPr>
        <w:t>iedaļā E.1</w:t>
      </w:r>
      <w:r w:rsidR="00B57A86">
        <w:rPr>
          <w:rFonts w:eastAsia="Times New Roman" w:cs="Times New Roman"/>
          <w:szCs w:val="24"/>
        </w:rPr>
        <w:t> </w:t>
      </w:r>
      <w:r w:rsidR="0015453B" w:rsidRPr="0015453B">
        <w:rPr>
          <w:rFonts w:eastAsia="Times New Roman" w:cs="Times New Roman"/>
          <w:szCs w:val="24"/>
        </w:rPr>
        <w:t xml:space="preserve">"Pašu kapitāls" apdrošināšanas vai pārapdrošināšanas dalības sabiedrība, apdrošināšanas </w:t>
      </w:r>
      <w:proofErr w:type="spellStart"/>
      <w:r w:rsidR="0015453B" w:rsidRPr="0015453B">
        <w:rPr>
          <w:rFonts w:eastAsia="Times New Roman" w:cs="Times New Roman"/>
          <w:szCs w:val="24"/>
        </w:rPr>
        <w:t>pārvaldītājsabiedrība</w:t>
      </w:r>
      <w:proofErr w:type="spellEnd"/>
      <w:r w:rsidR="0015453B" w:rsidRPr="0015453B">
        <w:rPr>
          <w:rFonts w:eastAsia="Times New Roman" w:cs="Times New Roman"/>
          <w:szCs w:val="24"/>
        </w:rPr>
        <w:t xml:space="preserve"> un jaukta finanšu </w:t>
      </w:r>
      <w:proofErr w:type="spellStart"/>
      <w:r w:rsidR="0015453B" w:rsidRPr="0015453B">
        <w:rPr>
          <w:rFonts w:eastAsia="Times New Roman" w:cs="Times New Roman"/>
          <w:szCs w:val="24"/>
        </w:rPr>
        <w:t>pārvaldītājsabiedrība</w:t>
      </w:r>
      <w:proofErr w:type="spellEnd"/>
      <w:r w:rsidR="0015453B" w:rsidRPr="0015453B">
        <w:rPr>
          <w:rFonts w:eastAsia="Times New Roman" w:cs="Times New Roman"/>
          <w:szCs w:val="24"/>
        </w:rPr>
        <w:t xml:space="preserve"> norāda vismaz:</w:t>
      </w:r>
    </w:p>
    <w:p w14:paraId="5CD9C572" w14:textId="2E05B104" w:rsidR="0015453B" w:rsidRPr="0015453B" w:rsidRDefault="00CB0287" w:rsidP="0015453B">
      <w:pPr>
        <w:shd w:val="clear" w:color="auto" w:fill="FFFFFF"/>
        <w:jc w:val="both"/>
        <w:rPr>
          <w:rFonts w:eastAsia="Times New Roman" w:cs="Times New Roman"/>
          <w:szCs w:val="24"/>
        </w:rPr>
      </w:pPr>
      <w:r>
        <w:rPr>
          <w:rFonts w:eastAsia="Times New Roman" w:cs="Times New Roman"/>
          <w:szCs w:val="24"/>
        </w:rPr>
        <w:t>15</w:t>
      </w:r>
      <w:r w:rsidR="0015453B" w:rsidRPr="0015453B">
        <w:rPr>
          <w:rFonts w:eastAsia="Times New Roman" w:cs="Times New Roman"/>
          <w:szCs w:val="24"/>
        </w:rPr>
        <w:t xml:space="preserve">.5.1. pašu kapitāla posteņus (instrumentus), kurus emitējusi grupas sabiedrība, kas nav apdrošināšanas vai pārapdrošināšanas dalības sabiedrība, apdrošināšanas </w:t>
      </w:r>
      <w:proofErr w:type="spellStart"/>
      <w:r w:rsidR="0015453B" w:rsidRPr="00AD0BE2">
        <w:rPr>
          <w:rFonts w:eastAsia="Times New Roman" w:cs="Times New Roman"/>
          <w:szCs w:val="24"/>
        </w:rPr>
        <w:t>pārvaldītājsabiedrība</w:t>
      </w:r>
      <w:proofErr w:type="spellEnd"/>
      <w:r w:rsidR="0015453B" w:rsidRPr="00AD0BE2">
        <w:rPr>
          <w:rFonts w:eastAsia="Times New Roman" w:cs="Times New Roman"/>
          <w:szCs w:val="24"/>
        </w:rPr>
        <w:t xml:space="preserve"> </w:t>
      </w:r>
      <w:r w:rsidR="00AD0BE2" w:rsidRPr="002E2BA3">
        <w:rPr>
          <w:rFonts w:eastAsia="Times New Roman" w:cs="Times New Roman"/>
          <w:szCs w:val="24"/>
        </w:rPr>
        <w:t>vai</w:t>
      </w:r>
      <w:r w:rsidR="0015453B" w:rsidRPr="00AD0BE2">
        <w:rPr>
          <w:rFonts w:eastAsia="Times New Roman" w:cs="Times New Roman"/>
          <w:szCs w:val="24"/>
        </w:rPr>
        <w:t xml:space="preserve"> jaukta finanšu </w:t>
      </w:r>
      <w:proofErr w:type="spellStart"/>
      <w:r w:rsidR="0015453B" w:rsidRPr="00AD0BE2">
        <w:rPr>
          <w:rFonts w:eastAsia="Times New Roman" w:cs="Times New Roman"/>
          <w:szCs w:val="24"/>
        </w:rPr>
        <w:t>pārvaldītājsabiedrība</w:t>
      </w:r>
      <w:proofErr w:type="spellEnd"/>
      <w:r w:rsidR="0015453B" w:rsidRPr="00AD0BE2">
        <w:rPr>
          <w:rFonts w:eastAsia="Times New Roman" w:cs="Times New Roman"/>
          <w:szCs w:val="24"/>
        </w:rPr>
        <w:t>;</w:t>
      </w:r>
    </w:p>
    <w:p w14:paraId="29789AC8" w14:textId="7C2DBF68" w:rsidR="0015453B" w:rsidRPr="0015453B" w:rsidRDefault="00CB0287" w:rsidP="0015453B">
      <w:pPr>
        <w:shd w:val="clear" w:color="auto" w:fill="FFFFFF"/>
        <w:jc w:val="both"/>
        <w:rPr>
          <w:rFonts w:eastAsia="Times New Roman" w:cs="Times New Roman"/>
          <w:szCs w:val="24"/>
        </w:rPr>
      </w:pPr>
      <w:r>
        <w:rPr>
          <w:rFonts w:eastAsia="Times New Roman" w:cs="Times New Roman"/>
          <w:szCs w:val="24"/>
        </w:rPr>
        <w:t>15</w:t>
      </w:r>
      <w:r w:rsidR="0015453B" w:rsidRPr="0015453B">
        <w:rPr>
          <w:rFonts w:eastAsia="Times New Roman" w:cs="Times New Roman"/>
          <w:szCs w:val="24"/>
        </w:rPr>
        <w:t>.5.2. ja Latvijas Banka kā grupas uzraudzības iestāde atzinusi ārvalsts uzraudzības režīmu par līdzvērtīgu</w:t>
      </w:r>
      <w:r w:rsidR="00E77288">
        <w:rPr>
          <w:rFonts w:eastAsia="Times New Roman" w:cs="Times New Roman"/>
          <w:szCs w:val="24"/>
        </w:rPr>
        <w:t xml:space="preserve"> </w:t>
      </w:r>
      <w:hyperlink r:id="rId42" w:tgtFrame="_blank" w:history="1">
        <w:r w:rsidR="0015453B" w:rsidRPr="0015453B">
          <w:rPr>
            <w:rFonts w:eastAsia="Times New Roman" w:cs="Times New Roman"/>
            <w:szCs w:val="24"/>
          </w:rPr>
          <w:t>Apdrošināšanas un pārapdrošināšanas likumā</w:t>
        </w:r>
      </w:hyperlink>
      <w:r w:rsidR="00E77288">
        <w:rPr>
          <w:rFonts w:eastAsia="Times New Roman" w:cs="Times New Roman"/>
          <w:szCs w:val="24"/>
        </w:rPr>
        <w:t xml:space="preserve"> </w:t>
      </w:r>
      <w:r w:rsidR="0015453B" w:rsidRPr="0015453B">
        <w:rPr>
          <w:rFonts w:eastAsia="Times New Roman" w:cs="Times New Roman"/>
          <w:szCs w:val="24"/>
        </w:rPr>
        <w:t xml:space="preserve">noteiktajam </w:t>
      </w:r>
      <w:r w:rsidR="00F26CF0">
        <w:rPr>
          <w:rFonts w:eastAsia="Times New Roman" w:cs="Times New Roman"/>
          <w:szCs w:val="24"/>
        </w:rPr>
        <w:t xml:space="preserve">uzraudzības režīmam </w:t>
      </w:r>
      <w:r w:rsidR="0015453B" w:rsidRPr="0015453B">
        <w:rPr>
          <w:rFonts w:eastAsia="Times New Roman" w:cs="Times New Roman"/>
          <w:szCs w:val="24"/>
        </w:rPr>
        <w:t xml:space="preserve">un būtisku pašu kapitāla posteni (instrumentu) emitējusi līdzvērtīga </w:t>
      </w:r>
      <w:r w:rsidR="006959EA" w:rsidRPr="006959EA">
        <w:rPr>
          <w:rFonts w:eastAsia="Times New Roman" w:cs="Times New Roman"/>
          <w:szCs w:val="24"/>
        </w:rPr>
        <w:t>ār</w:t>
      </w:r>
      <w:r w:rsidR="0015453B" w:rsidRPr="006959EA">
        <w:rPr>
          <w:rFonts w:eastAsia="Times New Roman" w:cs="Times New Roman"/>
          <w:szCs w:val="24"/>
        </w:rPr>
        <w:t>valsts apdrošināšanas vai pārapdrošināšanas sabiedrība</w:t>
      </w:r>
      <w:r w:rsidR="0015453B" w:rsidRPr="0015453B">
        <w:rPr>
          <w:rFonts w:eastAsia="Times New Roman" w:cs="Times New Roman"/>
          <w:szCs w:val="24"/>
        </w:rPr>
        <w:t>, kas iekļauta grupas maksātspējas aprēķinā, izmantojot atskaitīšanas un summēšanas metodi, apraksta attiecīgās ārvalsts noteiktās prasības pašu kapitāla posteņu (instrumentu) dalījumam līmeņos, kā arī pašu kapitāla līmeņu struktūru, kritērijus to sadalījumam pa līmeņiem un limitus;</w:t>
      </w:r>
    </w:p>
    <w:p w14:paraId="12D6A182" w14:textId="40015C75" w:rsidR="0015453B" w:rsidRPr="0015453B" w:rsidRDefault="00CB0287" w:rsidP="0015453B">
      <w:pPr>
        <w:shd w:val="clear" w:color="auto" w:fill="FFFFFF"/>
        <w:jc w:val="both"/>
        <w:rPr>
          <w:rFonts w:eastAsia="Times New Roman" w:cs="Times New Roman"/>
          <w:szCs w:val="24"/>
        </w:rPr>
      </w:pPr>
      <w:r>
        <w:rPr>
          <w:rFonts w:eastAsia="Times New Roman" w:cs="Times New Roman"/>
          <w:szCs w:val="24"/>
        </w:rPr>
        <w:t>15</w:t>
      </w:r>
      <w:r w:rsidR="0015453B" w:rsidRPr="0015453B">
        <w:rPr>
          <w:rFonts w:eastAsia="Times New Roman" w:cs="Times New Roman"/>
          <w:szCs w:val="24"/>
        </w:rPr>
        <w:t>.5.3. ja būtisku pašu kapitāla posteni (instrumentu) emitējusi sabiedrība, kura nav apdrošināšanas vai pārapdrošināšanas sabiedrība un kura ir pakļauta prasībai par pašu kapitāla instrumentu dalījumu līmeņos, kas ir atšķirīgs no</w:t>
      </w:r>
      <w:r w:rsidR="00E77288">
        <w:rPr>
          <w:rFonts w:eastAsia="Times New Roman" w:cs="Times New Roman"/>
          <w:szCs w:val="24"/>
        </w:rPr>
        <w:t xml:space="preserve"> </w:t>
      </w:r>
      <w:hyperlink r:id="rId43" w:tgtFrame="_blank" w:history="1">
        <w:r w:rsidR="0015453B" w:rsidRPr="0015453B">
          <w:rPr>
            <w:rFonts w:eastAsia="Times New Roman" w:cs="Times New Roman"/>
            <w:szCs w:val="24"/>
          </w:rPr>
          <w:t>Apdrošināšanas un pārapdrošināšanas likumā</w:t>
        </w:r>
      </w:hyperlink>
      <w:r w:rsidR="00E77288">
        <w:rPr>
          <w:rFonts w:eastAsia="Times New Roman" w:cs="Times New Roman"/>
          <w:szCs w:val="24"/>
        </w:rPr>
        <w:t xml:space="preserve"> </w:t>
      </w:r>
      <w:r w:rsidR="0015453B" w:rsidRPr="0015453B">
        <w:rPr>
          <w:rFonts w:eastAsia="Times New Roman" w:cs="Times New Roman"/>
          <w:szCs w:val="24"/>
        </w:rPr>
        <w:t>noteiktā, sniedz atsauci uz attiecīgo normatīvo aktu un tā būtības aprakstu, kā arī norāda pašu kapitāla apmēru katrā līmenī;</w:t>
      </w:r>
    </w:p>
    <w:p w14:paraId="4EFEAA34" w14:textId="2B64C218" w:rsidR="0015453B" w:rsidRPr="0015453B" w:rsidRDefault="00CB0287" w:rsidP="0015453B">
      <w:pPr>
        <w:shd w:val="clear" w:color="auto" w:fill="FFFFFF"/>
        <w:jc w:val="both"/>
        <w:rPr>
          <w:rFonts w:eastAsia="Times New Roman" w:cs="Times New Roman"/>
          <w:szCs w:val="24"/>
        </w:rPr>
      </w:pPr>
      <w:r w:rsidRPr="00AD0BE2">
        <w:rPr>
          <w:rFonts w:eastAsia="Times New Roman" w:cs="Times New Roman"/>
          <w:szCs w:val="24"/>
        </w:rPr>
        <w:t>15</w:t>
      </w:r>
      <w:r w:rsidR="0015453B" w:rsidRPr="00AD0BE2">
        <w:rPr>
          <w:rFonts w:eastAsia="Times New Roman" w:cs="Times New Roman"/>
          <w:szCs w:val="24"/>
        </w:rPr>
        <w:t>.5.4. grupas pašu kapitāla aprēķin</w:t>
      </w:r>
      <w:r w:rsidR="00A62FF3" w:rsidRPr="002E2BA3">
        <w:rPr>
          <w:rFonts w:eastAsia="Times New Roman" w:cs="Times New Roman"/>
          <w:szCs w:val="24"/>
        </w:rPr>
        <w:t>a rezultātu</w:t>
      </w:r>
      <w:r w:rsidR="0015453B" w:rsidRPr="00AD0BE2">
        <w:rPr>
          <w:rFonts w:eastAsia="Times New Roman" w:cs="Times New Roman"/>
          <w:szCs w:val="24"/>
        </w:rPr>
        <w:t>, no kura atskaitīti grupas savstarpējie</w:t>
      </w:r>
      <w:r w:rsidR="0015453B" w:rsidRPr="0015453B">
        <w:rPr>
          <w:rFonts w:eastAsia="Times New Roman" w:cs="Times New Roman"/>
          <w:szCs w:val="24"/>
        </w:rPr>
        <w:t xml:space="preserve"> darījumi, </w:t>
      </w:r>
      <w:r w:rsidR="00000987">
        <w:rPr>
          <w:rFonts w:eastAsia="Times New Roman" w:cs="Times New Roman"/>
          <w:szCs w:val="24"/>
        </w:rPr>
        <w:t xml:space="preserve">tai skaitā </w:t>
      </w:r>
      <w:r w:rsidR="0015453B" w:rsidRPr="0015453B">
        <w:rPr>
          <w:rFonts w:eastAsia="Times New Roman" w:cs="Times New Roman"/>
          <w:szCs w:val="24"/>
        </w:rPr>
        <w:t>darījumi ar citām grupā iekļautajām finanšu sabiedrībām;</w:t>
      </w:r>
    </w:p>
    <w:p w14:paraId="1AD46CA7" w14:textId="16EB2A9A" w:rsidR="0015453B" w:rsidRPr="0015453B" w:rsidRDefault="00CB0287" w:rsidP="0015453B">
      <w:pPr>
        <w:shd w:val="clear" w:color="auto" w:fill="FFFFFF"/>
        <w:jc w:val="both"/>
        <w:rPr>
          <w:rFonts w:eastAsia="Times New Roman" w:cs="Times New Roman"/>
          <w:szCs w:val="24"/>
        </w:rPr>
      </w:pPr>
      <w:r>
        <w:rPr>
          <w:rFonts w:eastAsia="Times New Roman" w:cs="Times New Roman"/>
          <w:szCs w:val="24"/>
        </w:rPr>
        <w:t>15</w:t>
      </w:r>
      <w:r w:rsidR="0015453B" w:rsidRPr="0015453B">
        <w:rPr>
          <w:rFonts w:eastAsia="Times New Roman" w:cs="Times New Roman"/>
          <w:szCs w:val="24"/>
        </w:rPr>
        <w:t xml:space="preserve">.5.5. ierobežojumu būtību attiecībā uz pašu kapitāla posteņu (instrumentu) aizstājamību un </w:t>
      </w:r>
      <w:proofErr w:type="spellStart"/>
      <w:r w:rsidR="0015453B" w:rsidRPr="0015453B">
        <w:rPr>
          <w:rFonts w:eastAsia="Times New Roman" w:cs="Times New Roman"/>
          <w:szCs w:val="24"/>
        </w:rPr>
        <w:t>pārvedamību</w:t>
      </w:r>
      <w:proofErr w:type="spellEnd"/>
      <w:r w:rsidR="0015453B" w:rsidRPr="0015453B">
        <w:rPr>
          <w:rFonts w:eastAsia="Times New Roman" w:cs="Times New Roman"/>
          <w:szCs w:val="24"/>
        </w:rPr>
        <w:t xml:space="preserve"> saistītajās sabiedrībās.</w:t>
      </w:r>
    </w:p>
    <w:p w14:paraId="6258FB63" w14:textId="2B948BA8" w:rsidR="0015453B" w:rsidRPr="0015453B" w:rsidRDefault="0015453B" w:rsidP="0015453B">
      <w:pPr>
        <w:numPr>
          <w:ilvl w:val="0"/>
          <w:numId w:val="2"/>
        </w:numPr>
        <w:spacing w:before="240"/>
        <w:ind w:left="0" w:firstLine="0"/>
        <w:jc w:val="both"/>
        <w:outlineLvl w:val="0"/>
        <w:rPr>
          <w:rFonts w:eastAsia="Times New Roman" w:cs="Times New Roman"/>
          <w:szCs w:val="24"/>
        </w:rPr>
      </w:pPr>
      <w:r w:rsidRPr="0015453B">
        <w:rPr>
          <w:rFonts w:eastAsia="Times New Roman" w:cs="Times New Roman"/>
          <w:szCs w:val="24"/>
        </w:rPr>
        <w:t>Jebkuru būtisku notikumu, kas ietekmē šo noteikumu</w:t>
      </w:r>
      <w:r w:rsidR="005F71EB">
        <w:rPr>
          <w:rFonts w:eastAsia="Times New Roman" w:cs="Times New Roman"/>
          <w:szCs w:val="24"/>
        </w:rPr>
        <w:t xml:space="preserve"> </w:t>
      </w:r>
      <w:r w:rsidR="00F17E52">
        <w:rPr>
          <w:rFonts w:eastAsia="Times New Roman" w:cs="Times New Roman"/>
          <w:szCs w:val="24"/>
        </w:rPr>
        <w:t>11</w:t>
      </w:r>
      <w:r w:rsidR="00F17E52" w:rsidRPr="00B57A86">
        <w:rPr>
          <w:rFonts w:eastAsia="Times New Roman" w:cs="Times New Roman"/>
          <w:szCs w:val="24"/>
        </w:rPr>
        <w:t>.</w:t>
      </w:r>
      <w:r w:rsidRPr="00B57A86">
        <w:rPr>
          <w:rFonts w:eastAsia="Times New Roman" w:cs="Times New Roman"/>
          <w:szCs w:val="24"/>
        </w:rPr>
        <w:t>,</w:t>
      </w:r>
      <w:r w:rsidR="00901349">
        <w:rPr>
          <w:rFonts w:eastAsia="Times New Roman" w:cs="Times New Roman"/>
          <w:szCs w:val="24"/>
        </w:rPr>
        <w:t xml:space="preserve"> </w:t>
      </w:r>
      <w:r w:rsidR="00F17E52" w:rsidRPr="00F13C89">
        <w:rPr>
          <w:rFonts w:eastAsia="Times New Roman" w:cs="Times New Roman"/>
          <w:szCs w:val="24"/>
        </w:rPr>
        <w:t>2</w:t>
      </w:r>
      <w:r w:rsidR="00F17E52">
        <w:rPr>
          <w:rFonts w:eastAsia="Times New Roman" w:cs="Times New Roman"/>
          <w:szCs w:val="24"/>
        </w:rPr>
        <w:t xml:space="preserve">0. </w:t>
      </w:r>
      <w:r w:rsidRPr="0015453B">
        <w:rPr>
          <w:rFonts w:eastAsia="Times New Roman" w:cs="Times New Roman"/>
          <w:szCs w:val="24"/>
        </w:rPr>
        <w:t xml:space="preserve">un </w:t>
      </w:r>
      <w:r w:rsidR="00F17E52">
        <w:rPr>
          <w:rFonts w:eastAsia="Times New Roman" w:cs="Times New Roman"/>
          <w:szCs w:val="24"/>
        </w:rPr>
        <w:t>21</w:t>
      </w:r>
      <w:r w:rsidRPr="0015453B">
        <w:rPr>
          <w:rFonts w:eastAsia="Times New Roman" w:cs="Times New Roman"/>
          <w:szCs w:val="24"/>
        </w:rPr>
        <w:t>. punktā minētās jau atklātās informācijas aktualitāti, iestāšanās gadījumā sabiedrība nekavējoties publisko informāciju par šādu notikumu attīstību un to ietekmi uz sabiedrības darbību.</w:t>
      </w:r>
      <w:bookmarkEnd w:id="4"/>
    </w:p>
    <w:p w14:paraId="0AB0F210" w14:textId="339E53A2" w:rsidR="0015453B" w:rsidRPr="0015453B" w:rsidRDefault="0015453B" w:rsidP="0015453B">
      <w:pPr>
        <w:numPr>
          <w:ilvl w:val="0"/>
          <w:numId w:val="2"/>
        </w:numPr>
        <w:spacing w:before="240"/>
        <w:ind w:left="0" w:firstLine="0"/>
        <w:jc w:val="both"/>
        <w:outlineLvl w:val="0"/>
        <w:rPr>
          <w:rFonts w:eastAsia="Times New Roman" w:cs="Times New Roman"/>
          <w:szCs w:val="24"/>
        </w:rPr>
      </w:pPr>
      <w:r w:rsidRPr="0015453B">
        <w:rPr>
          <w:rFonts w:eastAsia="Times New Roman" w:cs="Times New Roman"/>
          <w:szCs w:val="24"/>
        </w:rPr>
        <w:t>Par būtisku notikumu, ņemot vērā Regulas</w:t>
      </w:r>
      <w:r w:rsidR="00901349">
        <w:rPr>
          <w:rFonts w:eastAsia="Times New Roman" w:cs="Times New Roman"/>
          <w:szCs w:val="24"/>
        </w:rPr>
        <w:t> </w:t>
      </w:r>
      <w:hyperlink r:id="rId44" w:tgtFrame="_blank" w:history="1">
        <w:r w:rsidRPr="0015453B">
          <w:rPr>
            <w:rFonts w:eastAsia="Times New Roman" w:cs="Times New Roman"/>
            <w:szCs w:val="24"/>
          </w:rPr>
          <w:t>2015/35</w:t>
        </w:r>
      </w:hyperlink>
      <w:r w:rsidRPr="0015453B">
        <w:rPr>
          <w:rFonts w:eastAsia="Times New Roman" w:cs="Times New Roman"/>
          <w:szCs w:val="24"/>
        </w:rPr>
        <w:t xml:space="preserve"> 291. pantā minēto kritēriju, uzskata vismaz šādu situāciju:</w:t>
      </w:r>
    </w:p>
    <w:p w14:paraId="41431545" w14:textId="33CC48F8" w:rsidR="0015453B" w:rsidRPr="0015453B" w:rsidRDefault="00CB0287" w:rsidP="0015453B">
      <w:pPr>
        <w:jc w:val="both"/>
        <w:outlineLvl w:val="0"/>
        <w:rPr>
          <w:rFonts w:eastAsia="Times New Roman" w:cs="Times New Roman"/>
          <w:szCs w:val="24"/>
        </w:rPr>
      </w:pPr>
      <w:r>
        <w:rPr>
          <w:rFonts w:eastAsia="Times New Roman" w:cs="Times New Roman"/>
          <w:szCs w:val="24"/>
        </w:rPr>
        <w:t>17</w:t>
      </w:r>
      <w:r w:rsidR="0015453B" w:rsidRPr="0015453B">
        <w:rPr>
          <w:rFonts w:eastAsia="Times New Roman" w:cs="Times New Roman"/>
          <w:szCs w:val="24"/>
        </w:rPr>
        <w:t>.1. ir konstatēta minimālā kapitāla prasības neizpilde un sabiedrība nav iesniegusi Latvijas Bankai plānu minimālā kapitāla prasības izpildes nodrošināšanai viena mēneša laikā no dienas, kad tika konstatēta neizpilde;</w:t>
      </w:r>
    </w:p>
    <w:p w14:paraId="4593E084" w14:textId="3F182065" w:rsidR="0015453B" w:rsidRPr="0015453B" w:rsidRDefault="00CB0287" w:rsidP="0015453B">
      <w:pPr>
        <w:jc w:val="both"/>
        <w:outlineLvl w:val="0"/>
        <w:rPr>
          <w:rFonts w:eastAsia="Times New Roman" w:cs="Times New Roman"/>
          <w:szCs w:val="24"/>
        </w:rPr>
      </w:pPr>
      <w:r>
        <w:rPr>
          <w:rFonts w:eastAsia="Times New Roman" w:cs="Times New Roman"/>
          <w:szCs w:val="24"/>
        </w:rPr>
        <w:t>17</w:t>
      </w:r>
      <w:r w:rsidR="0015453B" w:rsidRPr="0015453B">
        <w:rPr>
          <w:rFonts w:eastAsia="Times New Roman" w:cs="Times New Roman"/>
          <w:szCs w:val="24"/>
        </w:rPr>
        <w:t>.2. ir konstatēta maksātspējas kapitāla prasības neizpilde un sabiedrība nav iesniegusi Latvijas Bankai atveseļošanas plānu maksātspējas kapitāla prasības izpildes nodrošināšanai divu mēnešu laikā no dienas, kad tika konstatēta neizpilde.</w:t>
      </w:r>
    </w:p>
    <w:p w14:paraId="551909BC" w14:textId="3D5BC6FE" w:rsidR="0015453B" w:rsidRPr="0015453B" w:rsidRDefault="006F7EAF" w:rsidP="0015453B">
      <w:pPr>
        <w:numPr>
          <w:ilvl w:val="0"/>
          <w:numId w:val="2"/>
        </w:numPr>
        <w:spacing w:before="240"/>
        <w:ind w:left="0" w:firstLine="0"/>
        <w:jc w:val="both"/>
        <w:outlineLvl w:val="0"/>
        <w:rPr>
          <w:rFonts w:eastAsia="Times New Roman" w:cs="Times New Roman"/>
          <w:szCs w:val="24"/>
        </w:rPr>
      </w:pPr>
      <w:r>
        <w:rPr>
          <w:rFonts w:eastAsia="Times New Roman" w:cs="Times New Roman"/>
          <w:szCs w:val="24"/>
        </w:rPr>
        <w:t>Šo n</w:t>
      </w:r>
      <w:r w:rsidR="0015453B" w:rsidRPr="0015453B">
        <w:rPr>
          <w:rFonts w:eastAsia="Times New Roman" w:cs="Times New Roman"/>
          <w:szCs w:val="24"/>
        </w:rPr>
        <w:t xml:space="preserve">oteikumu </w:t>
      </w:r>
      <w:r>
        <w:rPr>
          <w:rFonts w:eastAsia="Times New Roman" w:cs="Times New Roman"/>
          <w:szCs w:val="24"/>
        </w:rPr>
        <w:t>17</w:t>
      </w:r>
      <w:r w:rsidR="0015453B" w:rsidRPr="0015453B">
        <w:rPr>
          <w:rFonts w:eastAsia="Times New Roman" w:cs="Times New Roman"/>
          <w:szCs w:val="24"/>
        </w:rPr>
        <w:t>.1. </w:t>
      </w:r>
      <w:r>
        <w:rPr>
          <w:rFonts w:eastAsia="Times New Roman" w:cs="Times New Roman"/>
          <w:szCs w:val="24"/>
        </w:rPr>
        <w:t>apakš</w:t>
      </w:r>
      <w:r w:rsidR="0015453B" w:rsidRPr="0015453B">
        <w:rPr>
          <w:rFonts w:eastAsia="Times New Roman" w:cs="Times New Roman"/>
          <w:szCs w:val="24"/>
        </w:rPr>
        <w:t xml:space="preserve">punktā minētajā situācijā sabiedrība nekavējoties atklāj informāciju par neizpildes apmēru, kā arī skaidro tās rašanās iemeslus un sekas, </w:t>
      </w:r>
      <w:r w:rsidR="00000987">
        <w:rPr>
          <w:rFonts w:eastAsia="Times New Roman" w:cs="Times New Roman"/>
          <w:szCs w:val="24"/>
        </w:rPr>
        <w:t xml:space="preserve">tai skaitā </w:t>
      </w:r>
      <w:r w:rsidR="0015453B" w:rsidRPr="0015453B">
        <w:rPr>
          <w:rFonts w:eastAsia="Times New Roman" w:cs="Times New Roman"/>
          <w:szCs w:val="24"/>
        </w:rPr>
        <w:t xml:space="preserve">norāda jebkādus sabiedrības veiktos pasākumus situācijas uzlabošanai. Ja, neraugoties uz plānu, neatbilstība minimālā kapitāla prasībai nav novērsta triju mēnešu laikā pēc tās konstatēšanas, šādu informāciju atklāj pēc minētā perioda beigām, skaidrojot tās rašanās cēloņus un sekas, </w:t>
      </w:r>
      <w:r w:rsidR="00000987">
        <w:rPr>
          <w:rFonts w:eastAsia="Times New Roman" w:cs="Times New Roman"/>
          <w:szCs w:val="24"/>
        </w:rPr>
        <w:t xml:space="preserve">tai skaitā </w:t>
      </w:r>
      <w:r w:rsidR="0015453B" w:rsidRPr="0015453B">
        <w:rPr>
          <w:rFonts w:eastAsia="Times New Roman" w:cs="Times New Roman"/>
          <w:szCs w:val="24"/>
        </w:rPr>
        <w:t>norāda veiktos, kā arī plānotos pasākumus situācijas uzlabošanai</w:t>
      </w:r>
      <w:r w:rsidR="0015453B" w:rsidRPr="0015453B">
        <w:rPr>
          <w:rFonts w:eastAsia="Times New Roman" w:cs="Times New Roman"/>
          <w:szCs w:val="24"/>
          <w:lang w:eastAsia="en-US"/>
        </w:rPr>
        <w:t>.</w:t>
      </w:r>
    </w:p>
    <w:p w14:paraId="3C974CB6" w14:textId="1084D0DF" w:rsidR="0015453B" w:rsidRPr="0015453B" w:rsidRDefault="00CB0287" w:rsidP="0015453B">
      <w:pPr>
        <w:numPr>
          <w:ilvl w:val="0"/>
          <w:numId w:val="2"/>
        </w:numPr>
        <w:spacing w:before="240"/>
        <w:ind w:left="0" w:firstLine="0"/>
        <w:jc w:val="both"/>
        <w:outlineLvl w:val="0"/>
        <w:rPr>
          <w:rFonts w:eastAsia="Times New Roman" w:cs="Times New Roman"/>
          <w:szCs w:val="24"/>
        </w:rPr>
      </w:pPr>
      <w:r>
        <w:rPr>
          <w:rFonts w:eastAsia="Times New Roman" w:cs="Times New Roman"/>
          <w:szCs w:val="24"/>
        </w:rPr>
        <w:t>Šo n</w:t>
      </w:r>
      <w:r w:rsidR="0015453B" w:rsidRPr="0015453B">
        <w:rPr>
          <w:rFonts w:eastAsia="Times New Roman" w:cs="Times New Roman"/>
          <w:szCs w:val="24"/>
        </w:rPr>
        <w:t>oteikumu 1</w:t>
      </w:r>
      <w:r>
        <w:rPr>
          <w:rFonts w:eastAsia="Times New Roman" w:cs="Times New Roman"/>
          <w:szCs w:val="24"/>
        </w:rPr>
        <w:t>7</w:t>
      </w:r>
      <w:r w:rsidR="0015453B" w:rsidRPr="0015453B">
        <w:rPr>
          <w:rFonts w:eastAsia="Times New Roman" w:cs="Times New Roman"/>
          <w:szCs w:val="24"/>
        </w:rPr>
        <w:t>.2. </w:t>
      </w:r>
      <w:r>
        <w:rPr>
          <w:rFonts w:eastAsia="Times New Roman" w:cs="Times New Roman"/>
          <w:szCs w:val="24"/>
        </w:rPr>
        <w:t>apakš</w:t>
      </w:r>
      <w:r w:rsidR="0015453B" w:rsidRPr="0015453B">
        <w:rPr>
          <w:rFonts w:eastAsia="Times New Roman" w:cs="Times New Roman"/>
          <w:szCs w:val="24"/>
        </w:rPr>
        <w:t xml:space="preserve">punktā minētajā situācijā sabiedrība nekavējoties atklāj informāciju par neizpildes apmēru, kā arī skaidro tās rašanās iemeslus un sekas, </w:t>
      </w:r>
      <w:r w:rsidR="00000987">
        <w:rPr>
          <w:rFonts w:eastAsia="Times New Roman" w:cs="Times New Roman"/>
          <w:szCs w:val="24"/>
        </w:rPr>
        <w:t xml:space="preserve">tai skaitā </w:t>
      </w:r>
      <w:r w:rsidR="0015453B" w:rsidRPr="0015453B">
        <w:rPr>
          <w:rFonts w:eastAsia="Times New Roman" w:cs="Times New Roman"/>
          <w:szCs w:val="24"/>
        </w:rPr>
        <w:t xml:space="preserve">norāda jebkādus sabiedrības veiktos pasākumus situācijas uzlabošanai. Ja, neraugoties uz atveseļošanas plānu, neatbilstība maksātspējas kapitāla prasībai nav novērsta sešu mēnešu laikā pēc tās konstatēšanas, to atklāj pēc minētā perioda beigām, skaidrojot tās rašanās cēloņus un sekas, </w:t>
      </w:r>
      <w:r w:rsidR="00000987">
        <w:rPr>
          <w:rFonts w:eastAsia="Times New Roman" w:cs="Times New Roman"/>
          <w:szCs w:val="24"/>
        </w:rPr>
        <w:t xml:space="preserve">tai skaitā </w:t>
      </w:r>
      <w:r w:rsidR="0015453B" w:rsidRPr="0015453B">
        <w:rPr>
          <w:rFonts w:eastAsia="Times New Roman" w:cs="Times New Roman"/>
          <w:szCs w:val="24"/>
        </w:rPr>
        <w:t>norāda veiktos, kā arī plānotos pasākumus situācijas uzlabošanai</w:t>
      </w:r>
      <w:r w:rsidR="0015453B" w:rsidRPr="0015453B">
        <w:rPr>
          <w:rFonts w:eastAsia="Times New Roman" w:cs="Times New Roman"/>
          <w:szCs w:val="24"/>
          <w:lang w:eastAsia="en-US"/>
        </w:rPr>
        <w:t>.</w:t>
      </w:r>
    </w:p>
    <w:p w14:paraId="1366ACAD" w14:textId="4D0C0694" w:rsidR="0015453B" w:rsidRPr="0015453B" w:rsidRDefault="0015453B" w:rsidP="0015453B">
      <w:pPr>
        <w:spacing w:before="240"/>
        <w:outlineLvl w:val="0"/>
        <w:rPr>
          <w:rFonts w:eastAsia="Times New Roman" w:cs="Times New Roman"/>
          <w:b/>
          <w:szCs w:val="24"/>
        </w:rPr>
      </w:pPr>
      <w:r>
        <w:rPr>
          <w:rFonts w:eastAsia="Times New Roman" w:cs="Times New Roman"/>
          <w:b/>
          <w:szCs w:val="24"/>
        </w:rPr>
        <w:t xml:space="preserve">III. </w:t>
      </w:r>
      <w:r w:rsidRPr="0015453B">
        <w:rPr>
          <w:rFonts w:eastAsia="Times New Roman" w:cs="Times New Roman"/>
          <w:b/>
          <w:szCs w:val="24"/>
        </w:rPr>
        <w:t>Atbrīvojums no informācijas publiskošanas</w:t>
      </w:r>
    </w:p>
    <w:p w14:paraId="64FB120E" w14:textId="77777777" w:rsidR="0015453B" w:rsidRPr="0015453B" w:rsidRDefault="0015453B" w:rsidP="0015453B">
      <w:pPr>
        <w:numPr>
          <w:ilvl w:val="0"/>
          <w:numId w:val="2"/>
        </w:numPr>
        <w:spacing w:before="240"/>
        <w:ind w:left="0" w:firstLine="0"/>
        <w:jc w:val="both"/>
        <w:outlineLvl w:val="0"/>
        <w:rPr>
          <w:rFonts w:eastAsia="Times New Roman" w:cs="Times New Roman"/>
          <w:szCs w:val="24"/>
        </w:rPr>
      </w:pPr>
      <w:r w:rsidRPr="0015453B">
        <w:rPr>
          <w:rFonts w:eastAsia="Times New Roman" w:cs="Times New Roman"/>
          <w:szCs w:val="24"/>
        </w:rPr>
        <w:t>Sabiedrība pēc Latvijas Bankas atļaujas saņemšanas var nepubliskot ziņojumā informāciju, kura ir:</w:t>
      </w:r>
    </w:p>
    <w:p w14:paraId="0EF09F8C" w14:textId="524DAF29" w:rsidR="0015453B" w:rsidRPr="0015453B" w:rsidRDefault="00CB0287" w:rsidP="0015453B">
      <w:pPr>
        <w:shd w:val="clear" w:color="auto" w:fill="FFFFFF"/>
        <w:jc w:val="both"/>
        <w:rPr>
          <w:rFonts w:eastAsia="Times New Roman" w:cs="Times New Roman"/>
          <w:szCs w:val="24"/>
        </w:rPr>
      </w:pPr>
      <w:r>
        <w:rPr>
          <w:rFonts w:eastAsia="Times New Roman" w:cs="Times New Roman"/>
          <w:szCs w:val="24"/>
        </w:rPr>
        <w:t>20</w:t>
      </w:r>
      <w:r w:rsidR="0015453B" w:rsidRPr="0015453B">
        <w:rPr>
          <w:rFonts w:eastAsia="Times New Roman" w:cs="Times New Roman"/>
          <w:szCs w:val="24"/>
        </w:rPr>
        <w:t>.1. aizsargājama. Informāciju uzskata par aizsargājamu, ja, atklājot šādu informāciju, sabiedrības konkurenti gūst ievērojamas priekšrocības un vājinās sabiedrības konkurētspēja;</w:t>
      </w:r>
    </w:p>
    <w:p w14:paraId="40256605" w14:textId="4836B1D8" w:rsidR="0015453B" w:rsidRPr="0015453B" w:rsidRDefault="00CB0287" w:rsidP="0015453B">
      <w:pPr>
        <w:shd w:val="clear" w:color="auto" w:fill="FFFFFF"/>
        <w:jc w:val="both"/>
        <w:rPr>
          <w:rFonts w:eastAsia="Times New Roman" w:cs="Times New Roman"/>
          <w:szCs w:val="24"/>
        </w:rPr>
      </w:pPr>
      <w:r>
        <w:rPr>
          <w:rFonts w:eastAsia="Times New Roman" w:cs="Times New Roman"/>
          <w:szCs w:val="24"/>
        </w:rPr>
        <w:t>20</w:t>
      </w:r>
      <w:r w:rsidR="0015453B" w:rsidRPr="0015453B">
        <w:rPr>
          <w:rFonts w:eastAsia="Times New Roman" w:cs="Times New Roman"/>
          <w:szCs w:val="24"/>
        </w:rPr>
        <w:t xml:space="preserve">.2. konfidenciāla. Informāciju uzskata par konfidenciālu, ja sabiedrībai pastāv saistības pret apdrošinājuma ņēmējiem vai citiem darījumu partneriem, kas tai uzliek konfidencialitātes </w:t>
      </w:r>
      <w:r w:rsidR="00962D75">
        <w:rPr>
          <w:rFonts w:eastAsia="Times New Roman" w:cs="Times New Roman"/>
          <w:szCs w:val="24"/>
        </w:rPr>
        <w:t>nodroši</w:t>
      </w:r>
      <w:r w:rsidR="007A3EEE">
        <w:rPr>
          <w:rFonts w:eastAsia="Times New Roman" w:cs="Times New Roman"/>
          <w:szCs w:val="24"/>
        </w:rPr>
        <w:t>nā</w:t>
      </w:r>
      <w:r w:rsidR="00962D75">
        <w:rPr>
          <w:rFonts w:eastAsia="Times New Roman" w:cs="Times New Roman"/>
          <w:szCs w:val="24"/>
        </w:rPr>
        <w:t xml:space="preserve">šanas </w:t>
      </w:r>
      <w:r w:rsidR="0015453B" w:rsidRPr="0015453B">
        <w:rPr>
          <w:rFonts w:eastAsia="Times New Roman" w:cs="Times New Roman"/>
          <w:szCs w:val="24"/>
        </w:rPr>
        <w:t>pienākumu.</w:t>
      </w:r>
    </w:p>
    <w:p w14:paraId="75C7B570" w14:textId="6CB91DDD" w:rsidR="0015453B" w:rsidRPr="0015453B" w:rsidRDefault="006F7EAF" w:rsidP="0015453B">
      <w:pPr>
        <w:numPr>
          <w:ilvl w:val="0"/>
          <w:numId w:val="2"/>
        </w:numPr>
        <w:spacing w:before="240"/>
        <w:ind w:left="0" w:firstLine="0"/>
        <w:jc w:val="both"/>
        <w:outlineLvl w:val="0"/>
        <w:rPr>
          <w:rFonts w:eastAsia="Times New Roman" w:cs="Times New Roman"/>
          <w:szCs w:val="24"/>
        </w:rPr>
      </w:pPr>
      <w:r>
        <w:rPr>
          <w:rFonts w:eastAsia="Times New Roman" w:cs="Times New Roman"/>
          <w:szCs w:val="24"/>
        </w:rPr>
        <w:t>Šo n</w:t>
      </w:r>
      <w:r w:rsidR="0015453B" w:rsidRPr="0015453B">
        <w:rPr>
          <w:rFonts w:eastAsia="Times New Roman" w:cs="Times New Roman"/>
          <w:szCs w:val="24"/>
        </w:rPr>
        <w:t xml:space="preserve">oteikumu </w:t>
      </w:r>
      <w:r>
        <w:rPr>
          <w:rFonts w:eastAsia="Times New Roman" w:cs="Times New Roman"/>
          <w:szCs w:val="24"/>
        </w:rPr>
        <w:t>20</w:t>
      </w:r>
      <w:r w:rsidR="0015453B" w:rsidRPr="0015453B">
        <w:rPr>
          <w:rFonts w:eastAsia="Times New Roman" w:cs="Times New Roman"/>
          <w:szCs w:val="24"/>
        </w:rPr>
        <w:t>. punktā minētajos gadījumos sabiedrība ziņojumā atklāj faktu, ka Latvijas Banka ir atļāvusi nepubliskot informāciju, un paskaidro iemeslu</w:t>
      </w:r>
      <w:r w:rsidR="0015453B" w:rsidRPr="0015453B">
        <w:rPr>
          <w:rFonts w:eastAsia="Times New Roman" w:cs="Times New Roman"/>
          <w:szCs w:val="24"/>
          <w:lang w:eastAsia="en-US"/>
        </w:rPr>
        <w:t>.</w:t>
      </w:r>
    </w:p>
    <w:p w14:paraId="098891E9" w14:textId="69DA63D7" w:rsidR="0015453B" w:rsidRPr="0015453B" w:rsidRDefault="0015453B" w:rsidP="0015453B">
      <w:pPr>
        <w:numPr>
          <w:ilvl w:val="0"/>
          <w:numId w:val="2"/>
        </w:numPr>
        <w:spacing w:before="240"/>
        <w:ind w:left="0" w:firstLine="0"/>
        <w:jc w:val="both"/>
        <w:outlineLvl w:val="0"/>
        <w:rPr>
          <w:rFonts w:eastAsia="Times New Roman" w:cs="Times New Roman"/>
          <w:szCs w:val="24"/>
        </w:rPr>
      </w:pPr>
      <w:r w:rsidRPr="0015453B">
        <w:rPr>
          <w:rFonts w:eastAsia="Times New Roman" w:cs="Times New Roman"/>
          <w:szCs w:val="24"/>
        </w:rPr>
        <w:t xml:space="preserve">Uz šo noteikumu </w:t>
      </w:r>
      <w:r w:rsidR="006F7EAF">
        <w:rPr>
          <w:rFonts w:eastAsia="Times New Roman" w:cs="Times New Roman"/>
          <w:szCs w:val="24"/>
        </w:rPr>
        <w:t>15</w:t>
      </w:r>
      <w:r w:rsidRPr="0015453B">
        <w:rPr>
          <w:rFonts w:eastAsia="Times New Roman" w:cs="Times New Roman"/>
          <w:szCs w:val="24"/>
        </w:rPr>
        <w:t xml:space="preserve">. punktā minēto informāciju neattiecina šo noteikumu </w:t>
      </w:r>
      <w:r w:rsidR="006F7EAF">
        <w:rPr>
          <w:rFonts w:eastAsia="Times New Roman" w:cs="Times New Roman"/>
          <w:szCs w:val="24"/>
        </w:rPr>
        <w:t>20</w:t>
      </w:r>
      <w:hyperlink r:id="rId45" w:anchor="p14" w:history="1">
        <w:r w:rsidRPr="0015453B">
          <w:rPr>
            <w:rFonts w:eastAsia="Times New Roman" w:cs="Times New Roman"/>
            <w:szCs w:val="24"/>
          </w:rPr>
          <w:t>. punktā</w:t>
        </w:r>
      </w:hyperlink>
      <w:r w:rsidRPr="0015453B">
        <w:rPr>
          <w:rFonts w:eastAsia="Times New Roman" w:cs="Times New Roman"/>
          <w:szCs w:val="24"/>
        </w:rPr>
        <w:t xml:space="preserve"> minētos atbrīvojumus no informācijas publiskošanas.</w:t>
      </w:r>
    </w:p>
    <w:p w14:paraId="575253D0" w14:textId="580E6DF3" w:rsidR="0015453B" w:rsidRPr="0015453B" w:rsidRDefault="005609F0" w:rsidP="005609F0">
      <w:pPr>
        <w:spacing w:before="240"/>
        <w:outlineLvl w:val="0"/>
        <w:rPr>
          <w:rFonts w:eastAsia="Times New Roman" w:cs="Times New Roman"/>
          <w:b/>
          <w:szCs w:val="24"/>
        </w:rPr>
      </w:pPr>
      <w:r>
        <w:rPr>
          <w:rFonts w:eastAsia="Times New Roman" w:cs="Times New Roman"/>
          <w:b/>
          <w:szCs w:val="24"/>
        </w:rPr>
        <w:t xml:space="preserve">IV. </w:t>
      </w:r>
      <w:r w:rsidR="0015453B" w:rsidRPr="0015453B">
        <w:rPr>
          <w:rFonts w:eastAsia="Times New Roman" w:cs="Times New Roman"/>
          <w:b/>
          <w:szCs w:val="24"/>
        </w:rPr>
        <w:t>Noslēguma jautājumi</w:t>
      </w:r>
    </w:p>
    <w:p w14:paraId="0C6626EF" w14:textId="63DDCCF5" w:rsidR="0015453B" w:rsidRPr="0015453B" w:rsidRDefault="0015453B" w:rsidP="0015453B">
      <w:pPr>
        <w:numPr>
          <w:ilvl w:val="0"/>
          <w:numId w:val="2"/>
        </w:numPr>
        <w:spacing w:before="240"/>
        <w:ind w:left="0" w:firstLine="0"/>
        <w:jc w:val="both"/>
        <w:outlineLvl w:val="0"/>
        <w:rPr>
          <w:rFonts w:eastAsia="Times New Roman" w:cs="Times New Roman"/>
          <w:szCs w:val="24"/>
        </w:rPr>
      </w:pPr>
      <w:r w:rsidRPr="0015453B">
        <w:rPr>
          <w:rFonts w:eastAsia="Times New Roman" w:cs="Times New Roman"/>
          <w:szCs w:val="24"/>
        </w:rPr>
        <w:t xml:space="preserve">Atzīt par spēku zaudējušiem Finanšu un kapitāla tirgus komisijas 2020. gada 25. augusta normatīvos noteikumus </w:t>
      </w:r>
      <w:bookmarkStart w:id="5" w:name="_Hlk155623221"/>
      <w:r w:rsidRPr="0015453B">
        <w:rPr>
          <w:rFonts w:eastAsia="Times New Roman" w:cs="Times New Roman"/>
          <w:szCs w:val="24"/>
        </w:rPr>
        <w:t xml:space="preserve">Nr. 136 </w:t>
      </w:r>
      <w:bookmarkStart w:id="6" w:name="_Hlk155885121"/>
      <w:r w:rsidRPr="0015453B">
        <w:rPr>
          <w:rFonts w:eastAsia="Times New Roman" w:cs="Times New Roman"/>
          <w:szCs w:val="24"/>
        </w:rPr>
        <w:t>"Ziņojuma par apdrošināšanas un pārapdrošināšanas sabiedrības maksātspēju un finansiālo stāvokli sagatavošanas normatīvie noteikumi"</w:t>
      </w:r>
      <w:bookmarkEnd w:id="5"/>
      <w:bookmarkEnd w:id="6"/>
      <w:r w:rsidRPr="0015453B">
        <w:rPr>
          <w:rFonts w:eastAsia="Times New Roman" w:cs="Times New Roman"/>
          <w:szCs w:val="24"/>
        </w:rPr>
        <w:t xml:space="preserve"> (Latvijas Vēstnesis, </w:t>
      </w:r>
      <w:r w:rsidRPr="00B57A86">
        <w:rPr>
          <w:rFonts w:eastAsia="Times New Roman" w:cs="Times New Roman"/>
          <w:szCs w:val="24"/>
        </w:rPr>
        <w:t>202</w:t>
      </w:r>
      <w:r w:rsidR="00DF60F5" w:rsidRPr="00B57A86">
        <w:rPr>
          <w:rFonts w:eastAsia="Times New Roman" w:cs="Times New Roman"/>
          <w:szCs w:val="24"/>
        </w:rPr>
        <w:t>0</w:t>
      </w:r>
      <w:r w:rsidRPr="00B57A86">
        <w:rPr>
          <w:rFonts w:eastAsia="Times New Roman" w:cs="Times New Roman"/>
          <w:szCs w:val="24"/>
        </w:rPr>
        <w:t>, Nr. </w:t>
      </w:r>
      <w:r w:rsidR="00DF60F5" w:rsidRPr="00B57A86">
        <w:rPr>
          <w:rFonts w:eastAsia="Times New Roman" w:cs="Times New Roman"/>
          <w:szCs w:val="24"/>
        </w:rPr>
        <w:t>171</w:t>
      </w:r>
      <w:r w:rsidRPr="00F13C89">
        <w:rPr>
          <w:rFonts w:eastAsia="Times New Roman" w:cs="Times New Roman"/>
          <w:szCs w:val="24"/>
        </w:rPr>
        <w:t>).</w:t>
      </w:r>
    </w:p>
    <w:p w14:paraId="45F06688" w14:textId="0E695432" w:rsidR="0015453B" w:rsidRPr="0015453B" w:rsidRDefault="0015453B" w:rsidP="0015453B">
      <w:pPr>
        <w:numPr>
          <w:ilvl w:val="0"/>
          <w:numId w:val="2"/>
        </w:numPr>
        <w:spacing w:before="240"/>
        <w:ind w:left="0" w:firstLine="0"/>
        <w:jc w:val="both"/>
        <w:outlineLvl w:val="0"/>
        <w:rPr>
          <w:rFonts w:eastAsia="Times New Roman" w:cs="Times New Roman"/>
          <w:szCs w:val="24"/>
        </w:rPr>
      </w:pPr>
      <w:r w:rsidRPr="0015453B">
        <w:rPr>
          <w:rFonts w:eastAsia="Times New Roman" w:cs="Times New Roman"/>
          <w:szCs w:val="24"/>
        </w:rPr>
        <w:t>Ziņojumam individuālā un grupas līmenī, kas sagatavots par stāvokli 2023. gada 31. decembr</w:t>
      </w:r>
      <w:r w:rsidR="00750D9A">
        <w:rPr>
          <w:rFonts w:eastAsia="Times New Roman" w:cs="Times New Roman"/>
          <w:szCs w:val="24"/>
        </w:rPr>
        <w:t>ī</w:t>
      </w:r>
      <w:r w:rsidRPr="0015453B">
        <w:rPr>
          <w:rFonts w:eastAsia="Times New Roman" w:cs="Times New Roman"/>
          <w:szCs w:val="24"/>
        </w:rPr>
        <w:t>, piemēro Finanšu un kapitāla tirgus komisijas 2020. gada 25. augusta normatīvos noteikumus Nr. 136 "Ziņojuma par apdrošināšanas un pārapdrošināšanas sabiedrības maksātspēju un finansiālo stāvokli sagatavošanas normatīvie noteikumi".</w:t>
      </w:r>
    </w:p>
    <w:p w14:paraId="329A42BA" w14:textId="4F0CC3EC" w:rsidR="0015453B" w:rsidRPr="0015453B" w:rsidRDefault="0015453B" w:rsidP="0015453B">
      <w:pPr>
        <w:spacing w:before="240"/>
        <w:jc w:val="both"/>
        <w:outlineLvl w:val="0"/>
        <w:rPr>
          <w:rFonts w:eastAsia="Times New Roman" w:cs="Times New Roman"/>
          <w:b/>
          <w:bCs/>
          <w:szCs w:val="24"/>
        </w:rPr>
      </w:pPr>
      <w:r w:rsidRPr="0015453B">
        <w:rPr>
          <w:rFonts w:eastAsia="Times New Roman" w:cs="Times New Roman"/>
          <w:b/>
          <w:bCs/>
          <w:szCs w:val="24"/>
        </w:rPr>
        <w:t xml:space="preserve">Informatīva atsauce uz Eiropas Savienības </w:t>
      </w:r>
      <w:r w:rsidR="007845E3">
        <w:rPr>
          <w:rFonts w:eastAsia="Times New Roman" w:cs="Times New Roman"/>
          <w:b/>
          <w:bCs/>
          <w:szCs w:val="24"/>
        </w:rPr>
        <w:t>tiesību aktiem</w:t>
      </w:r>
    </w:p>
    <w:p w14:paraId="62FEB2CF" w14:textId="77777777" w:rsidR="0015453B" w:rsidRPr="0015453B" w:rsidRDefault="0015453B" w:rsidP="0015453B">
      <w:pPr>
        <w:spacing w:before="240"/>
        <w:jc w:val="both"/>
        <w:outlineLvl w:val="0"/>
        <w:rPr>
          <w:rFonts w:eastAsia="Times New Roman" w:cs="Times New Roman"/>
          <w:szCs w:val="24"/>
        </w:rPr>
      </w:pPr>
      <w:r w:rsidRPr="0015453B">
        <w:rPr>
          <w:rFonts w:eastAsia="Times New Roman" w:cs="Times New Roman"/>
          <w:szCs w:val="24"/>
        </w:rPr>
        <w:t>Noteikumos iekļautas tiesību normas, kas izriet no:</w:t>
      </w:r>
    </w:p>
    <w:p w14:paraId="601E95D9" w14:textId="5E3FA2C2" w:rsidR="0015453B" w:rsidRPr="0015453B" w:rsidRDefault="0015453B" w:rsidP="0015453B">
      <w:pPr>
        <w:shd w:val="clear" w:color="auto" w:fill="FFFFFF"/>
        <w:jc w:val="both"/>
        <w:rPr>
          <w:rFonts w:eastAsia="Times New Roman" w:cs="Times New Roman"/>
          <w:szCs w:val="24"/>
        </w:rPr>
      </w:pPr>
      <w:r w:rsidRPr="0015453B">
        <w:rPr>
          <w:rFonts w:eastAsia="Times New Roman" w:cs="Times New Roman"/>
          <w:szCs w:val="24"/>
        </w:rPr>
        <w:t xml:space="preserve">1) </w:t>
      </w:r>
      <w:bookmarkStart w:id="7" w:name="_Hlk155885181"/>
      <w:r w:rsidRPr="0015453B">
        <w:rPr>
          <w:rFonts w:eastAsia="Times New Roman" w:cs="Times New Roman"/>
          <w:szCs w:val="24"/>
        </w:rPr>
        <w:t>Eiropas Parlamenta un Padomes 2009. gada 25. novembra direktīvas</w:t>
      </w:r>
      <w:r w:rsidR="00901349">
        <w:rPr>
          <w:rFonts w:eastAsia="Times New Roman" w:cs="Times New Roman"/>
          <w:szCs w:val="24"/>
        </w:rPr>
        <w:t> </w:t>
      </w:r>
      <w:hyperlink r:id="rId46" w:tgtFrame="_blank" w:history="1">
        <w:r w:rsidRPr="0015453B">
          <w:rPr>
            <w:rFonts w:eastAsia="Times New Roman" w:cs="Times New Roman"/>
            <w:szCs w:val="24"/>
          </w:rPr>
          <w:t>2009/138/EK</w:t>
        </w:r>
      </w:hyperlink>
      <w:r w:rsidRPr="0015453B">
        <w:rPr>
          <w:rFonts w:eastAsia="Times New Roman" w:cs="Times New Roman"/>
          <w:szCs w:val="24"/>
        </w:rPr>
        <w:t xml:space="preserve"> par uzņēmējdarbības uzsākšanu un veikšanu apdrošināšanas un pārapdrošināšanas jomā (Maksātspēja</w:t>
      </w:r>
      <w:r w:rsidR="00901349">
        <w:rPr>
          <w:rFonts w:eastAsia="Times New Roman" w:cs="Times New Roman"/>
          <w:szCs w:val="24"/>
        </w:rPr>
        <w:t> </w:t>
      </w:r>
      <w:r w:rsidRPr="0015453B">
        <w:rPr>
          <w:rFonts w:eastAsia="Times New Roman" w:cs="Times New Roman"/>
          <w:szCs w:val="24"/>
        </w:rPr>
        <w:t>II);</w:t>
      </w:r>
      <w:bookmarkEnd w:id="7"/>
    </w:p>
    <w:p w14:paraId="72794307" w14:textId="2E8D1045" w:rsidR="0015453B" w:rsidRPr="0015453B" w:rsidRDefault="0015453B" w:rsidP="0015453B">
      <w:pPr>
        <w:shd w:val="clear" w:color="auto" w:fill="FFFFFF"/>
        <w:jc w:val="both"/>
        <w:rPr>
          <w:rFonts w:eastAsia="Times New Roman" w:cs="Times New Roman"/>
          <w:szCs w:val="24"/>
        </w:rPr>
      </w:pPr>
      <w:r w:rsidRPr="0015453B">
        <w:rPr>
          <w:rFonts w:eastAsia="Times New Roman" w:cs="Times New Roman"/>
          <w:szCs w:val="24"/>
        </w:rPr>
        <w:t>2)</w:t>
      </w:r>
      <w:r w:rsidRPr="0015453B">
        <w:rPr>
          <w:rFonts w:eastAsia="Times New Roman" w:cs="Times New Roman"/>
          <w:i/>
          <w:iCs/>
          <w:szCs w:val="24"/>
        </w:rPr>
        <w:t> </w:t>
      </w:r>
      <w:r w:rsidRPr="0015453B">
        <w:rPr>
          <w:rFonts w:eastAsia="Times New Roman" w:cs="Times New Roman"/>
          <w:szCs w:val="24"/>
        </w:rPr>
        <w:t xml:space="preserve">Eiropas Apdrošināšanas un aroda pensiju iestādes pamatnostādnēm </w:t>
      </w:r>
      <w:r w:rsidR="00901349">
        <w:rPr>
          <w:rFonts w:eastAsia="Times New Roman" w:cs="Times New Roman"/>
          <w:szCs w:val="24"/>
        </w:rPr>
        <w:br/>
      </w:r>
      <w:r w:rsidRPr="0015453B">
        <w:rPr>
          <w:rFonts w:eastAsia="Times New Roman" w:cs="Times New Roman"/>
          <w:szCs w:val="24"/>
        </w:rPr>
        <w:t>Nr. EIOPA-BoS-15/109</w:t>
      </w:r>
      <w:r w:rsidR="00901349">
        <w:rPr>
          <w:rFonts w:eastAsia="Times New Roman" w:cs="Times New Roman"/>
          <w:szCs w:val="24"/>
        </w:rPr>
        <w:t> </w:t>
      </w:r>
      <w:r w:rsidRPr="0015453B">
        <w:rPr>
          <w:rFonts w:eastAsia="Times New Roman" w:cs="Times New Roman"/>
          <w:szCs w:val="24"/>
        </w:rPr>
        <w:t>LV</w:t>
      </w:r>
      <w:r w:rsidR="00901349">
        <w:rPr>
          <w:rFonts w:eastAsia="Times New Roman" w:cs="Times New Roman"/>
          <w:szCs w:val="24"/>
        </w:rPr>
        <w:t> </w:t>
      </w:r>
      <w:r w:rsidRPr="0015453B">
        <w:rPr>
          <w:rFonts w:eastAsia="Times New Roman" w:cs="Times New Roman"/>
          <w:szCs w:val="24"/>
        </w:rPr>
        <w:t>"Pamatnostādnes par pārskatiem un informācijas publiskošanu";</w:t>
      </w:r>
    </w:p>
    <w:p w14:paraId="310D4B78" w14:textId="3DD9125F" w:rsidR="0015453B" w:rsidRPr="0015453B" w:rsidRDefault="0015453B" w:rsidP="0015453B">
      <w:pPr>
        <w:shd w:val="clear" w:color="auto" w:fill="FFFFFF"/>
        <w:jc w:val="both"/>
        <w:rPr>
          <w:rFonts w:eastAsia="Times New Roman" w:cs="Times New Roman"/>
          <w:szCs w:val="24"/>
        </w:rPr>
      </w:pPr>
      <w:r>
        <w:rPr>
          <w:rFonts w:eastAsia="Times New Roman" w:cs="Times New Roman"/>
          <w:szCs w:val="24"/>
        </w:rPr>
        <w:t>3</w:t>
      </w:r>
      <w:r w:rsidRPr="0015453B">
        <w:rPr>
          <w:rFonts w:eastAsia="Times New Roman" w:cs="Times New Roman"/>
          <w:szCs w:val="24"/>
        </w:rPr>
        <w:t>)</w:t>
      </w:r>
      <w:r w:rsidR="00CC3246">
        <w:rPr>
          <w:rFonts w:eastAsia="Times New Roman" w:cs="Times New Roman"/>
          <w:szCs w:val="24"/>
        </w:rPr>
        <w:t> </w:t>
      </w:r>
      <w:r w:rsidRPr="0015453B">
        <w:rPr>
          <w:rFonts w:eastAsia="Times New Roman" w:cs="Times New Roman"/>
          <w:szCs w:val="24"/>
        </w:rPr>
        <w:t xml:space="preserve">Eiropas Apdrošināšanas un aroda pensiju iestādes pamatnostādnēm </w:t>
      </w:r>
      <w:r w:rsidR="00901349">
        <w:rPr>
          <w:rFonts w:eastAsia="Times New Roman" w:cs="Times New Roman"/>
          <w:szCs w:val="24"/>
        </w:rPr>
        <w:br/>
      </w:r>
      <w:r w:rsidRPr="0015453B">
        <w:rPr>
          <w:rFonts w:eastAsia="Times New Roman" w:cs="Times New Roman"/>
          <w:szCs w:val="24"/>
        </w:rPr>
        <w:t>Nr. EIOPA-BoS-15/110</w:t>
      </w:r>
      <w:r w:rsidR="00901349">
        <w:rPr>
          <w:rFonts w:eastAsia="Times New Roman" w:cs="Times New Roman"/>
          <w:szCs w:val="24"/>
        </w:rPr>
        <w:t> </w:t>
      </w:r>
      <w:r w:rsidRPr="0015453B">
        <w:rPr>
          <w:rFonts w:eastAsia="Times New Roman" w:cs="Times New Roman"/>
          <w:szCs w:val="24"/>
        </w:rPr>
        <w:t>LV "Pamatnostādnes par trešo valstu apdrošināšanas sabiedrību filiāļu pārraudzību".</w:t>
      </w:r>
    </w:p>
    <w:p w14:paraId="6F4D1E24" w14:textId="77777777" w:rsidR="00FA055C" w:rsidRDefault="009C7FF1" w:rsidP="009C7FF1">
      <w:pPr>
        <w:pStyle w:val="NApunkts1"/>
        <w:keepNext/>
        <w:keepLines/>
        <w:numPr>
          <w:ilvl w:val="0"/>
          <w:numId w:val="0"/>
        </w:numPr>
        <w:spacing w:before="480" w:after="480"/>
        <w:jc w:val="left"/>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4"/>
        <w:gridCol w:w="3700"/>
      </w:tblGrid>
      <w:tr w:rsidR="00966987" w14:paraId="646B2E09" w14:textId="77777777" w:rsidTr="00811BE5">
        <w:tc>
          <w:tcPr>
            <w:tcW w:w="4928" w:type="dxa"/>
            <w:vAlign w:val="bottom"/>
          </w:tcPr>
          <w:p w14:paraId="7C8A4761" w14:textId="4406B7B2" w:rsidR="00966987" w:rsidRDefault="000762C5" w:rsidP="00FA055C">
            <w:pPr>
              <w:pStyle w:val="NoSpacing"/>
              <w:ind w:left="-107"/>
              <w:rPr>
                <w:rFonts w:cs="Times New Roman"/>
              </w:rPr>
            </w:pPr>
            <w:sdt>
              <w:sdtPr>
                <w:rPr>
                  <w:rFonts w:cs="Times New Roman"/>
                </w:rPr>
                <w:alias w:val="Amats"/>
                <w:tag w:val="Amats"/>
                <w:id w:val="45201534"/>
                <w:lock w:val="sdtLocked"/>
                <w:placeholder>
                  <w:docPart w:val="256FE87F2F42457A975F408FD6ACB8B0"/>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F10E59">
                  <w:rPr>
                    <w:rFonts w:cs="Times New Roman"/>
                  </w:rPr>
                  <w:t>Latvijas Bankas prezidents</w:t>
                </w:r>
              </w:sdtContent>
            </w:sdt>
          </w:p>
        </w:tc>
        <w:sdt>
          <w:sdtPr>
            <w:rPr>
              <w:rFonts w:cs="Times New Roman"/>
            </w:rPr>
            <w:alias w:val="V. Uzvārds"/>
            <w:tag w:val="V. Uzvārds"/>
            <w:id w:val="46411162"/>
            <w:lock w:val="sdtLocked"/>
            <w:placeholder>
              <w:docPart w:val="5FF4EF4A2EED4642935C457943D05952"/>
            </w:placeholder>
          </w:sdtPr>
          <w:sdtEndPr/>
          <w:sdtContent>
            <w:tc>
              <w:tcPr>
                <w:tcW w:w="3792" w:type="dxa"/>
                <w:vAlign w:val="bottom"/>
              </w:tcPr>
              <w:p w14:paraId="5FE161A0" w14:textId="7E5DEB6C" w:rsidR="00966987" w:rsidRDefault="00F10E59" w:rsidP="00C523D5">
                <w:pPr>
                  <w:pStyle w:val="NoSpacing"/>
                  <w:ind w:right="-111"/>
                  <w:jc w:val="right"/>
                  <w:rPr>
                    <w:rFonts w:cs="Times New Roman"/>
                  </w:rPr>
                </w:pPr>
                <w:r>
                  <w:rPr>
                    <w:rFonts w:cs="Times New Roman"/>
                  </w:rPr>
                  <w:t>M. Kazāks</w:t>
                </w:r>
              </w:p>
            </w:tc>
          </w:sdtContent>
        </w:sdt>
      </w:tr>
      <w:tr w:rsidR="006D395C" w14:paraId="689BD62B" w14:textId="77777777" w:rsidTr="00F10E59">
        <w:tc>
          <w:tcPr>
            <w:tcW w:w="4799" w:type="dxa"/>
            <w:vAlign w:val="bottom"/>
          </w:tcPr>
          <w:p w14:paraId="16433D57" w14:textId="6BC65870" w:rsidR="006D395C" w:rsidRDefault="006D395C" w:rsidP="00FA055C">
            <w:pPr>
              <w:pStyle w:val="NoSpacing"/>
              <w:ind w:left="-107"/>
              <w:rPr>
                <w:rFonts w:cs="Times New Roman"/>
              </w:rPr>
            </w:pPr>
          </w:p>
        </w:tc>
        <w:tc>
          <w:tcPr>
            <w:tcW w:w="3705" w:type="dxa"/>
            <w:vAlign w:val="bottom"/>
          </w:tcPr>
          <w:p w14:paraId="2C94EED9" w14:textId="6EAC8710" w:rsidR="006D395C" w:rsidRDefault="006D395C" w:rsidP="00C523D5">
            <w:pPr>
              <w:pStyle w:val="NoSpacing"/>
              <w:ind w:right="-111"/>
              <w:jc w:val="right"/>
              <w:rPr>
                <w:rFonts w:cs="Times New Roman"/>
              </w:rPr>
            </w:pPr>
          </w:p>
        </w:tc>
      </w:tr>
    </w:tbl>
    <w:p w14:paraId="2A05C9BC" w14:textId="11DA70D3" w:rsidR="006D395C" w:rsidRDefault="006D395C">
      <w:pPr>
        <w:rPr>
          <w:rFonts w:cs="Times New Roman"/>
          <w:szCs w:val="24"/>
        </w:rPr>
      </w:pPr>
    </w:p>
    <w:sectPr w:rsidR="006D395C" w:rsidSect="00EA6CA5">
      <w:headerReference w:type="default" r:id="rId47"/>
      <w:headerReference w:type="first" r:id="rId48"/>
      <w:pgSz w:w="11906" w:h="16838" w:code="9"/>
      <w:pgMar w:top="1134" w:right="1701" w:bottom="1134"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5914F7" w14:textId="77777777" w:rsidR="00D551AD" w:rsidRDefault="00D551AD" w:rsidP="00AC4B00">
      <w:r>
        <w:separator/>
      </w:r>
    </w:p>
  </w:endnote>
  <w:endnote w:type="continuationSeparator" w:id="0">
    <w:p w14:paraId="4F35AA8A" w14:textId="77777777" w:rsidR="00D551AD" w:rsidRDefault="00D551AD" w:rsidP="00AC4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636C32" w14:textId="77777777" w:rsidR="00D551AD" w:rsidRDefault="00D551AD" w:rsidP="00AC4B00">
      <w:r>
        <w:separator/>
      </w:r>
    </w:p>
  </w:footnote>
  <w:footnote w:type="continuationSeparator" w:id="0">
    <w:p w14:paraId="234447EF" w14:textId="77777777" w:rsidR="00D551AD" w:rsidRDefault="00D551AD" w:rsidP="00AC4B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17345"/>
      <w:docPartObj>
        <w:docPartGallery w:val="Page Numbers (Top of Page)"/>
        <w:docPartUnique/>
      </w:docPartObj>
    </w:sdtPr>
    <w:sdtEndPr>
      <w:rPr>
        <w:rFonts w:cs="Times New Roman"/>
        <w:szCs w:val="24"/>
      </w:rPr>
    </w:sdtEndPr>
    <w:sdtContent>
      <w:p w14:paraId="14487B91" w14:textId="77777777" w:rsidR="00CF6323" w:rsidRPr="00C13664" w:rsidRDefault="001306DB">
        <w:pPr>
          <w:pStyle w:val="Header"/>
          <w:jc w:val="center"/>
          <w:rPr>
            <w:szCs w:val="24"/>
          </w:rPr>
        </w:pPr>
        <w:r w:rsidRPr="00C13664">
          <w:rPr>
            <w:rFonts w:cs="Times New Roman"/>
            <w:szCs w:val="24"/>
          </w:rPr>
          <w:fldChar w:fldCharType="begin"/>
        </w:r>
        <w:r w:rsidR="00CF6323" w:rsidRPr="00C13664">
          <w:rPr>
            <w:rFonts w:cs="Times New Roman"/>
            <w:szCs w:val="24"/>
          </w:rPr>
          <w:instrText xml:space="preserve"> PAGE   \* MERGEFORMAT </w:instrText>
        </w:r>
        <w:r w:rsidRPr="00C13664">
          <w:rPr>
            <w:rFonts w:cs="Times New Roman"/>
            <w:szCs w:val="24"/>
          </w:rPr>
          <w:fldChar w:fldCharType="separate"/>
        </w:r>
        <w:r w:rsidR="00C523D5">
          <w:rPr>
            <w:rFonts w:cs="Times New Roman"/>
            <w:noProof/>
            <w:szCs w:val="24"/>
          </w:rPr>
          <w:t>3</w:t>
        </w:r>
        <w:r w:rsidRPr="00C13664">
          <w:rPr>
            <w:rFonts w:cs="Times New Roman"/>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6B56D" w14:textId="74DFCF0C" w:rsidR="009C42A8" w:rsidRPr="009C42A8" w:rsidRDefault="00EA6CA5" w:rsidP="00AA4809">
    <w:pPr>
      <w:pStyle w:val="Header"/>
      <w:spacing w:before="560"/>
      <w:jc w:val="center"/>
    </w:pPr>
    <w:r>
      <w:rPr>
        <w:noProof/>
      </w:rPr>
      <w:drawing>
        <wp:inline distT="0" distB="0" distL="0" distR="0" wp14:anchorId="38FEF929" wp14:editId="28A95BFC">
          <wp:extent cx="2087973" cy="737649"/>
          <wp:effectExtent l="19050" t="0" r="7527" b="0"/>
          <wp:docPr id="2" name="Attēls 1"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sidR="00F30A57">
      <w:rPr>
        <w:noProof/>
      </w:rPr>
      <mc:AlternateContent>
        <mc:Choice Requires="wps">
          <w:drawing>
            <wp:anchor distT="0" distB="0" distL="114300" distR="114300" simplePos="0" relativeHeight="251662336" behindDoc="0" locked="0" layoutInCell="1" allowOverlap="1" wp14:anchorId="30EC041C" wp14:editId="48260021">
              <wp:simplePos x="0" y="0"/>
              <wp:positionH relativeFrom="column">
                <wp:posOffset>1497965</wp:posOffset>
              </wp:positionH>
              <wp:positionV relativeFrom="paragraph">
                <wp:posOffset>184785</wp:posOffset>
              </wp:positionV>
              <wp:extent cx="2409190" cy="918210"/>
              <wp:effectExtent l="0" t="0" r="0" b="0"/>
              <wp:wrapNone/>
              <wp:docPr id="1179239885" name="Taisnstūris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1DCAE1" id="Taisnstūris 1" o:spid="_x0000_s1026" style="position:absolute;margin-left:117.95pt;margin-top:14.55pt;width:189.7pt;height:7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D46A8C"/>
    <w:multiLevelType w:val="hybridMultilevel"/>
    <w:tmpl w:val="E262522E"/>
    <w:lvl w:ilvl="0" w:tplc="2C762774">
      <w:start w:val="1"/>
      <w:numFmt w:val="upperRoman"/>
      <w:pStyle w:val="NAnodalaromiesucipari"/>
      <w:suff w:val="space"/>
      <w:lvlText w:val="%1."/>
      <w:lvlJc w:val="left"/>
      <w:pPr>
        <w:ind w:left="141"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6DA5D8C"/>
    <w:multiLevelType w:val="multilevel"/>
    <w:tmpl w:val="D6F88384"/>
    <w:lvl w:ilvl="0">
      <w:start w:val="1"/>
      <w:numFmt w:val="decimal"/>
      <w:pStyle w:val="NAnodala"/>
      <w:suff w:val="space"/>
      <w:lvlText w:val="%1."/>
      <w:lvlJc w:val="left"/>
      <w:pPr>
        <w:ind w:left="0" w:firstLine="0"/>
      </w:pPr>
      <w:rPr>
        <w:rFonts w:hint="default"/>
      </w:rPr>
    </w:lvl>
    <w:lvl w:ilvl="1">
      <w:start w:val="1"/>
      <w:numFmt w:val="decimal"/>
      <w:pStyle w:val="NAapaksnodala"/>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53BB7D32"/>
    <w:multiLevelType w:val="multilevel"/>
    <w:tmpl w:val="12188A86"/>
    <w:lvl w:ilvl="0">
      <w:start w:val="1"/>
      <w:numFmt w:val="decimal"/>
      <w:pStyle w:val="NApunkts1"/>
      <w:suff w:val="space"/>
      <w:lvlText w:val="%1."/>
      <w:lvlJc w:val="left"/>
      <w:pPr>
        <w:ind w:left="360" w:hanging="360"/>
      </w:pPr>
      <w:rPr>
        <w:rFonts w:hint="default"/>
      </w:rPr>
    </w:lvl>
    <w:lvl w:ilvl="1">
      <w:start w:val="1"/>
      <w:numFmt w:val="decimal"/>
      <w:pStyle w:val="NApunkts2"/>
      <w:suff w:val="space"/>
      <w:lvlText w:val="%1.%2."/>
      <w:lvlJc w:val="left"/>
      <w:pPr>
        <w:ind w:left="0"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65583AAA"/>
    <w:multiLevelType w:val="hybridMultilevel"/>
    <w:tmpl w:val="F376AA00"/>
    <w:lvl w:ilvl="0" w:tplc="89AE7CC4">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452135360">
    <w:abstractNumId w:val="1"/>
  </w:num>
  <w:num w:numId="2" w16cid:durableId="765492621">
    <w:abstractNumId w:val="2"/>
  </w:num>
  <w:num w:numId="3" w16cid:durableId="65688326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0408119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9720593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3709305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69830358">
    <w:abstractNumId w:val="0"/>
  </w:num>
  <w:num w:numId="8" w16cid:durableId="1395085375">
    <w:abstractNumId w:val="2"/>
  </w:num>
  <w:num w:numId="9" w16cid:durableId="1783379006">
    <w:abstractNumId w:val="2"/>
    <w:lvlOverride w:ilvl="0">
      <w:startOverride w:val="10"/>
    </w:lvlOverride>
  </w:num>
  <w:num w:numId="10" w16cid:durableId="653263782">
    <w:abstractNumId w:val="0"/>
    <w:lvlOverride w:ilvl="0">
      <w:startOverride w:val="6"/>
    </w:lvlOverride>
  </w:num>
  <w:num w:numId="11" w16cid:durableId="140741347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51AD"/>
    <w:rsid w:val="00000987"/>
    <w:rsid w:val="00001229"/>
    <w:rsid w:val="00003926"/>
    <w:rsid w:val="0001115B"/>
    <w:rsid w:val="00017C12"/>
    <w:rsid w:val="000263EB"/>
    <w:rsid w:val="00031717"/>
    <w:rsid w:val="00032F04"/>
    <w:rsid w:val="00042A16"/>
    <w:rsid w:val="00053A65"/>
    <w:rsid w:val="00057385"/>
    <w:rsid w:val="00060D2F"/>
    <w:rsid w:val="00062957"/>
    <w:rsid w:val="000762C5"/>
    <w:rsid w:val="00081D7E"/>
    <w:rsid w:val="00086C79"/>
    <w:rsid w:val="000973A6"/>
    <w:rsid w:val="000B0BA5"/>
    <w:rsid w:val="000B1E2C"/>
    <w:rsid w:val="000B3673"/>
    <w:rsid w:val="000B41DB"/>
    <w:rsid w:val="000D18A5"/>
    <w:rsid w:val="000D71A4"/>
    <w:rsid w:val="000E4379"/>
    <w:rsid w:val="000F000D"/>
    <w:rsid w:val="000F0087"/>
    <w:rsid w:val="001026BB"/>
    <w:rsid w:val="0010771A"/>
    <w:rsid w:val="00107AFB"/>
    <w:rsid w:val="00123001"/>
    <w:rsid w:val="001306DB"/>
    <w:rsid w:val="00135050"/>
    <w:rsid w:val="00135B09"/>
    <w:rsid w:val="00145D4F"/>
    <w:rsid w:val="00147176"/>
    <w:rsid w:val="00151E1B"/>
    <w:rsid w:val="0015453B"/>
    <w:rsid w:val="001546B0"/>
    <w:rsid w:val="00194EF7"/>
    <w:rsid w:val="0019595C"/>
    <w:rsid w:val="001C1C10"/>
    <w:rsid w:val="001C49BD"/>
    <w:rsid w:val="001D2508"/>
    <w:rsid w:val="001F3DD6"/>
    <w:rsid w:val="002016F8"/>
    <w:rsid w:val="00215938"/>
    <w:rsid w:val="00220C70"/>
    <w:rsid w:val="002220E9"/>
    <w:rsid w:val="00226862"/>
    <w:rsid w:val="002307D5"/>
    <w:rsid w:val="00231A62"/>
    <w:rsid w:val="0023463E"/>
    <w:rsid w:val="002528E9"/>
    <w:rsid w:val="002573A6"/>
    <w:rsid w:val="00260836"/>
    <w:rsid w:val="00266547"/>
    <w:rsid w:val="0026765A"/>
    <w:rsid w:val="00270CA2"/>
    <w:rsid w:val="002728B2"/>
    <w:rsid w:val="00294F01"/>
    <w:rsid w:val="002B61F5"/>
    <w:rsid w:val="002C08EB"/>
    <w:rsid w:val="002C6FD2"/>
    <w:rsid w:val="002E0764"/>
    <w:rsid w:val="002E19FD"/>
    <w:rsid w:val="002E2BA3"/>
    <w:rsid w:val="002F4CBA"/>
    <w:rsid w:val="002F6068"/>
    <w:rsid w:val="00301089"/>
    <w:rsid w:val="00313C5E"/>
    <w:rsid w:val="00330899"/>
    <w:rsid w:val="00333D26"/>
    <w:rsid w:val="00334BEC"/>
    <w:rsid w:val="00360CDB"/>
    <w:rsid w:val="00365CD6"/>
    <w:rsid w:val="00366379"/>
    <w:rsid w:val="00373960"/>
    <w:rsid w:val="00373AEA"/>
    <w:rsid w:val="00385699"/>
    <w:rsid w:val="0039683B"/>
    <w:rsid w:val="003A4D2A"/>
    <w:rsid w:val="003C1EF2"/>
    <w:rsid w:val="003C5FFA"/>
    <w:rsid w:val="003E088C"/>
    <w:rsid w:val="003E0FBE"/>
    <w:rsid w:val="003E3B26"/>
    <w:rsid w:val="003E46F5"/>
    <w:rsid w:val="003E47EE"/>
    <w:rsid w:val="00402B09"/>
    <w:rsid w:val="00403FF6"/>
    <w:rsid w:val="00405DF6"/>
    <w:rsid w:val="004239C6"/>
    <w:rsid w:val="004402E3"/>
    <w:rsid w:val="004406BA"/>
    <w:rsid w:val="00440CAF"/>
    <w:rsid w:val="00460510"/>
    <w:rsid w:val="00463E5D"/>
    <w:rsid w:val="00470B6A"/>
    <w:rsid w:val="0048470F"/>
    <w:rsid w:val="0049232C"/>
    <w:rsid w:val="004A63EE"/>
    <w:rsid w:val="004B092F"/>
    <w:rsid w:val="004B1027"/>
    <w:rsid w:val="004E3633"/>
    <w:rsid w:val="004F4BE8"/>
    <w:rsid w:val="004F6D30"/>
    <w:rsid w:val="004F7255"/>
    <w:rsid w:val="00503F85"/>
    <w:rsid w:val="0051668E"/>
    <w:rsid w:val="00530F7D"/>
    <w:rsid w:val="00535B61"/>
    <w:rsid w:val="005473A2"/>
    <w:rsid w:val="00553206"/>
    <w:rsid w:val="005609F0"/>
    <w:rsid w:val="005778F7"/>
    <w:rsid w:val="005A22DF"/>
    <w:rsid w:val="005A78C2"/>
    <w:rsid w:val="005B116D"/>
    <w:rsid w:val="005C04DE"/>
    <w:rsid w:val="005C43B0"/>
    <w:rsid w:val="005C4F9F"/>
    <w:rsid w:val="005E582F"/>
    <w:rsid w:val="005F62A8"/>
    <w:rsid w:val="005F65BC"/>
    <w:rsid w:val="005F71EB"/>
    <w:rsid w:val="006156DB"/>
    <w:rsid w:val="00626043"/>
    <w:rsid w:val="00626D42"/>
    <w:rsid w:val="00651297"/>
    <w:rsid w:val="00671C3D"/>
    <w:rsid w:val="006959EA"/>
    <w:rsid w:val="006A70E0"/>
    <w:rsid w:val="006B34FB"/>
    <w:rsid w:val="006C2819"/>
    <w:rsid w:val="006C7BD6"/>
    <w:rsid w:val="006D395C"/>
    <w:rsid w:val="006E6DD0"/>
    <w:rsid w:val="006F5854"/>
    <w:rsid w:val="006F7EAF"/>
    <w:rsid w:val="00704600"/>
    <w:rsid w:val="00704C7E"/>
    <w:rsid w:val="00712576"/>
    <w:rsid w:val="00723172"/>
    <w:rsid w:val="00733D91"/>
    <w:rsid w:val="007354C4"/>
    <w:rsid w:val="00746FE1"/>
    <w:rsid w:val="00750D9A"/>
    <w:rsid w:val="00754377"/>
    <w:rsid w:val="00754B84"/>
    <w:rsid w:val="007577AE"/>
    <w:rsid w:val="007616A1"/>
    <w:rsid w:val="00771CB0"/>
    <w:rsid w:val="0077573E"/>
    <w:rsid w:val="00780B0B"/>
    <w:rsid w:val="00782612"/>
    <w:rsid w:val="007845E3"/>
    <w:rsid w:val="00784DCB"/>
    <w:rsid w:val="00784E41"/>
    <w:rsid w:val="0079205D"/>
    <w:rsid w:val="007A05A7"/>
    <w:rsid w:val="007A3EEE"/>
    <w:rsid w:val="007A4159"/>
    <w:rsid w:val="007B7C60"/>
    <w:rsid w:val="007D07C1"/>
    <w:rsid w:val="007E2DC0"/>
    <w:rsid w:val="007F2179"/>
    <w:rsid w:val="007F4A16"/>
    <w:rsid w:val="007F51AD"/>
    <w:rsid w:val="0080014F"/>
    <w:rsid w:val="00803C74"/>
    <w:rsid w:val="00811BE5"/>
    <w:rsid w:val="008150A2"/>
    <w:rsid w:val="00823E29"/>
    <w:rsid w:val="0082793F"/>
    <w:rsid w:val="0083221C"/>
    <w:rsid w:val="00832657"/>
    <w:rsid w:val="00834230"/>
    <w:rsid w:val="00840034"/>
    <w:rsid w:val="0084373D"/>
    <w:rsid w:val="00844A62"/>
    <w:rsid w:val="0084631E"/>
    <w:rsid w:val="008548A6"/>
    <w:rsid w:val="008575CE"/>
    <w:rsid w:val="00864EB6"/>
    <w:rsid w:val="0086737E"/>
    <w:rsid w:val="008738FB"/>
    <w:rsid w:val="00883C89"/>
    <w:rsid w:val="00893A57"/>
    <w:rsid w:val="008A529A"/>
    <w:rsid w:val="008A7D7C"/>
    <w:rsid w:val="008D1286"/>
    <w:rsid w:val="008F3272"/>
    <w:rsid w:val="00901349"/>
    <w:rsid w:val="00914E2B"/>
    <w:rsid w:val="00926D2C"/>
    <w:rsid w:val="00931217"/>
    <w:rsid w:val="009326A6"/>
    <w:rsid w:val="00932794"/>
    <w:rsid w:val="00934ACC"/>
    <w:rsid w:val="00937AA2"/>
    <w:rsid w:val="009400BA"/>
    <w:rsid w:val="00944EE2"/>
    <w:rsid w:val="00960648"/>
    <w:rsid w:val="00962D75"/>
    <w:rsid w:val="00962F4A"/>
    <w:rsid w:val="00966987"/>
    <w:rsid w:val="00966FB8"/>
    <w:rsid w:val="00985755"/>
    <w:rsid w:val="00991D6F"/>
    <w:rsid w:val="009A43CE"/>
    <w:rsid w:val="009A4883"/>
    <w:rsid w:val="009A5519"/>
    <w:rsid w:val="009B042A"/>
    <w:rsid w:val="009B7B30"/>
    <w:rsid w:val="009C42A8"/>
    <w:rsid w:val="009C7FF1"/>
    <w:rsid w:val="009E0DC1"/>
    <w:rsid w:val="00A24CF1"/>
    <w:rsid w:val="00A24CFC"/>
    <w:rsid w:val="00A35387"/>
    <w:rsid w:val="00A4177F"/>
    <w:rsid w:val="00A457E8"/>
    <w:rsid w:val="00A45CCD"/>
    <w:rsid w:val="00A51440"/>
    <w:rsid w:val="00A56918"/>
    <w:rsid w:val="00A57663"/>
    <w:rsid w:val="00A62FF3"/>
    <w:rsid w:val="00A64981"/>
    <w:rsid w:val="00A72A98"/>
    <w:rsid w:val="00A8178F"/>
    <w:rsid w:val="00A972F3"/>
    <w:rsid w:val="00AA1C50"/>
    <w:rsid w:val="00AA4809"/>
    <w:rsid w:val="00AC3F68"/>
    <w:rsid w:val="00AC4B00"/>
    <w:rsid w:val="00AD0BE2"/>
    <w:rsid w:val="00AD65E6"/>
    <w:rsid w:val="00AE20AA"/>
    <w:rsid w:val="00AF06D9"/>
    <w:rsid w:val="00B02A59"/>
    <w:rsid w:val="00B22E69"/>
    <w:rsid w:val="00B31CE7"/>
    <w:rsid w:val="00B400EE"/>
    <w:rsid w:val="00B41BA8"/>
    <w:rsid w:val="00B42744"/>
    <w:rsid w:val="00B45CD8"/>
    <w:rsid w:val="00B4704B"/>
    <w:rsid w:val="00B56DE3"/>
    <w:rsid w:val="00B57A86"/>
    <w:rsid w:val="00B62B07"/>
    <w:rsid w:val="00B6599F"/>
    <w:rsid w:val="00B85E98"/>
    <w:rsid w:val="00BB311D"/>
    <w:rsid w:val="00BB3763"/>
    <w:rsid w:val="00BC6B8A"/>
    <w:rsid w:val="00BD0D4D"/>
    <w:rsid w:val="00BF0E8D"/>
    <w:rsid w:val="00BF2C71"/>
    <w:rsid w:val="00BF41BD"/>
    <w:rsid w:val="00C13664"/>
    <w:rsid w:val="00C2284A"/>
    <w:rsid w:val="00C23AF0"/>
    <w:rsid w:val="00C23D14"/>
    <w:rsid w:val="00C443AC"/>
    <w:rsid w:val="00C523D5"/>
    <w:rsid w:val="00C54D54"/>
    <w:rsid w:val="00C5530F"/>
    <w:rsid w:val="00C66E83"/>
    <w:rsid w:val="00C73633"/>
    <w:rsid w:val="00C902AC"/>
    <w:rsid w:val="00CA2D96"/>
    <w:rsid w:val="00CA78AB"/>
    <w:rsid w:val="00CB0287"/>
    <w:rsid w:val="00CC18A1"/>
    <w:rsid w:val="00CC3246"/>
    <w:rsid w:val="00CC367A"/>
    <w:rsid w:val="00CC7AD4"/>
    <w:rsid w:val="00CD3BD9"/>
    <w:rsid w:val="00CF2852"/>
    <w:rsid w:val="00CF43D0"/>
    <w:rsid w:val="00CF45A8"/>
    <w:rsid w:val="00CF6323"/>
    <w:rsid w:val="00CF7AE3"/>
    <w:rsid w:val="00D02919"/>
    <w:rsid w:val="00D06E76"/>
    <w:rsid w:val="00D07390"/>
    <w:rsid w:val="00D1410C"/>
    <w:rsid w:val="00D26119"/>
    <w:rsid w:val="00D371B4"/>
    <w:rsid w:val="00D4242A"/>
    <w:rsid w:val="00D438D9"/>
    <w:rsid w:val="00D46C71"/>
    <w:rsid w:val="00D551AD"/>
    <w:rsid w:val="00D62B64"/>
    <w:rsid w:val="00DB385B"/>
    <w:rsid w:val="00DB66D4"/>
    <w:rsid w:val="00DB784C"/>
    <w:rsid w:val="00DD2E85"/>
    <w:rsid w:val="00DE1F09"/>
    <w:rsid w:val="00DE3861"/>
    <w:rsid w:val="00DE5516"/>
    <w:rsid w:val="00DE671B"/>
    <w:rsid w:val="00DF60F5"/>
    <w:rsid w:val="00E037ED"/>
    <w:rsid w:val="00E3140C"/>
    <w:rsid w:val="00E36793"/>
    <w:rsid w:val="00E3696A"/>
    <w:rsid w:val="00E67971"/>
    <w:rsid w:val="00E70723"/>
    <w:rsid w:val="00E76C1A"/>
    <w:rsid w:val="00E76F9E"/>
    <w:rsid w:val="00E77288"/>
    <w:rsid w:val="00E818D0"/>
    <w:rsid w:val="00E965B4"/>
    <w:rsid w:val="00EA6CA5"/>
    <w:rsid w:val="00EC1D6E"/>
    <w:rsid w:val="00EC2552"/>
    <w:rsid w:val="00ED77C1"/>
    <w:rsid w:val="00EF6956"/>
    <w:rsid w:val="00F018B2"/>
    <w:rsid w:val="00F10222"/>
    <w:rsid w:val="00F10E59"/>
    <w:rsid w:val="00F1192F"/>
    <w:rsid w:val="00F13C89"/>
    <w:rsid w:val="00F13CE9"/>
    <w:rsid w:val="00F13DD7"/>
    <w:rsid w:val="00F15FC7"/>
    <w:rsid w:val="00F17E52"/>
    <w:rsid w:val="00F260BB"/>
    <w:rsid w:val="00F26CF0"/>
    <w:rsid w:val="00F306D8"/>
    <w:rsid w:val="00F30773"/>
    <w:rsid w:val="00F30A57"/>
    <w:rsid w:val="00F30F87"/>
    <w:rsid w:val="00F3140E"/>
    <w:rsid w:val="00F3441F"/>
    <w:rsid w:val="00F40E60"/>
    <w:rsid w:val="00F51202"/>
    <w:rsid w:val="00F5647B"/>
    <w:rsid w:val="00F639B6"/>
    <w:rsid w:val="00F75A2C"/>
    <w:rsid w:val="00F8030A"/>
    <w:rsid w:val="00F84CD0"/>
    <w:rsid w:val="00F8643C"/>
    <w:rsid w:val="00F9083D"/>
    <w:rsid w:val="00F91ECF"/>
    <w:rsid w:val="00FA055C"/>
    <w:rsid w:val="00FA32EC"/>
    <w:rsid w:val="00FA7AE0"/>
    <w:rsid w:val="00FB1572"/>
    <w:rsid w:val="00FD37FA"/>
    <w:rsid w:val="00FF5F1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91BF36"/>
  <w15:docId w15:val="{AE47D106-8D3B-483D-9C49-6DF0E5E59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4DCB"/>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B00"/>
    <w:pPr>
      <w:tabs>
        <w:tab w:val="center" w:pos="4153"/>
        <w:tab w:val="right" w:pos="8306"/>
      </w:tabs>
    </w:pPr>
  </w:style>
  <w:style w:type="character" w:customStyle="1" w:styleId="HeaderChar">
    <w:name w:val="Header Char"/>
    <w:basedOn w:val="DefaultParagraphFont"/>
    <w:link w:val="Header"/>
    <w:uiPriority w:val="99"/>
    <w:rsid w:val="00AC4B00"/>
  </w:style>
  <w:style w:type="paragraph" w:styleId="Footer">
    <w:name w:val="footer"/>
    <w:basedOn w:val="Normal"/>
    <w:link w:val="FooterChar"/>
    <w:uiPriority w:val="99"/>
    <w:unhideWhenUsed/>
    <w:rsid w:val="00AC4B00"/>
    <w:pPr>
      <w:tabs>
        <w:tab w:val="center" w:pos="4153"/>
        <w:tab w:val="right" w:pos="8306"/>
      </w:tabs>
    </w:pPr>
  </w:style>
  <w:style w:type="character" w:customStyle="1" w:styleId="FooterChar">
    <w:name w:val="Footer Char"/>
    <w:basedOn w:val="DefaultParagraphFont"/>
    <w:link w:val="Footer"/>
    <w:uiPriority w:val="99"/>
    <w:rsid w:val="00AC4B00"/>
  </w:style>
  <w:style w:type="paragraph" w:styleId="BalloonText">
    <w:name w:val="Balloon Text"/>
    <w:basedOn w:val="Normal"/>
    <w:link w:val="BalloonTextChar"/>
    <w:uiPriority w:val="99"/>
    <w:semiHidden/>
    <w:unhideWhenUsed/>
    <w:rsid w:val="00AC4B00"/>
    <w:rPr>
      <w:rFonts w:ascii="Tahoma" w:hAnsi="Tahoma" w:cs="Tahoma"/>
      <w:sz w:val="16"/>
      <w:szCs w:val="16"/>
    </w:rPr>
  </w:style>
  <w:style w:type="character" w:customStyle="1" w:styleId="BalloonTextChar">
    <w:name w:val="Balloon Text Char"/>
    <w:basedOn w:val="DefaultParagraphFont"/>
    <w:link w:val="BalloonText"/>
    <w:uiPriority w:val="99"/>
    <w:semiHidden/>
    <w:rsid w:val="00AC4B00"/>
    <w:rPr>
      <w:rFonts w:ascii="Tahoma" w:hAnsi="Tahoma" w:cs="Tahoma"/>
      <w:sz w:val="16"/>
      <w:szCs w:val="16"/>
    </w:rPr>
  </w:style>
  <w:style w:type="character" w:styleId="PlaceholderText">
    <w:name w:val="Placeholder Text"/>
    <w:basedOn w:val="DefaultParagraphFont"/>
    <w:uiPriority w:val="99"/>
    <w:semiHidden/>
    <w:rsid w:val="009C42A8"/>
    <w:rPr>
      <w:color w:val="808080"/>
    </w:rPr>
  </w:style>
  <w:style w:type="table" w:styleId="TableGrid">
    <w:name w:val="Table Grid"/>
    <w:basedOn w:val="TableNormal"/>
    <w:uiPriority w:val="5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F5854"/>
    <w:pPr>
      <w:ind w:left="720"/>
      <w:contextualSpacing/>
    </w:pPr>
  </w:style>
  <w:style w:type="paragraph" w:customStyle="1" w:styleId="NApielikums">
    <w:name w:val="NA pielikums"/>
    <w:basedOn w:val="Normal"/>
    <w:link w:val="NApielikumsCharChar"/>
    <w:rsid w:val="006D395C"/>
    <w:pPr>
      <w:jc w:val="right"/>
    </w:pPr>
    <w:rPr>
      <w:rFonts w:eastAsia="Times New Roman" w:cs="Times New Roman"/>
      <w:szCs w:val="24"/>
    </w:rPr>
  </w:style>
  <w:style w:type="character" w:customStyle="1" w:styleId="NApielikumsCharChar">
    <w:name w:val="NA pielikums Char Char"/>
    <w:basedOn w:val="DefaultParagraphFont"/>
    <w:link w:val="NApielikums"/>
    <w:rsid w:val="006D395C"/>
    <w:rPr>
      <w:rFonts w:ascii="Times New Roman" w:eastAsia="Times New Roman" w:hAnsi="Times New Roman" w:cs="Times New Roman"/>
      <w:sz w:val="24"/>
      <w:szCs w:val="24"/>
    </w:rPr>
  </w:style>
  <w:style w:type="paragraph" w:customStyle="1" w:styleId="NAnodala">
    <w:name w:val="NA nodala"/>
    <w:basedOn w:val="Normal"/>
    <w:next w:val="NApunkts1"/>
    <w:autoRedefine/>
    <w:qFormat/>
    <w:rsid w:val="00123001"/>
    <w:pPr>
      <w:keepNext/>
      <w:keepLines/>
      <w:numPr>
        <w:numId w:val="1"/>
      </w:numPr>
      <w:spacing w:before="240"/>
      <w:outlineLvl w:val="0"/>
    </w:pPr>
    <w:rPr>
      <w:rFonts w:eastAsia="Times New Roman" w:cs="Times New Roman"/>
      <w:b/>
      <w:szCs w:val="24"/>
    </w:rPr>
  </w:style>
  <w:style w:type="paragraph" w:customStyle="1" w:styleId="NApunkts1">
    <w:name w:val="NA punkts 1"/>
    <w:basedOn w:val="Normal"/>
    <w:link w:val="NApunkts1Rakstz"/>
    <w:qFormat/>
    <w:rsid w:val="0086737E"/>
    <w:pPr>
      <w:numPr>
        <w:numId w:val="2"/>
      </w:numPr>
      <w:spacing w:before="240"/>
      <w:jc w:val="both"/>
      <w:outlineLvl w:val="0"/>
    </w:pPr>
    <w:rPr>
      <w:rFonts w:eastAsia="Times New Roman" w:cs="Times New Roman"/>
      <w:szCs w:val="24"/>
    </w:rPr>
  </w:style>
  <w:style w:type="paragraph" w:customStyle="1" w:styleId="NAapaksnodala">
    <w:name w:val="NA apaksnodala"/>
    <w:basedOn w:val="Normal"/>
    <w:rsid w:val="0012300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DefaultParagraphFont"/>
    <w:link w:val="NApunkts1"/>
    <w:rsid w:val="0086737E"/>
    <w:rPr>
      <w:rFonts w:ascii="Times New Roman" w:eastAsia="Times New Roman" w:hAnsi="Times New Roman" w:cs="Times New Roman"/>
      <w:sz w:val="24"/>
      <w:szCs w:val="24"/>
    </w:rPr>
  </w:style>
  <w:style w:type="paragraph" w:customStyle="1" w:styleId="NApunkts2">
    <w:name w:val="NA punkts 2"/>
    <w:basedOn w:val="Normal"/>
    <w:qFormat/>
    <w:rsid w:val="00123001"/>
    <w:pPr>
      <w:keepLines/>
      <w:numPr>
        <w:ilvl w:val="1"/>
        <w:numId w:val="2"/>
      </w:numPr>
      <w:jc w:val="both"/>
      <w:outlineLvl w:val="1"/>
    </w:pPr>
    <w:rPr>
      <w:rFonts w:eastAsia="Times New Roman" w:cs="Times New Roman"/>
      <w:szCs w:val="24"/>
    </w:rPr>
  </w:style>
  <w:style w:type="paragraph" w:customStyle="1" w:styleId="NApunkts3">
    <w:name w:val="NA punkts 3"/>
    <w:basedOn w:val="Normal"/>
    <w:qFormat/>
    <w:rsid w:val="00123001"/>
    <w:pPr>
      <w:keepLines/>
      <w:numPr>
        <w:ilvl w:val="2"/>
        <w:numId w:val="2"/>
      </w:numPr>
      <w:jc w:val="both"/>
      <w:outlineLvl w:val="2"/>
    </w:pPr>
    <w:rPr>
      <w:rFonts w:eastAsia="Times New Roman" w:cs="Times New Roman"/>
      <w:szCs w:val="24"/>
    </w:rPr>
  </w:style>
  <w:style w:type="paragraph" w:customStyle="1" w:styleId="NApunkts4">
    <w:name w:val="NA punkts 4"/>
    <w:basedOn w:val="Normal"/>
    <w:qFormat/>
    <w:rsid w:val="00123001"/>
    <w:pPr>
      <w:keepLines/>
      <w:numPr>
        <w:ilvl w:val="3"/>
        <w:numId w:val="2"/>
      </w:numPr>
      <w:jc w:val="both"/>
      <w:outlineLvl w:val="3"/>
    </w:pPr>
    <w:rPr>
      <w:rFonts w:eastAsia="Times New Roman" w:cs="Times New Roman"/>
      <w:szCs w:val="24"/>
    </w:rPr>
  </w:style>
  <w:style w:type="paragraph" w:customStyle="1" w:styleId="NAnodalaromiesucipari">
    <w:name w:val="NA nodala (romiesu cipari)"/>
    <w:basedOn w:val="Normal"/>
    <w:next w:val="NApunkts1"/>
    <w:autoRedefine/>
    <w:qFormat/>
    <w:rsid w:val="00ED77C1"/>
    <w:pPr>
      <w:numPr>
        <w:numId w:val="7"/>
      </w:numPr>
      <w:spacing w:before="240"/>
      <w:ind w:left="0"/>
      <w:outlineLvl w:val="0"/>
    </w:pPr>
    <w:rPr>
      <w:rFonts w:eastAsia="Times New Roman" w:cs="Times New Roman"/>
      <w:b/>
      <w:szCs w:val="24"/>
    </w:rPr>
  </w:style>
  <w:style w:type="paragraph" w:styleId="NoSpacing">
    <w:name w:val="No Spacing"/>
    <w:uiPriority w:val="1"/>
    <w:qFormat/>
    <w:rsid w:val="00811BE5"/>
    <w:pPr>
      <w:spacing w:after="0" w:line="240" w:lineRule="auto"/>
    </w:pPr>
    <w:rPr>
      <w:rFonts w:ascii="Times New Roman" w:hAnsi="Times New Roman"/>
      <w:sz w:val="24"/>
    </w:rPr>
  </w:style>
  <w:style w:type="character" w:styleId="CommentReference">
    <w:name w:val="annotation reference"/>
    <w:basedOn w:val="DefaultParagraphFont"/>
    <w:uiPriority w:val="99"/>
    <w:semiHidden/>
    <w:unhideWhenUsed/>
    <w:rsid w:val="00266547"/>
    <w:rPr>
      <w:sz w:val="16"/>
      <w:szCs w:val="16"/>
    </w:rPr>
  </w:style>
  <w:style w:type="paragraph" w:styleId="CommentText">
    <w:name w:val="annotation text"/>
    <w:basedOn w:val="Normal"/>
    <w:link w:val="CommentTextChar"/>
    <w:uiPriority w:val="99"/>
    <w:unhideWhenUsed/>
    <w:rsid w:val="00266547"/>
    <w:rPr>
      <w:sz w:val="20"/>
      <w:szCs w:val="20"/>
    </w:rPr>
  </w:style>
  <w:style w:type="character" w:customStyle="1" w:styleId="CommentTextChar">
    <w:name w:val="Comment Text Char"/>
    <w:basedOn w:val="DefaultParagraphFont"/>
    <w:link w:val="CommentText"/>
    <w:uiPriority w:val="99"/>
    <w:rsid w:val="00266547"/>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266547"/>
    <w:rPr>
      <w:b/>
      <w:bCs/>
    </w:rPr>
  </w:style>
  <w:style w:type="character" w:customStyle="1" w:styleId="CommentSubjectChar">
    <w:name w:val="Comment Subject Char"/>
    <w:basedOn w:val="CommentTextChar"/>
    <w:link w:val="CommentSubject"/>
    <w:uiPriority w:val="99"/>
    <w:semiHidden/>
    <w:rsid w:val="00266547"/>
    <w:rPr>
      <w:rFonts w:ascii="Times New Roman" w:hAnsi="Times New Roman"/>
      <w:b/>
      <w:bCs/>
      <w:sz w:val="20"/>
      <w:szCs w:val="20"/>
    </w:rPr>
  </w:style>
  <w:style w:type="paragraph" w:styleId="Revision">
    <w:name w:val="Revision"/>
    <w:hidden/>
    <w:uiPriority w:val="99"/>
    <w:semiHidden/>
    <w:rsid w:val="00704C7E"/>
    <w:pPr>
      <w:spacing w:after="0" w:line="240" w:lineRule="auto"/>
    </w:pPr>
    <w:rPr>
      <w:rFonts w:ascii="Times New Roman" w:hAnsi="Times New Roman"/>
      <w:sz w:val="24"/>
    </w:rPr>
  </w:style>
  <w:style w:type="paragraph" w:customStyle="1" w:styleId="Default">
    <w:name w:val="Default"/>
    <w:rsid w:val="0010771A"/>
    <w:pPr>
      <w:autoSpaceDE w:val="0"/>
      <w:autoSpaceDN w:val="0"/>
      <w:adjustRightInd w:val="0"/>
      <w:spacing w:after="0" w:line="240" w:lineRule="auto"/>
    </w:pPr>
    <w:rPr>
      <w:rFonts w:ascii="Calibri" w:eastAsiaTheme="minorHAnsi" w:hAnsi="Calibri" w:cs="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eur-lex.europa.eu/eli/reg_del/1935/2015/oj/?locale=LV" TargetMode="External"/><Relationship Id="rId18" Type="http://schemas.openxmlformats.org/officeDocument/2006/relationships/hyperlink" Target="http://eur-lex.europa.eu/eli/reg_del/1935/2015/oj/?locale=LV" TargetMode="External"/><Relationship Id="rId26" Type="http://schemas.openxmlformats.org/officeDocument/2006/relationships/hyperlink" Target="http://eur-lex.europa.eu/eli/reg_del/1935/2015/oj/?locale=LV" TargetMode="External"/><Relationship Id="rId39" Type="http://schemas.openxmlformats.org/officeDocument/2006/relationships/hyperlink" Target="https://likumi.lv/ta/id/275869" TargetMode="External"/><Relationship Id="rId21" Type="http://schemas.openxmlformats.org/officeDocument/2006/relationships/hyperlink" Target="http://eur-lex.europa.eu/eli/reg_del/1935/2015/oj/?locale=LV" TargetMode="External"/><Relationship Id="rId34" Type="http://schemas.openxmlformats.org/officeDocument/2006/relationships/hyperlink" Target="http://eur-lex.europa.eu/eli/reg_del/1935/2015/oj/?locale=LV" TargetMode="External"/><Relationship Id="rId42" Type="http://schemas.openxmlformats.org/officeDocument/2006/relationships/hyperlink" Target="https://likumi.lv/ta/id/274969-apdrosinasanas-un-parapdrosinasanas-likums" TargetMode="External"/><Relationship Id="rId47" Type="http://schemas.openxmlformats.org/officeDocument/2006/relationships/header" Target="header1.xml"/><Relationship Id="rId50" Type="http://schemas.openxmlformats.org/officeDocument/2006/relationships/glossaryDocument" Target="glossary/document.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eur-lex.europa.eu/eli/reg_del/1935/2015/oj/?locale=LV" TargetMode="External"/><Relationship Id="rId29" Type="http://schemas.openxmlformats.org/officeDocument/2006/relationships/hyperlink" Target="http://eur-lex.europa.eu/eli/reg_del/1935/2015/oj/?locale=LV" TargetMode="External"/><Relationship Id="rId11" Type="http://schemas.openxmlformats.org/officeDocument/2006/relationships/hyperlink" Target="https://likumi.lv/ta/id/274969-apdrosinasanas-un-parapdrosinasanas-likums" TargetMode="External"/><Relationship Id="rId24" Type="http://schemas.openxmlformats.org/officeDocument/2006/relationships/hyperlink" Target="https://likumi.lv/ta/id/274969-apdrosinasanas-un-parapdrosinasanas-likums" TargetMode="External"/><Relationship Id="rId32" Type="http://schemas.openxmlformats.org/officeDocument/2006/relationships/hyperlink" Target="http://eur-lex.europa.eu/eli/reg_del/1935/2015/oj/?locale=LV" TargetMode="External"/><Relationship Id="rId37" Type="http://schemas.openxmlformats.org/officeDocument/2006/relationships/hyperlink" Target="http://eur-lex.europa.eu/eli/reg_del/1935/2015/oj/?locale=LV" TargetMode="External"/><Relationship Id="rId40" Type="http://schemas.openxmlformats.org/officeDocument/2006/relationships/hyperlink" Target="https://likumi.lv/ta/id/275869" TargetMode="External"/><Relationship Id="rId45" Type="http://schemas.openxmlformats.org/officeDocument/2006/relationships/hyperlink" Target="https://likumi.lv/ta/id/275869" TargetMode="External"/><Relationship Id="rId5" Type="http://schemas.openxmlformats.org/officeDocument/2006/relationships/webSettings" Target="webSettings.xml"/><Relationship Id="rId15" Type="http://schemas.openxmlformats.org/officeDocument/2006/relationships/hyperlink" Target="http://eur-lex.europa.eu/eli/reg_del/1935/2015/oj/?locale=LV" TargetMode="External"/><Relationship Id="rId23" Type="http://schemas.openxmlformats.org/officeDocument/2006/relationships/hyperlink" Target="https://likumi.lv/ta/id/275869" TargetMode="External"/><Relationship Id="rId28" Type="http://schemas.openxmlformats.org/officeDocument/2006/relationships/hyperlink" Target="https://likumi.lv/ta/id/274969-apdrosinasanas-un-parapdrosinasanas-likums" TargetMode="External"/><Relationship Id="rId36" Type="http://schemas.openxmlformats.org/officeDocument/2006/relationships/hyperlink" Target="http://eur-lex.europa.eu/eli/reg_del/1935/2015/oj/?locale=LV" TargetMode="External"/><Relationship Id="rId49" Type="http://schemas.openxmlformats.org/officeDocument/2006/relationships/fontTable" Target="fontTable.xml"/><Relationship Id="rId10" Type="http://schemas.openxmlformats.org/officeDocument/2006/relationships/hyperlink" Target="http://eur-lex.europa.eu/eli/reg_del/1935/2015/oj/?locale=LV" TargetMode="External"/><Relationship Id="rId19" Type="http://schemas.openxmlformats.org/officeDocument/2006/relationships/hyperlink" Target="http://eur-lex.europa.eu/eli/reg_del/1935/2015/oj/?locale=LV" TargetMode="External"/><Relationship Id="rId31" Type="http://schemas.openxmlformats.org/officeDocument/2006/relationships/hyperlink" Target="https://likumi.lv/ta/id/275869" TargetMode="External"/><Relationship Id="rId44" Type="http://schemas.openxmlformats.org/officeDocument/2006/relationships/hyperlink" Target="http://eur-lex.europa.eu/eli/reg_del/1935/2015/oj/?locale=LV" TargetMode="External"/><Relationship Id="rId4" Type="http://schemas.openxmlformats.org/officeDocument/2006/relationships/settings" Target="settings.xml"/><Relationship Id="rId9" Type="http://schemas.openxmlformats.org/officeDocument/2006/relationships/hyperlink" Target="http://eur-lex.europa.eu/eli/dir/2009/138/oj/?locale=LV" TargetMode="External"/><Relationship Id="rId14" Type="http://schemas.openxmlformats.org/officeDocument/2006/relationships/hyperlink" Target="https://likumi.lv/ta/id/275869" TargetMode="External"/><Relationship Id="rId22" Type="http://schemas.openxmlformats.org/officeDocument/2006/relationships/hyperlink" Target="http://eur-lex.europa.eu/eli/reg_del/1935/2015/oj/?locale=LV" TargetMode="External"/><Relationship Id="rId27" Type="http://schemas.openxmlformats.org/officeDocument/2006/relationships/hyperlink" Target="https://likumi.lv/ta/id/274969-apdrosinasanas-un-parapdrosinasanas-likums" TargetMode="External"/><Relationship Id="rId30" Type="http://schemas.openxmlformats.org/officeDocument/2006/relationships/hyperlink" Target="https://likumi.lv/ta/id/275869" TargetMode="External"/><Relationship Id="rId35" Type="http://schemas.openxmlformats.org/officeDocument/2006/relationships/hyperlink" Target="http://eur-lex.europa.eu/eli/reg_del/1935/2015/oj/?locale=LV" TargetMode="External"/><Relationship Id="rId43" Type="http://schemas.openxmlformats.org/officeDocument/2006/relationships/hyperlink" Target="https://likumi.lv/ta/id/274969-apdrosinasanas-un-parapdrosinasanas-likums" TargetMode="External"/><Relationship Id="rId48" Type="http://schemas.openxmlformats.org/officeDocument/2006/relationships/header" Target="header2.xml"/><Relationship Id="rId8" Type="http://schemas.openxmlformats.org/officeDocument/2006/relationships/hyperlink" Target="http://eur-lex.europa.eu/eli/reg_del/1935/2015/oj/?locale=LV" TargetMode="External"/><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likumi.lv/ta/id/274969-apdrosinasanas-un-parapdrosinasanas-likums" TargetMode="External"/><Relationship Id="rId17" Type="http://schemas.openxmlformats.org/officeDocument/2006/relationships/hyperlink" Target="http://eur-lex.europa.eu/eli/reg_del/1935/2015/oj/?locale=LV" TargetMode="External"/><Relationship Id="rId25" Type="http://schemas.openxmlformats.org/officeDocument/2006/relationships/hyperlink" Target="https://likumi.lv/ta/id/274969-apdrosinasanas-un-parapdrosinasanas-likums" TargetMode="External"/><Relationship Id="rId33" Type="http://schemas.openxmlformats.org/officeDocument/2006/relationships/hyperlink" Target="http://eur-lex.europa.eu/eli/reg_del/1935/2015/oj/?locale=LV" TargetMode="External"/><Relationship Id="rId38" Type="http://schemas.openxmlformats.org/officeDocument/2006/relationships/hyperlink" Target="http://eur-lex.europa.eu/eli/reg_del/1935/2015/oj/?locale=LV" TargetMode="External"/><Relationship Id="rId46" Type="http://schemas.openxmlformats.org/officeDocument/2006/relationships/hyperlink" Target="http://eur-lex.europa.eu/eli/dir/2009/138/oj/?locale=LV" TargetMode="External"/><Relationship Id="rId20" Type="http://schemas.openxmlformats.org/officeDocument/2006/relationships/hyperlink" Target="http://eur-lex.europa.eu/eli/reg_del/1935/2015/oj/?locale=LV" TargetMode="External"/><Relationship Id="rId41" Type="http://schemas.openxmlformats.org/officeDocument/2006/relationships/hyperlink" Target="http://eur-lex.europa.eu/eli/reg_del/1935/2015/oj/?locale=LV" TargetMode="External"/><Relationship Id="rId1" Type="http://schemas.openxmlformats.org/officeDocument/2006/relationships/customXml" Target="../customXml/item1.xml"/><Relationship Id="rId6" Type="http://schemas.openxmlformats.org/officeDocument/2006/relationships/footnotes" Target="footnote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5A9E08F020042BA89052B164231837C"/>
        <w:category>
          <w:name w:val="Vispārīgi"/>
          <w:gallery w:val="placeholder"/>
        </w:category>
        <w:types>
          <w:type w:val="bbPlcHdr"/>
        </w:types>
        <w:behaviors>
          <w:behavior w:val="content"/>
        </w:behaviors>
        <w:guid w:val="{31F2A88E-E508-489E-BBF5-3BB55D17BFF2}"/>
      </w:docPartPr>
      <w:docPartBody>
        <w:p w:rsidR="00D655F5" w:rsidRDefault="00D655F5">
          <w:pPr>
            <w:pStyle w:val="D5A9E08F020042BA89052B164231837C"/>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64C8154D6CFB4726ABF1BD7C5940B8F3"/>
        <w:category>
          <w:name w:val="Vispārīgi"/>
          <w:gallery w:val="placeholder"/>
        </w:category>
        <w:types>
          <w:type w:val="bbPlcHdr"/>
        </w:types>
        <w:behaviors>
          <w:behavior w:val="content"/>
        </w:behaviors>
        <w:guid w:val="{D8C4037A-531F-470D-90A2-AFCDF17E907E}"/>
      </w:docPartPr>
      <w:docPartBody>
        <w:p w:rsidR="00D655F5" w:rsidRDefault="00D655F5">
          <w:pPr>
            <w:pStyle w:val="64C8154D6CFB4726ABF1BD7C5940B8F3"/>
          </w:pPr>
          <w:r w:rsidRPr="00811BE5">
            <w:rPr>
              <w:color w:val="808080" w:themeColor="background1" w:themeShade="80"/>
            </w:rPr>
            <w:t>[Datums]</w:t>
          </w:r>
        </w:p>
      </w:docPartBody>
    </w:docPart>
    <w:docPart>
      <w:docPartPr>
        <w:name w:val="C1B2D4A6F69F46DC8DB6CE798B070B51"/>
        <w:category>
          <w:name w:val="Vispārīgi"/>
          <w:gallery w:val="placeholder"/>
        </w:category>
        <w:types>
          <w:type w:val="bbPlcHdr"/>
        </w:types>
        <w:behaviors>
          <w:behavior w:val="content"/>
        </w:behaviors>
        <w:guid w:val="{4F562257-2B41-4A15-B842-DAD5F6A6E71D}"/>
      </w:docPartPr>
      <w:docPartBody>
        <w:p w:rsidR="00D655F5" w:rsidRDefault="00D655F5">
          <w:pPr>
            <w:pStyle w:val="C1B2D4A6F69F46DC8DB6CE798B070B51"/>
          </w:pPr>
          <w:r>
            <w:t xml:space="preserve">Noteikumi </w:t>
          </w:r>
        </w:p>
      </w:docPartBody>
    </w:docPart>
    <w:docPart>
      <w:docPartPr>
        <w:name w:val="E92B964264134789A5B5017A9A35DC53"/>
        <w:category>
          <w:name w:val="Vispārīgi"/>
          <w:gallery w:val="placeholder"/>
        </w:category>
        <w:types>
          <w:type w:val="bbPlcHdr"/>
        </w:types>
        <w:behaviors>
          <w:behavior w:val="content"/>
        </w:behaviors>
        <w:guid w:val="{88EC4564-015A-4C1F-BE41-927523A4379F}"/>
      </w:docPartPr>
      <w:docPartBody>
        <w:p w:rsidR="00D655F5" w:rsidRDefault="00D655F5">
          <w:pPr>
            <w:pStyle w:val="E92B964264134789A5B5017A9A35DC53"/>
          </w:pPr>
          <w:r>
            <w:t xml:space="preserve">Nr. </w:t>
          </w:r>
        </w:p>
      </w:docPartBody>
    </w:docPart>
    <w:docPart>
      <w:docPartPr>
        <w:name w:val="4F9D106909D54788BDFD61DBB9E2ADAD"/>
        <w:category>
          <w:name w:val="Vispārīgi"/>
          <w:gallery w:val="placeholder"/>
        </w:category>
        <w:types>
          <w:type w:val="bbPlcHdr"/>
        </w:types>
        <w:behaviors>
          <w:behavior w:val="content"/>
        </w:behaviors>
        <w:guid w:val="{48274916-FC83-4028-B9DF-D51352ACC971}"/>
      </w:docPartPr>
      <w:docPartBody>
        <w:p w:rsidR="00D655F5" w:rsidRDefault="00D655F5">
          <w:pPr>
            <w:pStyle w:val="4F9D106909D54788BDFD61DBB9E2ADAD"/>
          </w:pPr>
          <w:r>
            <w:t>_____</w:t>
          </w:r>
        </w:p>
      </w:docPartBody>
    </w:docPart>
    <w:docPart>
      <w:docPartPr>
        <w:name w:val="E6B37C46E7EE4903B58137225BA3C1AA"/>
        <w:category>
          <w:name w:val="Vispārīgi"/>
          <w:gallery w:val="placeholder"/>
        </w:category>
        <w:types>
          <w:type w:val="bbPlcHdr"/>
        </w:types>
        <w:behaviors>
          <w:behavior w:val="content"/>
        </w:behaviors>
        <w:guid w:val="{7C5D50A2-7C73-4F18-A53F-45EC89DBE6C2}"/>
      </w:docPartPr>
      <w:docPartBody>
        <w:p w:rsidR="00D655F5" w:rsidRDefault="00D655F5">
          <w:pPr>
            <w:pStyle w:val="E6B37C46E7EE4903B58137225BA3C1AA"/>
          </w:pPr>
          <w:r>
            <w:rPr>
              <w:rFonts w:cs="Times New Roman"/>
              <w:szCs w:val="24"/>
            </w:rPr>
            <w:t>Rīgā</w:t>
          </w:r>
        </w:p>
      </w:docPartBody>
    </w:docPart>
    <w:docPart>
      <w:docPartPr>
        <w:name w:val="B13939C4BBC54599B9CFEFFFD9C84251"/>
        <w:category>
          <w:name w:val="Vispārīgi"/>
          <w:gallery w:val="placeholder"/>
        </w:category>
        <w:types>
          <w:type w:val="bbPlcHdr"/>
        </w:types>
        <w:behaviors>
          <w:behavior w:val="content"/>
        </w:behaviors>
        <w:guid w:val="{4333CF2D-1477-4AC1-BBCD-374C61F7A16D}"/>
      </w:docPartPr>
      <w:docPartBody>
        <w:p w:rsidR="00D655F5" w:rsidRDefault="00D655F5">
          <w:pPr>
            <w:pStyle w:val="B13939C4BBC54599B9CFEFFFD9C84251"/>
          </w:pPr>
          <w:r w:rsidRPr="00F5647B">
            <w:rPr>
              <w:rStyle w:val="PlaceholderText"/>
              <w:b/>
              <w:szCs w:val="24"/>
            </w:rPr>
            <w:t>[Nosaukums]</w:t>
          </w:r>
        </w:p>
      </w:docPartBody>
    </w:docPart>
    <w:docPart>
      <w:docPartPr>
        <w:name w:val="286E3FE2D612478F92182C19DE102B13"/>
        <w:category>
          <w:name w:val="Vispārīgi"/>
          <w:gallery w:val="placeholder"/>
        </w:category>
        <w:types>
          <w:type w:val="bbPlcHdr"/>
        </w:types>
        <w:behaviors>
          <w:behavior w:val="content"/>
        </w:behaviors>
        <w:guid w:val="{E56118FE-32FB-455E-888C-AB89596F6FDB}"/>
      </w:docPartPr>
      <w:docPartBody>
        <w:p w:rsidR="00D655F5" w:rsidRDefault="00D655F5">
          <w:pPr>
            <w:pStyle w:val="286E3FE2D612478F92182C19DE102B13"/>
          </w:pPr>
          <w:r>
            <w:rPr>
              <w:rFonts w:cs="Times New Roman"/>
              <w:szCs w:val="24"/>
            </w:rPr>
            <w:t xml:space="preserve">Izdoti </w:t>
          </w:r>
        </w:p>
      </w:docPartBody>
    </w:docPart>
    <w:docPart>
      <w:docPartPr>
        <w:name w:val="6FBB277101C34AF99D8AB10245F35D7D"/>
        <w:category>
          <w:name w:val="Vispārīgi"/>
          <w:gallery w:val="placeholder"/>
        </w:category>
        <w:types>
          <w:type w:val="bbPlcHdr"/>
        </w:types>
        <w:behaviors>
          <w:behavior w:val="content"/>
        </w:behaviors>
        <w:guid w:val="{4273110D-2903-4401-8A91-841F18ED9FD6}"/>
      </w:docPartPr>
      <w:docPartBody>
        <w:p w:rsidR="00D655F5" w:rsidRDefault="00D655F5">
          <w:pPr>
            <w:pStyle w:val="6FBB277101C34AF99D8AB10245F35D7D"/>
          </w:pPr>
          <w:r>
            <w:rPr>
              <w:rFonts w:cs="Times New Roman"/>
              <w:szCs w:val="24"/>
            </w:rPr>
            <w:t>saskaņā ar</w:t>
          </w:r>
        </w:p>
      </w:docPartBody>
    </w:docPart>
    <w:docPart>
      <w:docPartPr>
        <w:name w:val="9C53538DD2AB4F54A78DA45693A2913D"/>
        <w:category>
          <w:name w:val="Vispārīgi"/>
          <w:gallery w:val="placeholder"/>
        </w:category>
        <w:types>
          <w:type w:val="bbPlcHdr"/>
        </w:types>
        <w:behaviors>
          <w:behavior w:val="content"/>
        </w:behaviors>
        <w:guid w:val="{D8791807-2924-4B6D-8463-C36E26F6625B}"/>
      </w:docPartPr>
      <w:docPartBody>
        <w:p w:rsidR="00D655F5" w:rsidRDefault="00D655F5">
          <w:pPr>
            <w:pStyle w:val="9C53538DD2AB4F54A78DA45693A2913D"/>
          </w:pPr>
          <w:r w:rsidRPr="00301089">
            <w:rPr>
              <w:rStyle w:val="PlaceholderText"/>
              <w:szCs w:val="24"/>
            </w:rPr>
            <w:t>[likuma]</w:t>
          </w:r>
        </w:p>
      </w:docPartBody>
    </w:docPart>
    <w:docPart>
      <w:docPartPr>
        <w:name w:val="256FE87F2F42457A975F408FD6ACB8B0"/>
        <w:category>
          <w:name w:val="Vispārīgi"/>
          <w:gallery w:val="placeholder"/>
        </w:category>
        <w:types>
          <w:type w:val="bbPlcHdr"/>
        </w:types>
        <w:behaviors>
          <w:behavior w:val="content"/>
        </w:behaviors>
        <w:guid w:val="{41D988AC-8415-4E16-8331-1BB6D217E3CE}"/>
      </w:docPartPr>
      <w:docPartBody>
        <w:p w:rsidR="00D655F5" w:rsidRDefault="00D655F5">
          <w:pPr>
            <w:pStyle w:val="256FE87F2F42457A975F408FD6ACB8B0"/>
          </w:pPr>
          <w:r>
            <w:rPr>
              <w:rFonts w:ascii="Times New Roman" w:hAnsi="Times New Roman" w:cs="Times New Roman"/>
              <w:sz w:val="24"/>
              <w:szCs w:val="24"/>
            </w:rPr>
            <w:t>{amats}</w:t>
          </w:r>
        </w:p>
      </w:docPartBody>
    </w:docPart>
    <w:docPart>
      <w:docPartPr>
        <w:name w:val="5FF4EF4A2EED4642935C457943D05952"/>
        <w:category>
          <w:name w:val="Vispārīgi"/>
          <w:gallery w:val="placeholder"/>
        </w:category>
        <w:types>
          <w:type w:val="bbPlcHdr"/>
        </w:types>
        <w:behaviors>
          <w:behavior w:val="content"/>
        </w:behaviors>
        <w:guid w:val="{65FDDB6E-4C84-48AC-90EC-E0F09F395804}"/>
      </w:docPartPr>
      <w:docPartBody>
        <w:p w:rsidR="00D655F5" w:rsidRDefault="00D655F5">
          <w:pPr>
            <w:pStyle w:val="5FF4EF4A2EED4642935C457943D05952"/>
          </w:pPr>
          <w:r w:rsidRPr="00811BE5">
            <w:rPr>
              <w:color w:val="808080" w:themeColor="background1" w:themeShade="80"/>
            </w:rPr>
            <w:t>[V. Uzvārds]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55F5"/>
    <w:rsid w:val="00C717A3"/>
    <w:rsid w:val="00D655F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5A9E08F020042BA89052B164231837C">
    <w:name w:val="D5A9E08F020042BA89052B164231837C"/>
  </w:style>
  <w:style w:type="paragraph" w:customStyle="1" w:styleId="64C8154D6CFB4726ABF1BD7C5940B8F3">
    <w:name w:val="64C8154D6CFB4726ABF1BD7C5940B8F3"/>
  </w:style>
  <w:style w:type="paragraph" w:customStyle="1" w:styleId="C1B2D4A6F69F46DC8DB6CE798B070B51">
    <w:name w:val="C1B2D4A6F69F46DC8DB6CE798B070B51"/>
  </w:style>
  <w:style w:type="paragraph" w:customStyle="1" w:styleId="E92B964264134789A5B5017A9A35DC53">
    <w:name w:val="E92B964264134789A5B5017A9A35DC53"/>
  </w:style>
  <w:style w:type="paragraph" w:customStyle="1" w:styleId="4F9D106909D54788BDFD61DBB9E2ADAD">
    <w:name w:val="4F9D106909D54788BDFD61DBB9E2ADAD"/>
  </w:style>
  <w:style w:type="paragraph" w:customStyle="1" w:styleId="E6B37C46E7EE4903B58137225BA3C1AA">
    <w:name w:val="E6B37C46E7EE4903B58137225BA3C1AA"/>
  </w:style>
  <w:style w:type="character" w:styleId="PlaceholderText">
    <w:name w:val="Placeholder Text"/>
    <w:basedOn w:val="DefaultParagraphFont"/>
    <w:uiPriority w:val="99"/>
    <w:semiHidden/>
    <w:rPr>
      <w:color w:val="808080"/>
    </w:rPr>
  </w:style>
  <w:style w:type="paragraph" w:customStyle="1" w:styleId="B13939C4BBC54599B9CFEFFFD9C84251">
    <w:name w:val="B13939C4BBC54599B9CFEFFFD9C84251"/>
  </w:style>
  <w:style w:type="paragraph" w:customStyle="1" w:styleId="286E3FE2D612478F92182C19DE102B13">
    <w:name w:val="286E3FE2D612478F92182C19DE102B13"/>
  </w:style>
  <w:style w:type="paragraph" w:customStyle="1" w:styleId="6FBB277101C34AF99D8AB10245F35D7D">
    <w:name w:val="6FBB277101C34AF99D8AB10245F35D7D"/>
  </w:style>
  <w:style w:type="paragraph" w:customStyle="1" w:styleId="9C53538DD2AB4F54A78DA45693A2913D">
    <w:name w:val="9C53538DD2AB4F54A78DA45693A2913D"/>
  </w:style>
  <w:style w:type="paragraph" w:customStyle="1" w:styleId="256FE87F2F42457A975F408FD6ACB8B0">
    <w:name w:val="256FE87F2F42457A975F408FD6ACB8B0"/>
  </w:style>
  <w:style w:type="paragraph" w:customStyle="1" w:styleId="5FF4EF4A2EED4642935C457943D05952">
    <w:name w:val="5FF4EF4A2EED4642935C457943D0595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1877C-4E39-49C0-832D-39C3FAD8E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16986</Words>
  <Characters>9683</Characters>
  <Application>Microsoft Office Word</Application>
  <DocSecurity>0</DocSecurity>
  <Lines>80</Lines>
  <Paragraphs>53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Latvijas Banka</Company>
  <LinksUpToDate>false</LinksUpToDate>
  <CharactersWithSpaces>26616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Sarmīte Glāzere</dc:creator>
  <cp:keywords/>
  <dc:description/>
  <cp:lastModifiedBy>Ilze Grava</cp:lastModifiedBy>
  <cp:revision>4</cp:revision>
  <cp:lastPrinted>2010-12-20T19:45:00Z</cp:lastPrinted>
  <dcterms:created xsi:type="dcterms:W3CDTF">2024-02-01T13:02:00Z</dcterms:created>
  <dcterms:modified xsi:type="dcterms:W3CDTF">2024-02-01T14:32:00Z</dcterms:modified>
</cp:coreProperties>
</file>