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0C69E" w14:textId="3D774D9C" w:rsidR="009B27BE" w:rsidRPr="009A0D6B" w:rsidRDefault="00CA28AB" w:rsidP="007E3AD3">
      <w:pPr>
        <w:autoSpaceDE w:val="0"/>
        <w:autoSpaceDN w:val="0"/>
        <w:adjustRightInd w:val="0"/>
        <w:spacing w:after="0" w:line="240" w:lineRule="auto"/>
        <w:contextualSpacing/>
        <w:jc w:val="center"/>
        <w:rPr>
          <w:rFonts w:ascii="Times New Roman" w:hAnsi="Times New Roman" w:cs="Times New Roman"/>
          <w:b/>
          <w:bCs/>
          <w:sz w:val="24"/>
          <w:szCs w:val="24"/>
        </w:rPr>
      </w:pPr>
      <w:r w:rsidRPr="009A0D6B">
        <w:rPr>
          <w:rFonts w:ascii="Times New Roman" w:hAnsi="Times New Roman" w:cs="Times New Roman"/>
          <w:b/>
          <w:bCs/>
          <w:sz w:val="24"/>
          <w:szCs w:val="24"/>
        </w:rPr>
        <w:t xml:space="preserve">Latvijas Bankas noteikumu projekta </w:t>
      </w:r>
      <w:r w:rsidR="006E1383" w:rsidRPr="009A0D6B">
        <w:rPr>
          <w:rFonts w:ascii="Times New Roman" w:hAnsi="Times New Roman" w:cs="Times New Roman"/>
          <w:b/>
          <w:bCs/>
          <w:sz w:val="24"/>
          <w:szCs w:val="24"/>
        </w:rPr>
        <w:t>"</w:t>
      </w:r>
      <w:sdt>
        <w:sdtPr>
          <w:rPr>
            <w:rFonts w:ascii="Times New Roman" w:hAnsi="Times New Roman" w:cs="Times New Roman"/>
            <w:b/>
            <w:bCs/>
            <w:sz w:val="24"/>
            <w:szCs w:val="24"/>
          </w:rPr>
          <w:alias w:val="Nosaukums"/>
          <w:tag w:val="Nosaukums"/>
          <w:id w:val="25447728"/>
          <w:placeholder>
            <w:docPart w:val="3D94ACE2A23647CB885AE002183C78CB"/>
          </w:placeholder>
        </w:sdtPr>
        <w:sdtEndPr/>
        <w:sdtContent>
          <w:r w:rsidR="00BE7DF0" w:rsidRPr="00D73E35">
            <w:rPr>
              <w:rFonts w:ascii="Times New Roman" w:hAnsi="Times New Roman" w:cs="Times New Roman"/>
              <w:b/>
              <w:bCs/>
              <w:sz w:val="24"/>
              <w:szCs w:val="24"/>
            </w:rPr>
            <w:t xml:space="preserve">Paziņojuma par </w:t>
          </w:r>
          <w:r w:rsidR="00CB0825" w:rsidRPr="00D73E35">
            <w:rPr>
              <w:rFonts w:ascii="Times New Roman" w:hAnsi="Times New Roman" w:cs="Times New Roman"/>
              <w:b/>
              <w:bCs/>
              <w:sz w:val="24"/>
              <w:szCs w:val="24"/>
            </w:rPr>
            <w:t xml:space="preserve">emitenta </w:t>
          </w:r>
          <w:r w:rsidR="00BE7DF0" w:rsidRPr="00D73E35">
            <w:rPr>
              <w:rFonts w:ascii="Times New Roman" w:hAnsi="Times New Roman" w:cs="Times New Roman"/>
              <w:b/>
              <w:bCs/>
              <w:sz w:val="24"/>
              <w:szCs w:val="24"/>
            </w:rPr>
            <w:t>izcelsmes dalībvalsti veidlapas parauga apstiprināšanas noteikumi</w:t>
          </w:r>
        </w:sdtContent>
      </w:sdt>
      <w:r w:rsidR="006E1383" w:rsidRPr="009A0D6B">
        <w:rPr>
          <w:rFonts w:ascii="Times New Roman" w:hAnsi="Times New Roman" w:cs="Times New Roman"/>
          <w:b/>
          <w:bCs/>
          <w:sz w:val="24"/>
          <w:szCs w:val="24"/>
        </w:rPr>
        <w:t>"</w:t>
      </w:r>
      <w:r w:rsidR="003B481B" w:rsidRPr="009A0D6B">
        <w:rPr>
          <w:rFonts w:ascii="Times New Roman" w:hAnsi="Times New Roman" w:cs="Times New Roman"/>
          <w:b/>
          <w:bCs/>
          <w:sz w:val="24"/>
          <w:szCs w:val="24"/>
        </w:rPr>
        <w:t xml:space="preserve"> anotācija</w:t>
      </w:r>
    </w:p>
    <w:p w14:paraId="17706B46" w14:textId="77777777" w:rsidR="003B481B" w:rsidRPr="007E3AD3" w:rsidRDefault="003B481B" w:rsidP="007E3AD3">
      <w:pPr>
        <w:spacing w:after="0" w:line="240" w:lineRule="auto"/>
        <w:contextualSpacing/>
        <w:rPr>
          <w:rFonts w:ascii="Times New Roman" w:hAnsi="Times New Roman" w:cs="Times New Roman"/>
          <w:sz w:val="24"/>
          <w:szCs w:val="24"/>
        </w:rPr>
      </w:pPr>
    </w:p>
    <w:p w14:paraId="4ED02808" w14:textId="77777777" w:rsidR="003B481B" w:rsidRPr="007E3AD3" w:rsidRDefault="003B481B" w:rsidP="007E3AD3">
      <w:pPr>
        <w:spacing w:after="0" w:line="240" w:lineRule="auto"/>
        <w:contextualSpacing/>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7E3AD3" w14:paraId="35E68812" w14:textId="77777777" w:rsidTr="00E253DA">
        <w:trPr>
          <w:trHeight w:val="567"/>
        </w:trPr>
        <w:tc>
          <w:tcPr>
            <w:tcW w:w="1796" w:type="pct"/>
            <w:shd w:val="clear" w:color="auto" w:fill="auto"/>
            <w:hideMark/>
          </w:tcPr>
          <w:p w14:paraId="229C9F50"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Nosaukums</w:t>
            </w:r>
          </w:p>
          <w:p w14:paraId="6D9882D2"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0EDFAC6D" w14:textId="4F3D0927" w:rsidR="00E53DE9" w:rsidRPr="007E3AD3" w:rsidRDefault="00D73E35" w:rsidP="00636430">
            <w:pPr>
              <w:spacing w:after="0" w:line="240" w:lineRule="auto"/>
              <w:contextualSpacing/>
              <w:jc w:val="both"/>
              <w:rPr>
                <w:rFonts w:ascii="Times New Roman" w:eastAsia="Times New Roman" w:hAnsi="Times New Roman" w:cs="Times New Roman"/>
                <w:i/>
                <w:iCs/>
                <w:sz w:val="24"/>
                <w:szCs w:val="24"/>
                <w:lang w:eastAsia="lv-LV"/>
              </w:rPr>
            </w:pPr>
            <w:sdt>
              <w:sdtPr>
                <w:rPr>
                  <w:rFonts w:ascii="Times New Roman" w:hAnsi="Times New Roman" w:cs="Times New Roman"/>
                  <w:b/>
                  <w:sz w:val="24"/>
                  <w:szCs w:val="24"/>
                </w:rPr>
                <w:alias w:val="Nosaukums"/>
                <w:tag w:val="Nosaukums"/>
                <w:id w:val="-403216388"/>
                <w:placeholder>
                  <w:docPart w:val="E2E42EBD2D514E19848B00E4BEF97281"/>
                </w:placeholder>
              </w:sdtPr>
              <w:sdtEndPr/>
              <w:sdtContent>
                <w:r w:rsidR="00D63263" w:rsidRPr="00D5735C">
                  <w:rPr>
                    <w:rFonts w:ascii="Times New Roman" w:eastAsia="Times New Roman" w:hAnsi="Times New Roman" w:cs="Times New Roman"/>
                    <w:sz w:val="24"/>
                    <w:szCs w:val="24"/>
                  </w:rPr>
                  <w:t xml:space="preserve">Paziņojuma par </w:t>
                </w:r>
                <w:r w:rsidR="00CB0825" w:rsidRPr="00D5735C">
                  <w:rPr>
                    <w:rFonts w:ascii="Times New Roman" w:eastAsia="Times New Roman" w:hAnsi="Times New Roman" w:cs="Times New Roman"/>
                    <w:sz w:val="24"/>
                    <w:szCs w:val="24"/>
                  </w:rPr>
                  <w:t xml:space="preserve"> emitenta</w:t>
                </w:r>
                <w:r w:rsidR="00F91A8F" w:rsidRPr="00D5735C">
                  <w:rPr>
                    <w:rFonts w:ascii="Times New Roman" w:eastAsia="Times New Roman" w:hAnsi="Times New Roman" w:cs="Times New Roman"/>
                    <w:sz w:val="24"/>
                    <w:szCs w:val="24"/>
                  </w:rPr>
                  <w:t xml:space="preserve"> </w:t>
                </w:r>
                <w:r w:rsidR="00D63263" w:rsidRPr="00D5735C">
                  <w:rPr>
                    <w:rFonts w:ascii="Times New Roman" w:eastAsia="Times New Roman" w:hAnsi="Times New Roman" w:cs="Times New Roman"/>
                    <w:sz w:val="24"/>
                    <w:szCs w:val="24"/>
                  </w:rPr>
                  <w:t>izcelsmes dalībvalsti veidlapas parauga apstiprināšanas noteikumi</w:t>
                </w:r>
              </w:sdtContent>
            </w:sdt>
          </w:p>
        </w:tc>
      </w:tr>
      <w:tr w:rsidR="000B4E0A" w:rsidRPr="007E3AD3" w14:paraId="5E133EF8" w14:textId="77777777" w:rsidTr="00E253DA">
        <w:trPr>
          <w:trHeight w:val="567"/>
        </w:trPr>
        <w:tc>
          <w:tcPr>
            <w:tcW w:w="1796" w:type="pct"/>
            <w:shd w:val="clear" w:color="auto" w:fill="auto"/>
            <w:hideMark/>
          </w:tcPr>
          <w:p w14:paraId="67FEF666"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Dokumenta veids</w:t>
            </w:r>
          </w:p>
          <w:p w14:paraId="3B3F9B6B"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123A3516" w14:textId="72E72B5B" w:rsidR="00E53DE9" w:rsidRPr="007E3AD3" w:rsidRDefault="00D5735C" w:rsidP="007E3AD3">
            <w:pPr>
              <w:spacing w:after="0" w:line="240" w:lineRule="auto"/>
              <w:contextualSpacing/>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w:t>
            </w:r>
            <w:r w:rsidR="003063A9" w:rsidRPr="007E3AD3">
              <w:rPr>
                <w:rFonts w:ascii="Times New Roman" w:eastAsia="Times New Roman" w:hAnsi="Times New Roman" w:cs="Times New Roman"/>
                <w:sz w:val="24"/>
                <w:szCs w:val="24"/>
                <w:lang w:eastAsia="lv-LV"/>
              </w:rPr>
              <w:t>oteikumi</w:t>
            </w:r>
          </w:p>
        </w:tc>
      </w:tr>
      <w:tr w:rsidR="000B4E0A" w:rsidRPr="007E3AD3" w14:paraId="336B654A" w14:textId="77777777" w:rsidTr="00E253DA">
        <w:trPr>
          <w:trHeight w:val="567"/>
        </w:trPr>
        <w:tc>
          <w:tcPr>
            <w:tcW w:w="1796" w:type="pct"/>
            <w:shd w:val="clear" w:color="auto" w:fill="auto"/>
            <w:hideMark/>
          </w:tcPr>
          <w:p w14:paraId="23638FDB"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 xml:space="preserve">Izdošanas pamatojums </w:t>
            </w:r>
          </w:p>
          <w:p w14:paraId="3D927D48"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37DCF9E4" w14:textId="2F719C91" w:rsidR="00E53DE9" w:rsidRPr="007E3AD3" w:rsidRDefault="00B80A81" w:rsidP="007E3AD3">
            <w:pPr>
              <w:spacing w:after="0" w:line="240" w:lineRule="auto"/>
              <w:contextualSpacing/>
              <w:rPr>
                <w:rFonts w:ascii="Times New Roman" w:eastAsia="Times New Roman" w:hAnsi="Times New Roman" w:cs="Times New Roman"/>
                <w:sz w:val="24"/>
                <w:szCs w:val="24"/>
                <w:lang w:eastAsia="lv-LV"/>
              </w:rPr>
            </w:pPr>
            <w:r w:rsidRPr="007E3AD3">
              <w:rPr>
                <w:rFonts w:ascii="Times New Roman" w:hAnsi="Times New Roman" w:cs="Times New Roman"/>
                <w:noProof/>
                <w:sz w:val="24"/>
                <w:szCs w:val="24"/>
                <w:lang w:val="de-DE"/>
              </w:rPr>
              <w:t>Finanšu instrumentu tirgus likuma 3.</w:t>
            </w:r>
            <w:r w:rsidRPr="007E3AD3">
              <w:rPr>
                <w:rFonts w:ascii="Times New Roman" w:hAnsi="Times New Roman" w:cs="Times New Roman"/>
                <w:noProof/>
                <w:sz w:val="24"/>
                <w:szCs w:val="24"/>
                <w:vertAlign w:val="superscript"/>
                <w:lang w:val="de-DE"/>
              </w:rPr>
              <w:t>1</w:t>
            </w:r>
            <w:r w:rsidRPr="007E3AD3">
              <w:rPr>
                <w:rFonts w:ascii="Times New Roman" w:hAnsi="Times New Roman" w:cs="Times New Roman"/>
                <w:noProof/>
                <w:sz w:val="24"/>
                <w:szCs w:val="24"/>
                <w:lang w:val="de-DE"/>
              </w:rPr>
              <w:t xml:space="preserve"> panta 2.</w:t>
            </w:r>
            <w:r w:rsidRPr="007E3AD3">
              <w:rPr>
                <w:rFonts w:ascii="Times New Roman" w:hAnsi="Times New Roman" w:cs="Times New Roman"/>
                <w:noProof/>
                <w:sz w:val="24"/>
                <w:szCs w:val="24"/>
                <w:vertAlign w:val="superscript"/>
                <w:lang w:val="de-DE"/>
              </w:rPr>
              <w:t xml:space="preserve">1 </w:t>
            </w:r>
            <w:r w:rsidRPr="007E3AD3">
              <w:rPr>
                <w:rFonts w:ascii="Times New Roman" w:hAnsi="Times New Roman" w:cs="Times New Roman"/>
                <w:noProof/>
                <w:sz w:val="24"/>
                <w:szCs w:val="24"/>
                <w:lang w:val="de-DE"/>
              </w:rPr>
              <w:t>daļa</w:t>
            </w:r>
            <w:r w:rsidR="00731430">
              <w:rPr>
                <w:rFonts w:ascii="Times New Roman" w:hAnsi="Times New Roman" w:cs="Times New Roman"/>
                <w:noProof/>
                <w:sz w:val="24"/>
                <w:szCs w:val="24"/>
                <w:lang w:val="de-DE"/>
              </w:rPr>
              <w:t>.</w:t>
            </w:r>
          </w:p>
        </w:tc>
      </w:tr>
      <w:tr w:rsidR="000B4E0A" w:rsidRPr="007E3AD3" w14:paraId="61019BF0" w14:textId="77777777" w:rsidTr="00E253DA">
        <w:trPr>
          <w:trHeight w:val="567"/>
        </w:trPr>
        <w:tc>
          <w:tcPr>
            <w:tcW w:w="1796" w:type="pct"/>
            <w:shd w:val="clear" w:color="auto" w:fill="auto"/>
            <w:hideMark/>
          </w:tcPr>
          <w:p w14:paraId="3A1989F8"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Mērķis un būtība</w:t>
            </w:r>
          </w:p>
          <w:p w14:paraId="00CED0E1"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05D4F531" w14:textId="0F7B06F9" w:rsidR="008E1230" w:rsidRDefault="009C38D3" w:rsidP="007E3AD3">
            <w:pPr>
              <w:spacing w:line="240" w:lineRule="auto"/>
              <w:contextualSpacing/>
              <w:jc w:val="both"/>
              <w:rPr>
                <w:rFonts w:ascii="Times New Roman" w:eastAsia="Times New Roman" w:hAnsi="Times New Roman" w:cs="Times New Roman"/>
                <w:sz w:val="24"/>
                <w:szCs w:val="24"/>
              </w:rPr>
            </w:pPr>
            <w:r w:rsidRPr="00980D5A">
              <w:rPr>
                <w:rFonts w:ascii="Times New Roman" w:eastAsia="Times New Roman" w:hAnsi="Times New Roman" w:cs="Times New Roman"/>
                <w:sz w:val="24"/>
                <w:szCs w:val="24"/>
              </w:rPr>
              <w:t>Finanšu instrumentu tirgus likuma 3.</w:t>
            </w:r>
            <w:r w:rsidRPr="00980D5A">
              <w:rPr>
                <w:rFonts w:ascii="Times New Roman" w:eastAsia="Times New Roman" w:hAnsi="Times New Roman" w:cs="Times New Roman"/>
                <w:sz w:val="24"/>
                <w:szCs w:val="24"/>
                <w:vertAlign w:val="superscript"/>
              </w:rPr>
              <w:t>1</w:t>
            </w:r>
            <w:r w:rsidRPr="00980D5A">
              <w:rPr>
                <w:rFonts w:ascii="Times New Roman" w:eastAsia="Times New Roman" w:hAnsi="Times New Roman" w:cs="Times New Roman"/>
                <w:sz w:val="24"/>
                <w:szCs w:val="24"/>
              </w:rPr>
              <w:t xml:space="preserve"> pant</w:t>
            </w:r>
            <w:r w:rsidR="006100BC" w:rsidRPr="00980D5A">
              <w:rPr>
                <w:rFonts w:ascii="Times New Roman" w:eastAsia="Times New Roman" w:hAnsi="Times New Roman" w:cs="Times New Roman"/>
                <w:sz w:val="24"/>
                <w:szCs w:val="24"/>
              </w:rPr>
              <w:t>a ceturtā, piektā un sestā daļa nosaka kritērijus izcelsmes dalībvalsts noteikšanai</w:t>
            </w:r>
            <w:r w:rsidRPr="00980D5A">
              <w:rPr>
                <w:rFonts w:ascii="Times New Roman" w:eastAsia="Times New Roman" w:hAnsi="Times New Roman" w:cs="Times New Roman"/>
                <w:sz w:val="24"/>
                <w:szCs w:val="24"/>
              </w:rPr>
              <w:t xml:space="preserve"> emitentiem, kuru pārvedami vērtspapīri (akcijas vai obligācijas) ir iekļauti regulētajā tirgū</w:t>
            </w:r>
            <w:r w:rsidR="006100BC" w:rsidRPr="00980D5A">
              <w:rPr>
                <w:rFonts w:ascii="Times New Roman" w:eastAsia="Times New Roman" w:hAnsi="Times New Roman" w:cs="Times New Roman"/>
                <w:sz w:val="24"/>
                <w:szCs w:val="24"/>
              </w:rPr>
              <w:t xml:space="preserve">. Savukārt minētā panta </w:t>
            </w:r>
            <w:r w:rsidR="00F91A8F">
              <w:rPr>
                <w:rFonts w:ascii="Times New Roman" w:eastAsia="Times New Roman" w:hAnsi="Times New Roman" w:cs="Times New Roman"/>
                <w:sz w:val="24"/>
                <w:szCs w:val="24"/>
              </w:rPr>
              <w:t>7.</w:t>
            </w:r>
            <w:r w:rsidR="00F91A8F">
              <w:rPr>
                <w:rFonts w:ascii="Times New Roman" w:eastAsia="Times New Roman" w:hAnsi="Times New Roman" w:cs="Times New Roman"/>
                <w:sz w:val="24"/>
                <w:szCs w:val="24"/>
                <w:vertAlign w:val="superscript"/>
              </w:rPr>
              <w:t>1 </w:t>
            </w:r>
            <w:r w:rsidR="006100BC" w:rsidRPr="00980D5A">
              <w:rPr>
                <w:rFonts w:ascii="Times New Roman" w:eastAsia="Times New Roman" w:hAnsi="Times New Roman" w:cs="Times New Roman"/>
                <w:sz w:val="24"/>
                <w:szCs w:val="24"/>
              </w:rPr>
              <w:t xml:space="preserve">daļa nosaka gadījumus, kad emitentam jāziņo </w:t>
            </w:r>
            <w:r w:rsidR="00980D5A" w:rsidRPr="00980D5A">
              <w:rPr>
                <w:rFonts w:ascii="Times New Roman" w:eastAsia="Times New Roman" w:hAnsi="Times New Roman" w:cs="Times New Roman"/>
                <w:sz w:val="24"/>
                <w:szCs w:val="24"/>
              </w:rPr>
              <w:t xml:space="preserve">Latvijas kompetentajai iestādei. </w:t>
            </w:r>
          </w:p>
          <w:p w14:paraId="192FFCCA" w14:textId="3D69F338" w:rsidR="00E53DE9" w:rsidRPr="00980D5A" w:rsidRDefault="00980D5A" w:rsidP="007E3AD3">
            <w:pPr>
              <w:spacing w:line="240" w:lineRule="auto"/>
              <w:contextualSpacing/>
              <w:jc w:val="both"/>
              <w:rPr>
                <w:rFonts w:ascii="Times New Roman" w:eastAsia="Times New Roman" w:hAnsi="Times New Roman" w:cs="Times New Roman"/>
                <w:i/>
                <w:iCs/>
                <w:sz w:val="24"/>
                <w:szCs w:val="24"/>
                <w:lang w:eastAsia="lv-LV"/>
              </w:rPr>
            </w:pPr>
            <w:r w:rsidRPr="00980D5A">
              <w:rPr>
                <w:rFonts w:ascii="Times New Roman" w:eastAsia="Times New Roman" w:hAnsi="Times New Roman" w:cs="Times New Roman"/>
                <w:sz w:val="24"/>
                <w:szCs w:val="24"/>
              </w:rPr>
              <w:t>A</w:t>
            </w:r>
            <w:r w:rsidRPr="00980D5A">
              <w:rPr>
                <w:rFonts w:ascii="Times New Roman" w:hAnsi="Times New Roman" w:cs="Times New Roman"/>
                <w:sz w:val="24"/>
                <w:szCs w:val="24"/>
              </w:rPr>
              <w:t>r 01.01.2023. Finanšu un kapitāla tirgus komisija ir integrēta Latvijas Bankā</w:t>
            </w:r>
            <w:r w:rsidR="00F91A8F">
              <w:rPr>
                <w:rFonts w:ascii="Times New Roman" w:hAnsi="Times New Roman" w:cs="Times New Roman"/>
                <w:sz w:val="24"/>
                <w:szCs w:val="24"/>
              </w:rPr>
              <w:t>,</w:t>
            </w:r>
            <w:r w:rsidRPr="00980D5A">
              <w:rPr>
                <w:rFonts w:ascii="Times New Roman" w:hAnsi="Times New Roman" w:cs="Times New Roman"/>
                <w:sz w:val="24"/>
                <w:szCs w:val="24"/>
              </w:rPr>
              <w:t xml:space="preserve"> un saskaņā ar Latvijas Bankas likuma pārejas noteikumu 4. punktu Latvijas Banka ir Finanšu un kapitāla tirgus komisijas mantas, finanšu līdzekļu, tiesību un saistību pārņēmēja. Noteikumi izstrādāti ar mērķi nomainīt kompetento iestādi uz</w:t>
            </w:r>
            <w:r w:rsidRPr="00980D5A">
              <w:rPr>
                <w:rFonts w:ascii="Times New Roman" w:eastAsia="Times New Roman" w:hAnsi="Times New Roman" w:cs="Times New Roman"/>
                <w:sz w:val="24"/>
                <w:szCs w:val="24"/>
              </w:rPr>
              <w:t xml:space="preserve"> </w:t>
            </w:r>
            <w:r w:rsidR="006100BC" w:rsidRPr="00980D5A">
              <w:rPr>
                <w:rFonts w:ascii="Times New Roman" w:eastAsia="Times New Roman" w:hAnsi="Times New Roman" w:cs="Times New Roman"/>
                <w:sz w:val="24"/>
                <w:szCs w:val="24"/>
              </w:rPr>
              <w:t>Latvijas Bank</w:t>
            </w:r>
            <w:r w:rsidRPr="00980D5A">
              <w:rPr>
                <w:rFonts w:ascii="Times New Roman" w:eastAsia="Times New Roman" w:hAnsi="Times New Roman" w:cs="Times New Roman"/>
                <w:sz w:val="24"/>
                <w:szCs w:val="24"/>
              </w:rPr>
              <w:t>u</w:t>
            </w:r>
            <w:r w:rsidR="006100BC" w:rsidRPr="00980D5A">
              <w:rPr>
                <w:rFonts w:ascii="Times New Roman" w:eastAsia="Times New Roman" w:hAnsi="Times New Roman" w:cs="Times New Roman"/>
                <w:sz w:val="24"/>
                <w:szCs w:val="24"/>
              </w:rPr>
              <w:t xml:space="preserve">. </w:t>
            </w:r>
          </w:p>
        </w:tc>
      </w:tr>
      <w:tr w:rsidR="000B4E0A" w:rsidRPr="007E3AD3" w14:paraId="15284A24" w14:textId="77777777" w:rsidTr="00E253DA">
        <w:trPr>
          <w:trHeight w:val="567"/>
        </w:trPr>
        <w:tc>
          <w:tcPr>
            <w:tcW w:w="1796" w:type="pct"/>
            <w:shd w:val="clear" w:color="auto" w:fill="auto"/>
            <w:hideMark/>
          </w:tcPr>
          <w:p w14:paraId="15C82144"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Leģitīmais mērķis</w:t>
            </w:r>
          </w:p>
          <w:p w14:paraId="39B0EC0B"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4D5A2EC7" w14:textId="672499C3" w:rsidR="009C5241" w:rsidRPr="007E3AD3" w:rsidRDefault="009C5241" w:rsidP="007E3AD3">
            <w:pPr>
              <w:pStyle w:val="Subtitle"/>
              <w:spacing w:after="0" w:line="240" w:lineRule="auto"/>
              <w:rPr>
                <w:rFonts w:ascii="Times New Roman" w:hAnsi="Times New Roman" w:cs="Times New Roman"/>
                <w:b w:val="0"/>
                <w:lang w:val="lv-LV"/>
              </w:rPr>
            </w:pPr>
            <w:r w:rsidRPr="007E3AD3">
              <w:rPr>
                <w:rFonts w:ascii="Times New Roman" w:hAnsi="Times New Roman" w:cs="Times New Roman"/>
                <w:b w:val="0"/>
                <w:lang w:val="lv-LV"/>
              </w:rPr>
              <w:t>Eiropas Vērtspapīru un tirgu iestāde (turpmāk – ESMA) izstrādāja veidlap</w:t>
            </w:r>
            <w:r w:rsidR="0066676A">
              <w:rPr>
                <w:rFonts w:ascii="Times New Roman" w:hAnsi="Times New Roman" w:cs="Times New Roman"/>
                <w:b w:val="0"/>
                <w:lang w:val="lv-LV"/>
              </w:rPr>
              <w:t>u paziņojumam par izcelsmes dalībvalsti</w:t>
            </w:r>
            <w:r w:rsidRPr="007E3AD3">
              <w:rPr>
                <w:rFonts w:ascii="Times New Roman" w:hAnsi="Times New Roman" w:cs="Times New Roman"/>
                <w:b w:val="0"/>
                <w:lang w:val="lv-LV"/>
              </w:rPr>
              <w:t xml:space="preserve"> </w:t>
            </w:r>
            <w:r w:rsidRPr="007E3AD3">
              <w:rPr>
                <w:rFonts w:ascii="Times New Roman" w:hAnsi="Times New Roman" w:cs="Times New Roman"/>
                <w:b w:val="0"/>
                <w:i/>
                <w:lang w:val="lv-LV"/>
              </w:rPr>
              <w:t xml:space="preserve">Standard </w:t>
            </w:r>
            <w:proofErr w:type="spellStart"/>
            <w:r w:rsidRPr="007E3AD3">
              <w:rPr>
                <w:rFonts w:ascii="Times New Roman" w:hAnsi="Times New Roman" w:cs="Times New Roman"/>
                <w:b w:val="0"/>
                <w:i/>
                <w:lang w:val="lv-LV"/>
              </w:rPr>
              <w:t>form</w:t>
            </w:r>
            <w:proofErr w:type="spellEnd"/>
            <w:r w:rsidRPr="007E3AD3">
              <w:rPr>
                <w:rFonts w:ascii="Times New Roman" w:hAnsi="Times New Roman" w:cs="Times New Roman"/>
                <w:b w:val="0"/>
                <w:i/>
                <w:lang w:val="lv-LV"/>
              </w:rPr>
              <w:t xml:space="preserve"> </w:t>
            </w:r>
            <w:proofErr w:type="spellStart"/>
            <w:r w:rsidRPr="007E3AD3">
              <w:rPr>
                <w:rFonts w:ascii="Times New Roman" w:hAnsi="Times New Roman" w:cs="Times New Roman"/>
                <w:b w:val="0"/>
                <w:i/>
                <w:lang w:val="lv-LV"/>
              </w:rPr>
              <w:t>for</w:t>
            </w:r>
            <w:proofErr w:type="spellEnd"/>
            <w:r w:rsidRPr="007E3AD3">
              <w:rPr>
                <w:rFonts w:ascii="Times New Roman" w:hAnsi="Times New Roman" w:cs="Times New Roman"/>
                <w:b w:val="0"/>
                <w:i/>
                <w:lang w:val="lv-LV"/>
              </w:rPr>
              <w:t xml:space="preserve"> </w:t>
            </w:r>
            <w:proofErr w:type="spellStart"/>
            <w:r w:rsidRPr="007E3AD3">
              <w:rPr>
                <w:rFonts w:ascii="Times New Roman" w:hAnsi="Times New Roman" w:cs="Times New Roman"/>
                <w:b w:val="0"/>
                <w:i/>
                <w:lang w:val="lv-LV"/>
              </w:rPr>
              <w:t>the</w:t>
            </w:r>
            <w:proofErr w:type="spellEnd"/>
            <w:r w:rsidRPr="007E3AD3">
              <w:rPr>
                <w:rFonts w:ascii="Times New Roman" w:hAnsi="Times New Roman" w:cs="Times New Roman"/>
                <w:b w:val="0"/>
                <w:i/>
                <w:lang w:val="lv-LV"/>
              </w:rPr>
              <w:t xml:space="preserve"> </w:t>
            </w:r>
            <w:proofErr w:type="spellStart"/>
            <w:r w:rsidRPr="007E3AD3">
              <w:rPr>
                <w:rFonts w:ascii="Times New Roman" w:hAnsi="Times New Roman" w:cs="Times New Roman"/>
                <w:b w:val="0"/>
                <w:i/>
                <w:lang w:val="lv-LV"/>
              </w:rPr>
              <w:t>notification</w:t>
            </w:r>
            <w:proofErr w:type="spellEnd"/>
            <w:r w:rsidRPr="007E3AD3">
              <w:rPr>
                <w:rFonts w:ascii="Times New Roman" w:hAnsi="Times New Roman" w:cs="Times New Roman"/>
                <w:b w:val="0"/>
                <w:i/>
                <w:lang w:val="lv-LV"/>
              </w:rPr>
              <w:t xml:space="preserve"> </w:t>
            </w:r>
            <w:proofErr w:type="spellStart"/>
            <w:r w:rsidRPr="007E3AD3">
              <w:rPr>
                <w:rFonts w:ascii="Times New Roman" w:hAnsi="Times New Roman" w:cs="Times New Roman"/>
                <w:b w:val="0"/>
                <w:i/>
                <w:lang w:val="lv-LV"/>
              </w:rPr>
              <w:t>of</w:t>
            </w:r>
            <w:proofErr w:type="spellEnd"/>
            <w:r w:rsidRPr="007E3AD3">
              <w:rPr>
                <w:rFonts w:ascii="Times New Roman" w:hAnsi="Times New Roman" w:cs="Times New Roman"/>
                <w:b w:val="0"/>
                <w:i/>
                <w:lang w:val="lv-LV"/>
              </w:rPr>
              <w:t xml:space="preserve"> Home </w:t>
            </w:r>
            <w:proofErr w:type="spellStart"/>
            <w:r w:rsidRPr="007E3AD3">
              <w:rPr>
                <w:rFonts w:ascii="Times New Roman" w:hAnsi="Times New Roman" w:cs="Times New Roman"/>
                <w:b w:val="0"/>
                <w:i/>
                <w:lang w:val="lv-LV"/>
              </w:rPr>
              <w:t>Member</w:t>
            </w:r>
            <w:proofErr w:type="spellEnd"/>
            <w:r w:rsidRPr="007E3AD3">
              <w:rPr>
                <w:rFonts w:ascii="Times New Roman" w:hAnsi="Times New Roman" w:cs="Times New Roman"/>
                <w:b w:val="0"/>
                <w:i/>
                <w:lang w:val="lv-LV"/>
              </w:rPr>
              <w:t xml:space="preserve"> </w:t>
            </w:r>
            <w:proofErr w:type="spellStart"/>
            <w:r w:rsidRPr="007E3AD3">
              <w:rPr>
                <w:rFonts w:ascii="Times New Roman" w:hAnsi="Times New Roman" w:cs="Times New Roman"/>
                <w:b w:val="0"/>
                <w:i/>
                <w:lang w:val="lv-LV"/>
              </w:rPr>
              <w:t>State</w:t>
            </w:r>
            <w:proofErr w:type="spellEnd"/>
            <w:r w:rsidR="008E1230">
              <w:rPr>
                <w:rFonts w:ascii="Times New Roman" w:hAnsi="Times New Roman" w:cs="Times New Roman"/>
                <w:b w:val="0"/>
                <w:i/>
                <w:lang w:val="lv-LV"/>
              </w:rPr>
              <w:t xml:space="preserve"> </w:t>
            </w:r>
            <w:r w:rsidR="008E1230" w:rsidRPr="00F91A8F">
              <w:rPr>
                <w:rFonts w:ascii="Times New Roman" w:hAnsi="Times New Roman" w:cs="Times New Roman"/>
                <w:b w:val="0"/>
                <w:bCs/>
                <w:lang w:val="lv-LV"/>
              </w:rPr>
              <w:t xml:space="preserve">(22.10.2015., </w:t>
            </w:r>
            <w:proofErr w:type="spellStart"/>
            <w:r w:rsidR="008E1230" w:rsidRPr="00F91A8F">
              <w:rPr>
                <w:rFonts w:ascii="Times New Roman" w:hAnsi="Times New Roman" w:cs="Times New Roman"/>
                <w:b w:val="0"/>
                <w:bCs/>
                <w:lang w:val="lv-LV"/>
              </w:rPr>
              <w:t>ref</w:t>
            </w:r>
            <w:proofErr w:type="spellEnd"/>
            <w:r w:rsidR="008E1230" w:rsidRPr="00F91A8F">
              <w:rPr>
                <w:rFonts w:ascii="Times New Roman" w:hAnsi="Times New Roman" w:cs="Times New Roman"/>
                <w:b w:val="0"/>
                <w:bCs/>
                <w:lang w:val="lv-LV"/>
              </w:rPr>
              <w:t>: ESMA/2015/1596)</w:t>
            </w:r>
            <w:r w:rsidRPr="007E3AD3">
              <w:rPr>
                <w:rFonts w:ascii="Times New Roman" w:hAnsi="Times New Roman" w:cs="Times New Roman"/>
                <w:b w:val="0"/>
                <w:lang w:val="es-ES_tradnl"/>
              </w:rPr>
              <w:t>,</w:t>
            </w:r>
            <w:r w:rsidRPr="007E3AD3">
              <w:rPr>
                <w:rFonts w:ascii="Times New Roman" w:hAnsi="Times New Roman" w:cs="Times New Roman"/>
                <w:lang w:val="lv-LV"/>
              </w:rPr>
              <w:t xml:space="preserve"> </w:t>
            </w:r>
            <w:r w:rsidRPr="007E3AD3">
              <w:rPr>
                <w:rFonts w:ascii="Times New Roman" w:hAnsi="Times New Roman" w:cs="Times New Roman"/>
                <w:b w:val="0"/>
                <w:lang w:val="lv-LV"/>
              </w:rPr>
              <w:t xml:space="preserve">kuru </w:t>
            </w:r>
            <w:r w:rsidR="008F5F76" w:rsidRPr="007E3AD3">
              <w:rPr>
                <w:rFonts w:ascii="Times New Roman" w:hAnsi="Times New Roman" w:cs="Times New Roman"/>
                <w:b w:val="0"/>
                <w:lang w:val="lv-LV"/>
              </w:rPr>
              <w:t xml:space="preserve">emitents </w:t>
            </w:r>
            <w:r w:rsidRPr="007E3AD3">
              <w:rPr>
                <w:rFonts w:ascii="Times New Roman" w:hAnsi="Times New Roman" w:cs="Times New Roman"/>
                <w:b w:val="0"/>
                <w:lang w:val="lv-LV"/>
              </w:rPr>
              <w:t xml:space="preserve">var izmantot paziņojuma sniegšanai, aicinot dalībvalstis ESMA izstrādāto dokumentu piemērot arī nacionālā līmenī. </w:t>
            </w:r>
            <w:r w:rsidR="006E1383">
              <w:rPr>
                <w:rFonts w:ascii="Times New Roman" w:hAnsi="Times New Roman" w:cs="Times New Roman"/>
                <w:b w:val="0"/>
                <w:lang w:val="lv-LV"/>
              </w:rPr>
              <w:t xml:space="preserve">Veidlapas standarta forma pieejama interneta vietnes adresē: </w:t>
            </w:r>
            <w:hyperlink r:id="rId10" w:history="1">
              <w:r w:rsidR="006E1383" w:rsidRPr="006E1383">
                <w:rPr>
                  <w:rStyle w:val="Hyperlink"/>
                  <w:rFonts w:ascii="Times New Roman" w:hAnsi="Times New Roman" w:cs="Times New Roman"/>
                  <w:b w:val="0"/>
                  <w:bCs/>
                </w:rPr>
                <w:t>Standard form for disclosure of Home Member State (europa.eu)</w:t>
              </w:r>
            </w:hyperlink>
            <w:r w:rsidR="006E1383">
              <w:rPr>
                <w:rFonts w:ascii="Times New Roman" w:hAnsi="Times New Roman" w:cs="Times New Roman"/>
                <w:b w:val="0"/>
                <w:lang w:val="lv-LV"/>
              </w:rPr>
              <w:t>.</w:t>
            </w:r>
            <w:r w:rsidR="006E1383" w:rsidRPr="006E1383">
              <w:rPr>
                <w:rFonts w:ascii="Times New Roman" w:hAnsi="Times New Roman" w:cs="Times New Roman"/>
                <w:b w:val="0"/>
                <w:lang w:val="lv-LV"/>
              </w:rPr>
              <w:t xml:space="preserve"> </w:t>
            </w:r>
            <w:r w:rsidRPr="007E3AD3">
              <w:rPr>
                <w:rFonts w:ascii="Times New Roman" w:hAnsi="Times New Roman" w:cs="Times New Roman"/>
                <w:b w:val="0"/>
                <w:lang w:val="lv-LV"/>
              </w:rPr>
              <w:t xml:space="preserve">Lai dalībvalstīm sniegtu nepārprotamu informāciju par to, kāda informācija ietverama katrā no standarta veidlapas laukiem, ESMA veidlapai ir pievienojusi paskaidrojošās piezīmes ar papildu informāciju par attiecīgā veidlapas lauka aizpildīšanu.    </w:t>
            </w:r>
          </w:p>
          <w:p w14:paraId="686C2290" w14:textId="77777777" w:rsidR="009D1B13" w:rsidRPr="007E3AD3" w:rsidRDefault="009D1B13" w:rsidP="007E3AD3">
            <w:pPr>
              <w:spacing w:line="240" w:lineRule="auto"/>
              <w:contextualSpacing/>
              <w:jc w:val="both"/>
              <w:rPr>
                <w:rFonts w:ascii="Times New Roman" w:hAnsi="Times New Roman" w:cs="Times New Roman"/>
                <w:sz w:val="24"/>
                <w:szCs w:val="24"/>
              </w:rPr>
            </w:pPr>
          </w:p>
          <w:p w14:paraId="00D3F6E1" w14:textId="10B70FEB" w:rsidR="009D1B13" w:rsidRDefault="009D1B13" w:rsidP="007E3AD3">
            <w:pPr>
              <w:spacing w:line="240" w:lineRule="auto"/>
              <w:contextualSpacing/>
              <w:jc w:val="both"/>
              <w:rPr>
                <w:rFonts w:ascii="Times New Roman" w:hAnsi="Times New Roman" w:cs="Times New Roman"/>
                <w:sz w:val="24"/>
                <w:szCs w:val="24"/>
              </w:rPr>
            </w:pPr>
            <w:r w:rsidRPr="007E3AD3">
              <w:rPr>
                <w:rFonts w:ascii="Times New Roman" w:hAnsi="Times New Roman" w:cs="Times New Roman"/>
                <w:sz w:val="24"/>
                <w:szCs w:val="24"/>
              </w:rPr>
              <w:t xml:space="preserve">Tā kā ESMA izstrādātā veidlapas standarta forma nav piemērojama tiešā veidā Latvijā, ESMA izstrādāto veidlapas standarta formu nepieciešams apstiprināt ar </w:t>
            </w:r>
            <w:r w:rsidR="00980D5A">
              <w:rPr>
                <w:rFonts w:ascii="Times New Roman" w:hAnsi="Times New Roman" w:cs="Times New Roman"/>
                <w:sz w:val="24"/>
                <w:szCs w:val="24"/>
              </w:rPr>
              <w:t>Latvijas Bankas</w:t>
            </w:r>
            <w:r w:rsidRPr="007E3AD3">
              <w:rPr>
                <w:rFonts w:ascii="Times New Roman" w:hAnsi="Times New Roman" w:cs="Times New Roman"/>
                <w:sz w:val="24"/>
                <w:szCs w:val="24"/>
              </w:rPr>
              <w:t xml:space="preserve"> noteikumiem, lai nodrošinātu, ka ikviens emitents, kurš saskaņā ar Finanšu instrumentu tirgus likuma 3.</w:t>
            </w:r>
            <w:r w:rsidRPr="007E3AD3">
              <w:rPr>
                <w:rFonts w:ascii="Times New Roman" w:hAnsi="Times New Roman" w:cs="Times New Roman"/>
                <w:sz w:val="24"/>
                <w:szCs w:val="24"/>
                <w:vertAlign w:val="superscript"/>
              </w:rPr>
              <w:t>1</w:t>
            </w:r>
            <w:r w:rsidRPr="007E3AD3">
              <w:rPr>
                <w:rFonts w:ascii="Times New Roman" w:hAnsi="Times New Roman" w:cs="Times New Roman"/>
                <w:sz w:val="24"/>
                <w:szCs w:val="24"/>
              </w:rPr>
              <w:t xml:space="preserve"> pantu ziņo informāciju par savu izcelsmes dalībvalsti, tai skaitā maina to, sniegto informāciju sagatavo atbilstoši noteiktai formai, ietverot visu veidlapā prasīto informāciju. </w:t>
            </w:r>
          </w:p>
          <w:p w14:paraId="59EA71ED" w14:textId="77777777" w:rsidR="00980D5A" w:rsidRPr="007E3AD3" w:rsidRDefault="00980D5A" w:rsidP="007E3AD3">
            <w:pPr>
              <w:spacing w:line="240" w:lineRule="auto"/>
              <w:contextualSpacing/>
              <w:jc w:val="both"/>
              <w:rPr>
                <w:rFonts w:ascii="Times New Roman" w:hAnsi="Times New Roman" w:cs="Times New Roman"/>
                <w:sz w:val="24"/>
                <w:szCs w:val="24"/>
              </w:rPr>
            </w:pPr>
          </w:p>
          <w:p w14:paraId="535C40A1" w14:textId="0A49658C" w:rsidR="00E53DE9" w:rsidRPr="007E3AD3" w:rsidRDefault="00303A70" w:rsidP="007E3AD3">
            <w:pPr>
              <w:spacing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rPr>
              <w:t>Ar Latvijas Bankas</w:t>
            </w:r>
            <w:r w:rsidR="009D1B13" w:rsidRPr="007E3AD3">
              <w:rPr>
                <w:rFonts w:ascii="Times New Roman" w:eastAsia="Times New Roman" w:hAnsi="Times New Roman" w:cs="Times New Roman"/>
                <w:sz w:val="24"/>
                <w:szCs w:val="24"/>
              </w:rPr>
              <w:t xml:space="preserve"> noteikumiem apstiprinot paziņojumam izmantojamo veidlapu, tiek veicināta emitentu sniegtās informācijas vienveidība un tiek veicināta arī ieguldītāju vienota izpratne par katra emitenta sniegto informāciju, </w:t>
            </w:r>
            <w:r w:rsidR="009D1B13" w:rsidRPr="007E3AD3">
              <w:rPr>
                <w:rFonts w:ascii="Times New Roman" w:eastAsia="Times New Roman" w:hAnsi="Times New Roman" w:cs="Times New Roman"/>
                <w:sz w:val="24"/>
                <w:szCs w:val="24"/>
              </w:rPr>
              <w:lastRenderedPageBreak/>
              <w:t xml:space="preserve">radot tiem skaidru un nepārprotamu izpratni par emitenta izvēli attiecībā uz tā izcelsmes dalībvalsti un dalībvalstīm, kurās emitenta pārvedamie vērtspapīri iekļauti regulētā tirgū, kas nodrošina </w:t>
            </w:r>
            <w:r>
              <w:rPr>
                <w:rFonts w:ascii="Times New Roman" w:eastAsia="Times New Roman" w:hAnsi="Times New Roman" w:cs="Times New Roman"/>
                <w:sz w:val="24"/>
                <w:szCs w:val="24"/>
              </w:rPr>
              <w:t>Latvijas Bankai</w:t>
            </w:r>
            <w:r w:rsidR="009D1B13" w:rsidRPr="007E3A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Latvijas Bankas</w:t>
            </w:r>
            <w:r w:rsidR="009D1B13" w:rsidRPr="007E3AD3">
              <w:rPr>
                <w:rFonts w:ascii="Times New Roman" w:eastAsia="Times New Roman" w:hAnsi="Times New Roman" w:cs="Times New Roman"/>
                <w:sz w:val="24"/>
                <w:szCs w:val="24"/>
              </w:rPr>
              <w:t xml:space="preserve"> likumā noteikto pienākumu izpildi, lai sasniegtu tās darbības mērķi – veicināt ieguldītāju aizsardzību un arī vienlīdzīgas informācijas sniegšanu ieguldītājiem.   </w:t>
            </w:r>
          </w:p>
        </w:tc>
      </w:tr>
      <w:tr w:rsidR="000B4E0A" w:rsidRPr="007E3AD3" w14:paraId="60B53C22" w14:textId="77777777" w:rsidTr="00E253DA">
        <w:trPr>
          <w:trHeight w:val="567"/>
        </w:trPr>
        <w:tc>
          <w:tcPr>
            <w:tcW w:w="1796" w:type="pct"/>
            <w:shd w:val="clear" w:color="auto" w:fill="auto"/>
            <w:hideMark/>
          </w:tcPr>
          <w:p w14:paraId="45B0FEE6"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lastRenderedPageBreak/>
              <w:t>Samērīgums</w:t>
            </w:r>
          </w:p>
          <w:p w14:paraId="322FA3C2"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6E023453" w14:textId="77777777" w:rsidR="00E53DE9" w:rsidRPr="007E3AD3" w:rsidRDefault="001B497D" w:rsidP="00833721">
            <w:pPr>
              <w:spacing w:after="0" w:line="240" w:lineRule="auto"/>
              <w:contextualSpacing/>
              <w:jc w:val="both"/>
              <w:rPr>
                <w:rFonts w:ascii="Times New Roman" w:eastAsia="Times New Roman" w:hAnsi="Times New Roman" w:cs="Times New Roman"/>
                <w:sz w:val="24"/>
                <w:szCs w:val="24"/>
              </w:rPr>
            </w:pPr>
            <w:r w:rsidRPr="007E3AD3">
              <w:rPr>
                <w:rFonts w:ascii="Times New Roman" w:eastAsia="Times New Roman" w:hAnsi="Times New Roman" w:cs="Times New Roman"/>
                <w:sz w:val="24"/>
                <w:szCs w:val="24"/>
              </w:rPr>
              <w:t>Izdodot noteikumus un ar tiem apstiprinot standarta veidlapu informācijas par izcelsmes dalībvalsti paziņošanai, tiek nodrošināts, ka emitents paziņojumā ietver ieguldītājiem būtisko informāciju, emitentu sniegtā informācija ir konsekventa un sniedz ieguldītājiem skaidru priekšstatu par emitenta izvēli un tā vērtspapīriem, kas iekļauti regulētā tirgū.</w:t>
            </w:r>
          </w:p>
          <w:p w14:paraId="68AA1A06" w14:textId="0F503607" w:rsidR="001B497D" w:rsidRPr="007E3AD3" w:rsidRDefault="001B497D" w:rsidP="00833721">
            <w:pPr>
              <w:spacing w:after="0" w:line="240" w:lineRule="auto"/>
              <w:contextualSpacing/>
              <w:jc w:val="both"/>
              <w:rPr>
                <w:rFonts w:ascii="Times New Roman" w:eastAsia="Times New Roman" w:hAnsi="Times New Roman" w:cs="Times New Roman"/>
                <w:sz w:val="24"/>
                <w:szCs w:val="24"/>
                <w:lang w:eastAsia="lv-LV"/>
              </w:rPr>
            </w:pPr>
            <w:r w:rsidRPr="007E3AD3">
              <w:rPr>
                <w:rFonts w:ascii="Times New Roman" w:eastAsia="Times New Roman" w:hAnsi="Times New Roman" w:cs="Times New Roman"/>
                <w:sz w:val="24"/>
                <w:szCs w:val="24"/>
              </w:rPr>
              <w:t>Atbilstošākais veids, kā noteikt tirgus dalībniekiem vienotas un saistošas prasības, ir izdot tiem saistošu</w:t>
            </w:r>
            <w:r w:rsidR="00E75385">
              <w:rPr>
                <w:rFonts w:ascii="Times New Roman" w:eastAsia="Times New Roman" w:hAnsi="Times New Roman" w:cs="Times New Roman"/>
                <w:sz w:val="24"/>
                <w:szCs w:val="24"/>
              </w:rPr>
              <w:t xml:space="preserve">s </w:t>
            </w:r>
            <w:r w:rsidR="00412157">
              <w:rPr>
                <w:rFonts w:ascii="Times New Roman" w:eastAsia="Times New Roman" w:hAnsi="Times New Roman" w:cs="Times New Roman"/>
                <w:sz w:val="24"/>
                <w:szCs w:val="24"/>
              </w:rPr>
              <w:t>no</w:t>
            </w:r>
            <w:r w:rsidRPr="007E3AD3">
              <w:rPr>
                <w:rFonts w:ascii="Times New Roman" w:eastAsia="Times New Roman" w:hAnsi="Times New Roman" w:cs="Times New Roman"/>
                <w:sz w:val="24"/>
                <w:szCs w:val="24"/>
              </w:rPr>
              <w:t>teikumus. Citas alternatīvas jautājuma noregulēšanai un vienotu prasību noteikšanai nebūtu efektīvas un nesasniegtu izvirzīto mērķi, jo nenodrošinātu vienveidīgu piemērošanu</w:t>
            </w:r>
            <w:r w:rsidR="00636430">
              <w:rPr>
                <w:rFonts w:ascii="Times New Roman" w:eastAsia="Times New Roman" w:hAnsi="Times New Roman" w:cs="Times New Roman"/>
                <w:sz w:val="24"/>
                <w:szCs w:val="24"/>
              </w:rPr>
              <w:t>.</w:t>
            </w:r>
          </w:p>
        </w:tc>
      </w:tr>
      <w:tr w:rsidR="000B4E0A" w:rsidRPr="007E3AD3" w14:paraId="3553BA98" w14:textId="77777777" w:rsidTr="00E253DA">
        <w:trPr>
          <w:trHeight w:val="567"/>
        </w:trPr>
        <w:tc>
          <w:tcPr>
            <w:tcW w:w="1796" w:type="pct"/>
            <w:shd w:val="clear" w:color="auto" w:fill="auto"/>
            <w:hideMark/>
          </w:tcPr>
          <w:p w14:paraId="23D0CA08"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Spēkā stāšanās</w:t>
            </w:r>
          </w:p>
          <w:p w14:paraId="1BE35B0B"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7C286911" w14:textId="36914C66" w:rsidR="00CA28AB" w:rsidRPr="007E3AD3" w:rsidRDefault="00C75E42" w:rsidP="00C75E42">
            <w:pPr>
              <w:spacing w:after="0" w:line="240" w:lineRule="auto"/>
              <w:contextualSpacing/>
              <w:jc w:val="both"/>
              <w:rPr>
                <w:rFonts w:ascii="Times New Roman" w:eastAsia="Times New Roman" w:hAnsi="Times New Roman" w:cs="Times New Roman"/>
                <w:sz w:val="24"/>
                <w:szCs w:val="24"/>
                <w:lang w:eastAsia="lv-LV"/>
              </w:rPr>
            </w:pPr>
            <w:r w:rsidRPr="00C75E42">
              <w:rPr>
                <w:rFonts w:ascii="Times New Roman" w:eastAsia="Times New Roman" w:hAnsi="Times New Roman" w:cs="Times New Roman"/>
                <w:sz w:val="24"/>
                <w:szCs w:val="24"/>
                <w:lang w:eastAsia="lv-LV"/>
              </w:rPr>
              <w:t>Nākamajā dienā pēc publicēšanas oficiālajā izdevumā "Latvijas Vēstnesis"</w:t>
            </w:r>
            <w:r w:rsidR="00636430">
              <w:rPr>
                <w:rFonts w:ascii="Times New Roman" w:eastAsia="Times New Roman" w:hAnsi="Times New Roman" w:cs="Times New Roman"/>
                <w:sz w:val="24"/>
                <w:szCs w:val="24"/>
                <w:lang w:eastAsia="lv-LV"/>
              </w:rPr>
              <w:t>.</w:t>
            </w:r>
          </w:p>
        </w:tc>
      </w:tr>
      <w:tr w:rsidR="000B4E0A" w:rsidRPr="007E3AD3" w14:paraId="008640AF" w14:textId="77777777" w:rsidTr="00E253DA">
        <w:trPr>
          <w:trHeight w:val="567"/>
        </w:trPr>
        <w:tc>
          <w:tcPr>
            <w:tcW w:w="1796" w:type="pct"/>
            <w:shd w:val="clear" w:color="auto" w:fill="auto"/>
            <w:hideMark/>
          </w:tcPr>
          <w:p w14:paraId="682A3827"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Ietekme uz Latvijas Bankas budžetu</w:t>
            </w:r>
          </w:p>
          <w:p w14:paraId="36B90F54"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748DD737" w14:textId="7E4EF81C" w:rsidR="00E53DE9" w:rsidRPr="007E3AD3" w:rsidRDefault="00A44FE5" w:rsidP="007E3AD3">
            <w:pPr>
              <w:spacing w:after="0" w:line="240" w:lineRule="auto"/>
              <w:contextualSpacing/>
              <w:rPr>
                <w:rFonts w:ascii="Times New Roman" w:eastAsia="Times New Roman" w:hAnsi="Times New Roman" w:cs="Times New Roman"/>
                <w:sz w:val="24"/>
                <w:szCs w:val="24"/>
                <w:lang w:eastAsia="lv-LV"/>
              </w:rPr>
            </w:pPr>
            <w:r w:rsidRPr="007E3AD3">
              <w:rPr>
                <w:rFonts w:ascii="Times New Roman" w:eastAsia="Times New Roman" w:hAnsi="Times New Roman" w:cs="Times New Roman"/>
                <w:sz w:val="24"/>
                <w:szCs w:val="24"/>
                <w:lang w:eastAsia="lv-LV"/>
              </w:rPr>
              <w:t>Nav ietekmes</w:t>
            </w:r>
            <w:r w:rsidR="00636430">
              <w:rPr>
                <w:rFonts w:ascii="Times New Roman" w:eastAsia="Times New Roman" w:hAnsi="Times New Roman" w:cs="Times New Roman"/>
                <w:sz w:val="24"/>
                <w:szCs w:val="24"/>
                <w:lang w:eastAsia="lv-LV"/>
              </w:rPr>
              <w:t>.</w:t>
            </w:r>
          </w:p>
        </w:tc>
      </w:tr>
      <w:tr w:rsidR="003F4A3C" w:rsidRPr="007E3AD3" w14:paraId="4B89B99F" w14:textId="77777777" w:rsidTr="00E253DA">
        <w:trPr>
          <w:trHeight w:val="567"/>
        </w:trPr>
        <w:tc>
          <w:tcPr>
            <w:tcW w:w="1796" w:type="pct"/>
            <w:shd w:val="clear" w:color="auto" w:fill="auto"/>
            <w:hideMark/>
          </w:tcPr>
          <w:p w14:paraId="396C3C09" w14:textId="77777777" w:rsidR="003F4A3C" w:rsidRPr="007E3AD3" w:rsidRDefault="003F4A3C" w:rsidP="003F4A3C">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Administratīvā sloga un izmaksu novērtējums (tirgus dalībniekiem)</w:t>
            </w:r>
          </w:p>
          <w:p w14:paraId="08480389" w14:textId="77777777" w:rsidR="003F4A3C" w:rsidRPr="007E3AD3" w:rsidRDefault="003F4A3C" w:rsidP="003F4A3C">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4DBC4AAD" w14:textId="7F2CB334" w:rsidR="003F4A3C" w:rsidRPr="007E3AD3" w:rsidRDefault="003F4A3C" w:rsidP="003F4A3C">
            <w:pPr>
              <w:spacing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papildu administratīvo slogu nerada</w:t>
            </w:r>
            <w:r w:rsidR="00F91A8F">
              <w:rPr>
                <w:rFonts w:ascii="Times New Roman" w:eastAsia="Times New Roman" w:hAnsi="Times New Roman" w:cs="Times New Roman"/>
                <w:sz w:val="24"/>
                <w:szCs w:val="24"/>
                <w:lang w:eastAsia="lv-LV"/>
              </w:rPr>
              <w:t>, jo līdzīgi noteikumi ir spēkā šobrīd</w:t>
            </w:r>
            <w:r w:rsidR="00636430">
              <w:rPr>
                <w:rFonts w:ascii="Times New Roman" w:eastAsia="Times New Roman" w:hAnsi="Times New Roman" w:cs="Times New Roman"/>
                <w:sz w:val="24"/>
                <w:szCs w:val="24"/>
                <w:lang w:eastAsia="lv-LV"/>
              </w:rPr>
              <w:t>.</w:t>
            </w:r>
          </w:p>
        </w:tc>
      </w:tr>
      <w:tr w:rsidR="000B4E0A" w:rsidRPr="007E3AD3" w14:paraId="7696D7B9" w14:textId="77777777" w:rsidTr="00E253DA">
        <w:trPr>
          <w:trHeight w:val="567"/>
        </w:trPr>
        <w:tc>
          <w:tcPr>
            <w:tcW w:w="1796" w:type="pct"/>
            <w:shd w:val="clear" w:color="auto" w:fill="auto"/>
            <w:hideMark/>
          </w:tcPr>
          <w:p w14:paraId="7DA2DC61"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Saistītie dokumenti</w:t>
            </w:r>
          </w:p>
          <w:p w14:paraId="6BED6A59"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0E15D4F1" w14:textId="70E3BD09" w:rsidR="00E53DE9" w:rsidRPr="007E3AD3" w:rsidRDefault="00F91A8F" w:rsidP="0098552D">
            <w:pPr>
              <w:spacing w:after="0" w:line="240" w:lineRule="auto"/>
              <w:contextualSpacing/>
              <w:jc w:val="both"/>
              <w:rPr>
                <w:rFonts w:ascii="Times New Roman" w:eastAsia="Times New Roman" w:hAnsi="Times New Roman" w:cs="Times New Roman"/>
                <w:sz w:val="24"/>
                <w:szCs w:val="24"/>
                <w:lang w:eastAsia="lv-LV"/>
              </w:rPr>
            </w:pPr>
            <w:r w:rsidRPr="00F91A8F">
              <w:rPr>
                <w:rFonts w:ascii="Times New Roman" w:eastAsia="Times New Roman" w:hAnsi="Times New Roman" w:cs="Times New Roman"/>
                <w:sz w:val="24"/>
                <w:szCs w:val="24"/>
                <w:lang w:eastAsia="lv-LV"/>
              </w:rPr>
              <w:t>Finanšu un kapitāla tirgus komisijas 2020.</w:t>
            </w:r>
            <w:r>
              <w:rPr>
                <w:rFonts w:ascii="Times New Roman" w:eastAsia="Times New Roman" w:hAnsi="Times New Roman" w:cs="Times New Roman"/>
                <w:sz w:val="24"/>
                <w:szCs w:val="24"/>
                <w:lang w:eastAsia="lv-LV"/>
              </w:rPr>
              <w:t> </w:t>
            </w:r>
            <w:r w:rsidRPr="00F91A8F">
              <w:rPr>
                <w:rFonts w:ascii="Times New Roman" w:eastAsia="Times New Roman" w:hAnsi="Times New Roman" w:cs="Times New Roman"/>
                <w:sz w:val="24"/>
                <w:szCs w:val="24"/>
                <w:lang w:eastAsia="lv-LV"/>
              </w:rPr>
              <w:t>gada 15.</w:t>
            </w:r>
            <w:r>
              <w:rPr>
                <w:rFonts w:ascii="Times New Roman" w:eastAsia="Times New Roman" w:hAnsi="Times New Roman" w:cs="Times New Roman"/>
                <w:sz w:val="24"/>
                <w:szCs w:val="24"/>
                <w:lang w:eastAsia="lv-LV"/>
              </w:rPr>
              <w:t> </w:t>
            </w:r>
            <w:r w:rsidRPr="00F91A8F">
              <w:rPr>
                <w:rFonts w:ascii="Times New Roman" w:eastAsia="Times New Roman" w:hAnsi="Times New Roman" w:cs="Times New Roman"/>
                <w:sz w:val="24"/>
                <w:szCs w:val="24"/>
                <w:lang w:eastAsia="lv-LV"/>
              </w:rPr>
              <w:t>septembra normatīv</w:t>
            </w:r>
            <w:r>
              <w:rPr>
                <w:rFonts w:ascii="Times New Roman" w:eastAsia="Times New Roman" w:hAnsi="Times New Roman" w:cs="Times New Roman"/>
                <w:sz w:val="24"/>
                <w:szCs w:val="24"/>
                <w:lang w:eastAsia="lv-LV"/>
              </w:rPr>
              <w:t>ie</w:t>
            </w:r>
            <w:r w:rsidRPr="00F91A8F">
              <w:rPr>
                <w:rFonts w:ascii="Times New Roman" w:eastAsia="Times New Roman" w:hAnsi="Times New Roman" w:cs="Times New Roman"/>
                <w:sz w:val="24"/>
                <w:szCs w:val="24"/>
                <w:lang w:eastAsia="lv-LV"/>
              </w:rPr>
              <w:t xml:space="preserve"> noteikum</w:t>
            </w:r>
            <w:r>
              <w:rPr>
                <w:rFonts w:ascii="Times New Roman" w:eastAsia="Times New Roman" w:hAnsi="Times New Roman" w:cs="Times New Roman"/>
                <w:sz w:val="24"/>
                <w:szCs w:val="24"/>
                <w:lang w:eastAsia="lv-LV"/>
              </w:rPr>
              <w:t>i</w:t>
            </w:r>
            <w:r w:rsidRPr="00F91A8F">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Pr="00F91A8F">
              <w:rPr>
                <w:rFonts w:ascii="Times New Roman" w:eastAsia="Times New Roman" w:hAnsi="Times New Roman" w:cs="Times New Roman"/>
                <w:sz w:val="24"/>
                <w:szCs w:val="24"/>
                <w:lang w:eastAsia="lv-LV"/>
              </w:rPr>
              <w:t>151 "Paziņojuma par izcelsmes dalībvalsti veidlapas parauga apstiprināšanas normatīvie noteikumi"</w:t>
            </w:r>
            <w:r w:rsidR="00636430">
              <w:rPr>
                <w:rFonts w:ascii="Times New Roman" w:eastAsia="Times New Roman" w:hAnsi="Times New Roman" w:cs="Times New Roman"/>
                <w:sz w:val="24"/>
                <w:szCs w:val="24"/>
                <w:lang w:eastAsia="lv-LV"/>
              </w:rPr>
              <w:t>.</w:t>
            </w:r>
          </w:p>
        </w:tc>
      </w:tr>
      <w:tr w:rsidR="000B4E0A" w:rsidRPr="007E3AD3" w14:paraId="38B9277B" w14:textId="77777777" w:rsidTr="00E253DA">
        <w:trPr>
          <w:trHeight w:val="567"/>
        </w:trPr>
        <w:tc>
          <w:tcPr>
            <w:tcW w:w="1796" w:type="pct"/>
            <w:shd w:val="clear" w:color="auto" w:fill="auto"/>
            <w:hideMark/>
          </w:tcPr>
          <w:p w14:paraId="13DEBA90"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Saskaņošana ar Eiropas Centrālo banku</w:t>
            </w:r>
          </w:p>
          <w:p w14:paraId="62A7DE95"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5D12E3C7" w14:textId="0E3765F4" w:rsidR="00A42788" w:rsidRPr="007E3AD3" w:rsidRDefault="00420775" w:rsidP="007E3AD3">
            <w:pPr>
              <w:spacing w:after="0" w:line="240" w:lineRule="auto"/>
              <w:contextualSpacing/>
              <w:rPr>
                <w:rFonts w:ascii="Times New Roman" w:eastAsia="Times New Roman" w:hAnsi="Times New Roman" w:cs="Times New Roman"/>
                <w:sz w:val="24"/>
                <w:szCs w:val="24"/>
                <w:lang w:eastAsia="lv-LV"/>
              </w:rPr>
            </w:pPr>
            <w:r w:rsidRPr="007E3AD3">
              <w:rPr>
                <w:rFonts w:ascii="Times New Roman" w:eastAsia="Times New Roman" w:hAnsi="Times New Roman" w:cs="Times New Roman"/>
                <w:sz w:val="24"/>
                <w:szCs w:val="24"/>
                <w:lang w:eastAsia="lv-LV"/>
              </w:rPr>
              <w:t>Nav attiecināms</w:t>
            </w:r>
            <w:r w:rsidR="00636430">
              <w:rPr>
                <w:rFonts w:ascii="Times New Roman" w:eastAsia="Times New Roman" w:hAnsi="Times New Roman" w:cs="Times New Roman"/>
                <w:sz w:val="24"/>
                <w:szCs w:val="24"/>
                <w:lang w:eastAsia="lv-LV"/>
              </w:rPr>
              <w:t>.</w:t>
            </w:r>
          </w:p>
        </w:tc>
      </w:tr>
      <w:tr w:rsidR="000B4E0A" w:rsidRPr="007E3AD3" w14:paraId="124D76DC" w14:textId="77777777" w:rsidTr="00E253DA">
        <w:trPr>
          <w:trHeight w:val="567"/>
        </w:trPr>
        <w:tc>
          <w:tcPr>
            <w:tcW w:w="1796" w:type="pct"/>
            <w:shd w:val="clear" w:color="auto" w:fill="auto"/>
            <w:hideMark/>
          </w:tcPr>
          <w:p w14:paraId="322C5986"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bookmarkStart w:id="0" w:name="_Hlk128555734"/>
            <w:r w:rsidRPr="007E3AD3">
              <w:rPr>
                <w:rFonts w:ascii="Times New Roman" w:eastAsia="Times New Roman" w:hAnsi="Times New Roman" w:cs="Times New Roman"/>
                <w:b/>
                <w:bCs/>
                <w:sz w:val="24"/>
                <w:szCs w:val="24"/>
                <w:lang w:eastAsia="lv-LV"/>
              </w:rPr>
              <w:t>Saskaņošana ar citām publiskām un privātām personām</w:t>
            </w:r>
          </w:p>
          <w:bookmarkEnd w:id="0"/>
          <w:p w14:paraId="6A733A3A"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618DA706" w14:textId="7F878CF4" w:rsidR="00E53DE9" w:rsidRPr="007E3AD3" w:rsidRDefault="00F52CAF" w:rsidP="00636430">
            <w:pPr>
              <w:pStyle w:val="pf0"/>
            </w:pPr>
            <w:r w:rsidRPr="0059501F">
              <w:rPr>
                <w:rStyle w:val="cf01"/>
                <w:rFonts w:ascii="Times New Roman" w:hAnsi="Times New Roman" w:cs="Times New Roman"/>
                <w:i w:val="0"/>
                <w:iCs w:val="0"/>
                <w:sz w:val="24"/>
                <w:szCs w:val="24"/>
              </w:rPr>
              <w:t xml:space="preserve">Noteikumu projekts tiks publicēts Latvijas Bankas tīmekļvietnes </w:t>
            </w:r>
            <w:hyperlink r:id="rId11" w:history="1">
              <w:r w:rsidRPr="0059501F">
                <w:rPr>
                  <w:rStyle w:val="cf01"/>
                  <w:rFonts w:ascii="Times New Roman" w:hAnsi="Times New Roman" w:cs="Times New Roman"/>
                  <w:i w:val="0"/>
                  <w:iCs w:val="0"/>
                  <w:color w:val="0000FF"/>
                  <w:sz w:val="24"/>
                  <w:szCs w:val="24"/>
                  <w:u w:val="single"/>
                </w:rPr>
                <w:t>www.bank.lv</w:t>
              </w:r>
            </w:hyperlink>
            <w:r w:rsidRPr="0059501F">
              <w:rPr>
                <w:rStyle w:val="cf01"/>
                <w:rFonts w:ascii="Times New Roman" w:hAnsi="Times New Roman" w:cs="Times New Roman"/>
                <w:i w:val="0"/>
                <w:iCs w:val="0"/>
                <w:sz w:val="24"/>
                <w:szCs w:val="24"/>
              </w:rPr>
              <w:t xml:space="preserve"> sadaļā "Sabiedrības līdzdalība", un par to būs iespējama sabiedrības līdzdalība</w:t>
            </w:r>
            <w:r w:rsidR="00636430">
              <w:rPr>
                <w:rStyle w:val="cf01"/>
                <w:rFonts w:ascii="Times New Roman" w:hAnsi="Times New Roman" w:cs="Times New Roman"/>
                <w:i w:val="0"/>
                <w:iCs w:val="0"/>
                <w:sz w:val="24"/>
                <w:szCs w:val="24"/>
              </w:rPr>
              <w:t>.</w:t>
            </w:r>
          </w:p>
        </w:tc>
      </w:tr>
      <w:tr w:rsidR="000B4E0A" w:rsidRPr="007E3AD3" w14:paraId="29FC9D15" w14:textId="77777777" w:rsidTr="00E253DA">
        <w:trPr>
          <w:trHeight w:val="567"/>
        </w:trPr>
        <w:tc>
          <w:tcPr>
            <w:tcW w:w="1796" w:type="pct"/>
            <w:shd w:val="clear" w:color="auto" w:fill="auto"/>
            <w:hideMark/>
          </w:tcPr>
          <w:p w14:paraId="40D59C0E"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Saskaņošanas rezultāti</w:t>
            </w:r>
          </w:p>
          <w:p w14:paraId="5DD09F86"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2784BABD" w14:textId="13355195" w:rsidR="00E53DE9" w:rsidRPr="007E3AD3" w:rsidRDefault="00AA0AE0" w:rsidP="007E3AD3">
            <w:pPr>
              <w:spacing w:after="0" w:line="240" w:lineRule="auto"/>
              <w:contextualSpacing/>
              <w:rPr>
                <w:rFonts w:ascii="Times New Roman" w:eastAsia="Times New Roman" w:hAnsi="Times New Roman" w:cs="Times New Roman"/>
                <w:sz w:val="24"/>
                <w:szCs w:val="24"/>
                <w:lang w:eastAsia="lv-LV"/>
              </w:rPr>
            </w:pPr>
            <w:r w:rsidRPr="00AA0AE0">
              <w:rPr>
                <w:rFonts w:ascii="Times New Roman" w:eastAsia="Times New Roman" w:hAnsi="Times New Roman" w:cs="Times New Roman"/>
                <w:sz w:val="24"/>
                <w:szCs w:val="24"/>
                <w:lang w:eastAsia="lv-LV"/>
              </w:rPr>
              <w:t>Tiks aktualizēts pēc sabiedrības līdzdalības noslēguma</w:t>
            </w:r>
            <w:r w:rsidR="00636430">
              <w:rPr>
                <w:rFonts w:ascii="Times New Roman" w:eastAsia="Times New Roman" w:hAnsi="Times New Roman" w:cs="Times New Roman"/>
                <w:sz w:val="24"/>
                <w:szCs w:val="24"/>
                <w:lang w:eastAsia="lv-LV"/>
              </w:rPr>
              <w:t>.</w:t>
            </w:r>
          </w:p>
        </w:tc>
      </w:tr>
    </w:tbl>
    <w:p w14:paraId="5B22FFDA" w14:textId="77777777" w:rsidR="009B27BE" w:rsidRPr="007E3AD3" w:rsidRDefault="009B27BE" w:rsidP="007E3AD3">
      <w:pPr>
        <w:spacing w:after="0" w:line="240" w:lineRule="auto"/>
        <w:contextualSpacing/>
        <w:rPr>
          <w:rFonts w:ascii="Times New Roman" w:hAnsi="Times New Roman" w:cs="Times New Roman"/>
          <w:sz w:val="24"/>
          <w:szCs w:val="24"/>
        </w:rPr>
      </w:pPr>
    </w:p>
    <w:p w14:paraId="68BE2423" w14:textId="77777777" w:rsidR="00E53DE9" w:rsidRPr="007E3AD3" w:rsidRDefault="00E53DE9" w:rsidP="007E3AD3">
      <w:pPr>
        <w:spacing w:after="0" w:line="240" w:lineRule="auto"/>
        <w:contextualSpacing/>
        <w:rPr>
          <w:rFonts w:ascii="Times New Roman" w:hAnsi="Times New Roman" w:cs="Times New Roman"/>
          <w:sz w:val="24"/>
          <w:szCs w:val="24"/>
        </w:rPr>
      </w:pPr>
    </w:p>
    <w:sectPr w:rsidR="00E53DE9" w:rsidRPr="007E3AD3" w:rsidSect="007E313B">
      <w:headerReference w:type="default" r:id="rId12"/>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4E9AF" w14:textId="77777777" w:rsidR="006F48AA" w:rsidRDefault="006F48AA" w:rsidP="009B27BE">
      <w:pPr>
        <w:spacing w:after="0" w:line="240" w:lineRule="auto"/>
      </w:pPr>
      <w:r>
        <w:separator/>
      </w:r>
    </w:p>
  </w:endnote>
  <w:endnote w:type="continuationSeparator" w:id="0">
    <w:p w14:paraId="4773F8FC" w14:textId="77777777" w:rsidR="006F48AA" w:rsidRDefault="006F48AA"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D03EF" w14:textId="77777777" w:rsidR="006F48AA" w:rsidRDefault="006F48AA" w:rsidP="009B27BE">
      <w:pPr>
        <w:spacing w:after="0" w:line="240" w:lineRule="auto"/>
      </w:pPr>
      <w:r>
        <w:separator/>
      </w:r>
    </w:p>
  </w:footnote>
  <w:footnote w:type="continuationSeparator" w:id="0">
    <w:p w14:paraId="65C7A3B4" w14:textId="77777777" w:rsidR="006F48AA" w:rsidRDefault="006F48AA"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323AB05A"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08C2D36" w14:textId="77777777" w:rsidR="007E313B" w:rsidRDefault="007E31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71"/>
    <w:rsid w:val="000263F5"/>
    <w:rsid w:val="0008510E"/>
    <w:rsid w:val="0009616F"/>
    <w:rsid w:val="000B4E0A"/>
    <w:rsid w:val="00132070"/>
    <w:rsid w:val="00133F6A"/>
    <w:rsid w:val="00143A48"/>
    <w:rsid w:val="001A5171"/>
    <w:rsid w:val="001B497D"/>
    <w:rsid w:val="001C5394"/>
    <w:rsid w:val="002C576C"/>
    <w:rsid w:val="00303A70"/>
    <w:rsid w:val="003063A9"/>
    <w:rsid w:val="003344C2"/>
    <w:rsid w:val="00342440"/>
    <w:rsid w:val="003B481B"/>
    <w:rsid w:val="003F4A3C"/>
    <w:rsid w:val="004023DD"/>
    <w:rsid w:val="00412157"/>
    <w:rsid w:val="00420775"/>
    <w:rsid w:val="00433788"/>
    <w:rsid w:val="0049248A"/>
    <w:rsid w:val="0051424C"/>
    <w:rsid w:val="005547FB"/>
    <w:rsid w:val="005B3E28"/>
    <w:rsid w:val="0060016E"/>
    <w:rsid w:val="006100BC"/>
    <w:rsid w:val="00636430"/>
    <w:rsid w:val="00642172"/>
    <w:rsid w:val="0066676A"/>
    <w:rsid w:val="006D3BA3"/>
    <w:rsid w:val="006E1383"/>
    <w:rsid w:val="006F48AA"/>
    <w:rsid w:val="00731430"/>
    <w:rsid w:val="00741428"/>
    <w:rsid w:val="00756820"/>
    <w:rsid w:val="00762371"/>
    <w:rsid w:val="00790CDB"/>
    <w:rsid w:val="007E313B"/>
    <w:rsid w:val="007E3AD3"/>
    <w:rsid w:val="00824CBE"/>
    <w:rsid w:val="00833721"/>
    <w:rsid w:val="008E1230"/>
    <w:rsid w:val="008F5F76"/>
    <w:rsid w:val="00911091"/>
    <w:rsid w:val="00920831"/>
    <w:rsid w:val="00980D5A"/>
    <w:rsid w:val="0098552D"/>
    <w:rsid w:val="009A0D6B"/>
    <w:rsid w:val="009B27BE"/>
    <w:rsid w:val="009C38D3"/>
    <w:rsid w:val="009C5241"/>
    <w:rsid w:val="009D1B13"/>
    <w:rsid w:val="009D69BC"/>
    <w:rsid w:val="00A0418B"/>
    <w:rsid w:val="00A42788"/>
    <w:rsid w:val="00A44FE5"/>
    <w:rsid w:val="00AA0AE0"/>
    <w:rsid w:val="00AA2248"/>
    <w:rsid w:val="00B239A5"/>
    <w:rsid w:val="00B62244"/>
    <w:rsid w:val="00B80A81"/>
    <w:rsid w:val="00B95DAB"/>
    <w:rsid w:val="00BE7DF0"/>
    <w:rsid w:val="00C75E42"/>
    <w:rsid w:val="00C85C34"/>
    <w:rsid w:val="00C91A2D"/>
    <w:rsid w:val="00CA28AB"/>
    <w:rsid w:val="00CB0825"/>
    <w:rsid w:val="00CD4226"/>
    <w:rsid w:val="00D17D5D"/>
    <w:rsid w:val="00D43303"/>
    <w:rsid w:val="00D508D3"/>
    <w:rsid w:val="00D5735C"/>
    <w:rsid w:val="00D63263"/>
    <w:rsid w:val="00D73E35"/>
    <w:rsid w:val="00DA40B2"/>
    <w:rsid w:val="00E04474"/>
    <w:rsid w:val="00E253DA"/>
    <w:rsid w:val="00E53DE9"/>
    <w:rsid w:val="00E60064"/>
    <w:rsid w:val="00E75385"/>
    <w:rsid w:val="00EB261C"/>
    <w:rsid w:val="00EF330D"/>
    <w:rsid w:val="00F13E71"/>
    <w:rsid w:val="00F52CAF"/>
    <w:rsid w:val="00F91A8F"/>
    <w:rsid w:val="00FA4B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188B2"/>
  <w15:chartTrackingRefBased/>
  <w15:docId w15:val="{CE2F75E7-3788-4BB1-804F-E5F8282E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Subtitle">
    <w:name w:val="Subtitle"/>
    <w:basedOn w:val="Normal"/>
    <w:next w:val="Normal"/>
    <w:link w:val="SubtitleChar"/>
    <w:uiPriority w:val="11"/>
    <w:qFormat/>
    <w:rsid w:val="009C5241"/>
    <w:pPr>
      <w:numPr>
        <w:ilvl w:val="1"/>
      </w:numPr>
      <w:spacing w:after="250" w:line="276" w:lineRule="auto"/>
      <w:contextualSpacing/>
      <w:jc w:val="both"/>
    </w:pPr>
    <w:rPr>
      <w:rFonts w:asciiTheme="majorHAnsi" w:eastAsiaTheme="majorEastAsia" w:hAnsiTheme="majorHAnsi" w:cstheme="majorBidi"/>
      <w:b/>
      <w:sz w:val="24"/>
      <w:szCs w:val="24"/>
      <w:lang w:val="en-GB"/>
    </w:rPr>
  </w:style>
  <w:style w:type="character" w:customStyle="1" w:styleId="SubtitleChar">
    <w:name w:val="Subtitle Char"/>
    <w:basedOn w:val="DefaultParagraphFont"/>
    <w:link w:val="Subtitle"/>
    <w:uiPriority w:val="11"/>
    <w:rsid w:val="009C5241"/>
    <w:rPr>
      <w:rFonts w:asciiTheme="majorHAnsi" w:eastAsiaTheme="majorEastAsia" w:hAnsiTheme="majorHAnsi" w:cstheme="majorBidi"/>
      <w:b/>
      <w:sz w:val="24"/>
      <w:szCs w:val="24"/>
      <w:lang w:val="en-GB"/>
    </w:rPr>
  </w:style>
  <w:style w:type="character" w:styleId="Hyperlink">
    <w:name w:val="Hyperlink"/>
    <w:basedOn w:val="DefaultParagraphFont"/>
    <w:uiPriority w:val="99"/>
    <w:unhideWhenUsed/>
    <w:rsid w:val="006E1383"/>
    <w:rPr>
      <w:color w:val="0000FF"/>
      <w:u w:val="single"/>
    </w:rPr>
  </w:style>
  <w:style w:type="paragraph" w:styleId="Revision">
    <w:name w:val="Revision"/>
    <w:hidden/>
    <w:uiPriority w:val="99"/>
    <w:semiHidden/>
    <w:rsid w:val="00F91A8F"/>
    <w:pPr>
      <w:spacing w:after="0" w:line="240" w:lineRule="auto"/>
    </w:pPr>
  </w:style>
  <w:style w:type="character" w:styleId="FollowedHyperlink">
    <w:name w:val="FollowedHyperlink"/>
    <w:basedOn w:val="DefaultParagraphFont"/>
    <w:uiPriority w:val="99"/>
    <w:semiHidden/>
    <w:unhideWhenUsed/>
    <w:rsid w:val="00F91A8F"/>
    <w:rPr>
      <w:color w:val="954F72" w:themeColor="followedHyperlink"/>
      <w:u w:val="single"/>
    </w:rPr>
  </w:style>
  <w:style w:type="character" w:styleId="CommentReference">
    <w:name w:val="annotation reference"/>
    <w:basedOn w:val="DefaultParagraphFont"/>
    <w:uiPriority w:val="99"/>
    <w:semiHidden/>
    <w:unhideWhenUsed/>
    <w:rsid w:val="00CD4226"/>
    <w:rPr>
      <w:sz w:val="16"/>
      <w:szCs w:val="16"/>
    </w:rPr>
  </w:style>
  <w:style w:type="paragraph" w:styleId="CommentText">
    <w:name w:val="annotation text"/>
    <w:basedOn w:val="Normal"/>
    <w:link w:val="CommentTextChar"/>
    <w:uiPriority w:val="99"/>
    <w:unhideWhenUsed/>
    <w:rsid w:val="00CD4226"/>
    <w:pPr>
      <w:spacing w:line="240" w:lineRule="auto"/>
    </w:pPr>
    <w:rPr>
      <w:sz w:val="20"/>
      <w:szCs w:val="20"/>
    </w:rPr>
  </w:style>
  <w:style w:type="character" w:customStyle="1" w:styleId="CommentTextChar">
    <w:name w:val="Comment Text Char"/>
    <w:basedOn w:val="DefaultParagraphFont"/>
    <w:link w:val="CommentText"/>
    <w:uiPriority w:val="99"/>
    <w:rsid w:val="00CD4226"/>
    <w:rPr>
      <w:sz w:val="20"/>
      <w:szCs w:val="20"/>
    </w:rPr>
  </w:style>
  <w:style w:type="paragraph" w:styleId="CommentSubject">
    <w:name w:val="annotation subject"/>
    <w:basedOn w:val="CommentText"/>
    <w:next w:val="CommentText"/>
    <w:link w:val="CommentSubjectChar"/>
    <w:uiPriority w:val="99"/>
    <w:semiHidden/>
    <w:unhideWhenUsed/>
    <w:rsid w:val="00CD4226"/>
    <w:rPr>
      <w:b/>
      <w:bCs/>
    </w:rPr>
  </w:style>
  <w:style w:type="character" w:customStyle="1" w:styleId="CommentSubjectChar">
    <w:name w:val="Comment Subject Char"/>
    <w:basedOn w:val="CommentTextChar"/>
    <w:link w:val="CommentSubject"/>
    <w:uiPriority w:val="99"/>
    <w:semiHidden/>
    <w:rsid w:val="00CD4226"/>
    <w:rPr>
      <w:b/>
      <w:bCs/>
      <w:sz w:val="20"/>
      <w:szCs w:val="20"/>
    </w:rPr>
  </w:style>
  <w:style w:type="character" w:styleId="UnresolvedMention">
    <w:name w:val="Unresolved Mention"/>
    <w:basedOn w:val="DefaultParagraphFont"/>
    <w:uiPriority w:val="99"/>
    <w:semiHidden/>
    <w:unhideWhenUsed/>
    <w:rsid w:val="00AA0AE0"/>
    <w:rPr>
      <w:color w:val="605E5C"/>
      <w:shd w:val="clear" w:color="auto" w:fill="E1DFDD"/>
    </w:rPr>
  </w:style>
  <w:style w:type="paragraph" w:customStyle="1" w:styleId="pf0">
    <w:name w:val="pf0"/>
    <w:basedOn w:val="Normal"/>
    <w:rsid w:val="00F52CA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cf01">
    <w:name w:val="cf01"/>
    <w:basedOn w:val="DefaultParagraphFont"/>
    <w:rsid w:val="00F52CAF"/>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1589">
      <w:bodyDiv w:val="1"/>
      <w:marLeft w:val="0"/>
      <w:marRight w:val="0"/>
      <w:marTop w:val="0"/>
      <w:marBottom w:val="0"/>
      <w:divBdr>
        <w:top w:val="none" w:sz="0" w:space="0" w:color="auto"/>
        <w:left w:val="none" w:sz="0" w:space="0" w:color="auto"/>
        <w:bottom w:val="none" w:sz="0" w:space="0" w:color="auto"/>
        <w:right w:val="none" w:sz="0" w:space="0" w:color="auto"/>
      </w:divBdr>
    </w:div>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867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ank.l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sma.europa.eu/document/standard-form-disclosure-home-member-state-0"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94ACE2A23647CB885AE002183C78CB"/>
        <w:category>
          <w:name w:val="Vispārīgi"/>
          <w:gallery w:val="placeholder"/>
        </w:category>
        <w:types>
          <w:type w:val="bbPlcHdr"/>
        </w:types>
        <w:behaviors>
          <w:behavior w:val="content"/>
        </w:behaviors>
        <w:guid w:val="{A96BBEBF-77F5-4860-A922-3AB763F9318B}"/>
      </w:docPartPr>
      <w:docPartBody>
        <w:p w:rsidR="00CD28D3" w:rsidRDefault="002A4448" w:rsidP="002A4448">
          <w:pPr>
            <w:pStyle w:val="3D94ACE2A23647CB885AE002183C78CB"/>
          </w:pPr>
          <w:r w:rsidRPr="00F5647B">
            <w:rPr>
              <w:rStyle w:val="PlaceholderText"/>
              <w:b/>
              <w:szCs w:val="24"/>
            </w:rPr>
            <w:t>[Nosaukums]</w:t>
          </w:r>
        </w:p>
      </w:docPartBody>
    </w:docPart>
    <w:docPart>
      <w:docPartPr>
        <w:name w:val="E2E42EBD2D514E19848B00E4BEF97281"/>
        <w:category>
          <w:name w:val="Vispārīgi"/>
          <w:gallery w:val="placeholder"/>
        </w:category>
        <w:types>
          <w:type w:val="bbPlcHdr"/>
        </w:types>
        <w:behaviors>
          <w:behavior w:val="content"/>
        </w:behaviors>
        <w:guid w:val="{CA7997FF-D28E-40A7-A380-E43F49EA72B0}"/>
      </w:docPartPr>
      <w:docPartBody>
        <w:p w:rsidR="00CD28D3" w:rsidRDefault="002A4448" w:rsidP="002A4448">
          <w:pPr>
            <w:pStyle w:val="E2E42EBD2D514E19848B00E4BEF97281"/>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448"/>
    <w:rsid w:val="002A4448"/>
    <w:rsid w:val="007C7F10"/>
    <w:rsid w:val="00AD3699"/>
    <w:rsid w:val="00C72E8E"/>
    <w:rsid w:val="00CD28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4448"/>
    <w:rPr>
      <w:color w:val="808080"/>
    </w:rPr>
  </w:style>
  <w:style w:type="paragraph" w:customStyle="1" w:styleId="3D94ACE2A23647CB885AE002183C78CB">
    <w:name w:val="3D94ACE2A23647CB885AE002183C78CB"/>
    <w:rsid w:val="002A4448"/>
  </w:style>
  <w:style w:type="paragraph" w:customStyle="1" w:styleId="E2E42EBD2D514E19848B00E4BEF97281">
    <w:name w:val="E2E42EBD2D514E19848B00E4BEF97281"/>
    <w:rsid w:val="002A44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ANA_ANOTACIJA.dotx</Template>
  <TotalTime>4</TotalTime>
  <Pages>2</Pages>
  <Words>2856</Words>
  <Characters>1629</Characters>
  <Application>Microsoft Office Word</Application>
  <DocSecurity>0</DocSecurity>
  <Lines>13</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Medne</dc:creator>
  <cp:keywords/>
  <dc:description/>
  <cp:lastModifiedBy>Ilze Grava</cp:lastModifiedBy>
  <cp:revision>7</cp:revision>
  <dcterms:created xsi:type="dcterms:W3CDTF">2023-05-15T08:08:00Z</dcterms:created>
  <dcterms:modified xsi:type="dcterms:W3CDTF">2023-05-31T13:53:00Z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