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688AA" w14:textId="77777777" w:rsidR="009C42A8" w:rsidRPr="0079205D" w:rsidRDefault="00590D3E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13ACBE8C119B418483FC8FDC3CC8FFEC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74C5BAC5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3F6FDB3B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F919368CDE2D4193B387A170FF9DFDE5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609B0FAD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37B54048" w14:textId="77777777" w:rsidR="003C1EF2" w:rsidRDefault="00590D3E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F260DF0E552448B7A9014400182C0B4C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E62421987CC744939E08160B293011CC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21A82A25B90947ECB457D57DEE8FB5DB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3F01D9EB19724F74A1E006E2E43A68BC"/>
        </w:placeholder>
        <w:showingPlcHdr/>
      </w:sdtPr>
      <w:sdtEndPr/>
      <w:sdtContent>
        <w:p w14:paraId="413A2E71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bookmarkStart w:id="1" w:name="_Hlk133315363"/>
    <w:p w14:paraId="70146DE1" w14:textId="02AAFD4D" w:rsidR="00C2284A" w:rsidRDefault="00590D3E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1574F255F22345E983B2165B1D392A0B"/>
          </w:placeholder>
        </w:sdtPr>
        <w:sdtEndPr/>
        <w:sdtContent>
          <w:r w:rsidR="00574D0E">
            <w:rPr>
              <w:rFonts w:cs="Times New Roman"/>
              <w:b/>
              <w:szCs w:val="24"/>
            </w:rPr>
            <w:t>M</w:t>
          </w:r>
          <w:r w:rsidR="00574D0E" w:rsidRPr="00D76CEE">
            <w:rPr>
              <w:rFonts w:cs="Times New Roman"/>
              <w:b/>
              <w:szCs w:val="24"/>
            </w:rPr>
            <w:t xml:space="preserve">aksimāli </w:t>
          </w:r>
          <w:r w:rsidR="00D76CEE" w:rsidRPr="00D76CEE">
            <w:rPr>
              <w:rFonts w:cs="Times New Roman"/>
              <w:b/>
              <w:szCs w:val="24"/>
            </w:rPr>
            <w:t xml:space="preserve">sadalāmās summas aprēķināšanas </w:t>
          </w:r>
          <w:r w:rsidR="00574D0E" w:rsidRPr="00D76CEE">
            <w:rPr>
              <w:rFonts w:cs="Times New Roman"/>
              <w:b/>
              <w:szCs w:val="24"/>
            </w:rPr>
            <w:t>kārtīb</w:t>
          </w:r>
          <w:r w:rsidR="00574D0E">
            <w:rPr>
              <w:rFonts w:cs="Times New Roman"/>
              <w:b/>
              <w:szCs w:val="24"/>
            </w:rPr>
            <w:t>a</w:t>
          </w:r>
        </w:sdtContent>
      </w:sdt>
      <w:bookmarkEnd w:id="1"/>
    </w:p>
    <w:p w14:paraId="5AC83FDB" w14:textId="77777777" w:rsidR="00C2284A" w:rsidRDefault="00590D3E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76A2A2F602D0440086E21C362455DD6F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98504C0AB618413C9EC4BE47F5F78410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28124BB36BE14CD49C9428D8B18ACCB4"/>
        </w:placeholder>
      </w:sdtPr>
      <w:sdtEndPr/>
      <w:sdtContent>
        <w:p w14:paraId="4F469CC9" w14:textId="60B47CED" w:rsidR="00301089" w:rsidRDefault="00915F10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Kredītiestāžu likuma</w:t>
          </w:r>
        </w:p>
      </w:sdtContent>
    </w:sdt>
    <w:p w14:paraId="1AC5C828" w14:textId="607A072D" w:rsidR="00E43D58" w:rsidRDefault="00590D3E" w:rsidP="00E43D58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-2076658484"/>
          <w:placeholder>
            <w:docPart w:val="614A70C0F3084EC28015B7E81AA64511"/>
          </w:placeholder>
        </w:sdtPr>
        <w:sdtEndPr/>
        <w:sdtContent>
          <w:r w:rsidR="005331D8">
            <w:rPr>
              <w:rFonts w:cs="Times New Roman"/>
              <w:color w:val="000000" w:themeColor="text1"/>
              <w:szCs w:val="24"/>
            </w:rPr>
            <w:t>35.</w:t>
          </w:r>
          <w:r w:rsidR="005331D8" w:rsidRPr="0046332D">
            <w:rPr>
              <w:rFonts w:cs="Times New Roman"/>
              <w:color w:val="000000" w:themeColor="text1"/>
              <w:szCs w:val="24"/>
              <w:vertAlign w:val="superscript"/>
            </w:rPr>
            <w:t>27</w:t>
          </w:r>
        </w:sdtContent>
      </w:sdt>
      <w:sdt>
        <w:sdtPr>
          <w:rPr>
            <w:rFonts w:cs="Times New Roman"/>
            <w:color w:val="808080"/>
            <w:szCs w:val="24"/>
          </w:rPr>
          <w:id w:val="1211700395"/>
          <w:placeholder>
            <w:docPart w:val="FE0C72A17B7B4266A7059A50E57ED836"/>
          </w:placeholder>
        </w:sdtPr>
        <w:sdtEndPr/>
        <w:sdtContent>
          <w:r w:rsidR="0046332D">
            <w:rPr>
              <w:rFonts w:cs="Times New Roman"/>
              <w:color w:val="808080"/>
              <w:szCs w:val="24"/>
            </w:rPr>
            <w:t xml:space="preserve"> </w:t>
          </w:r>
          <w:r w:rsidR="0046332D" w:rsidRPr="0046332D">
            <w:rPr>
              <w:rFonts w:cs="Times New Roman"/>
              <w:szCs w:val="24"/>
            </w:rPr>
            <w:t>panta</w:t>
          </w:r>
        </w:sdtContent>
      </w:sdt>
      <w:r w:rsidR="00E43D58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690961489"/>
          <w:placeholder>
            <w:docPart w:val="6429B675D1BC4F69A50D5A83C7D92EED"/>
          </w:placeholder>
        </w:sdtPr>
        <w:sdtEndPr/>
        <w:sdtContent>
          <w:r w:rsidR="00E43D58">
            <w:rPr>
              <w:rFonts w:cs="Times New Roman"/>
              <w:szCs w:val="24"/>
            </w:rPr>
            <w:t>otro</w:t>
          </w:r>
        </w:sdtContent>
      </w:sdt>
      <w:r w:rsidR="00E43D58">
        <w:rPr>
          <w:rFonts w:cs="Times New Roman"/>
          <w:szCs w:val="24"/>
        </w:rPr>
        <w:t xml:space="preserve"> daļu</w:t>
      </w:r>
      <w:r w:rsidR="00B87177">
        <w:rPr>
          <w:rFonts w:cs="Times New Roman"/>
          <w:szCs w:val="24"/>
        </w:rPr>
        <w:t xml:space="preserve"> un </w:t>
      </w:r>
      <w:r w:rsidR="00000E64" w:rsidRPr="00000E64">
        <w:rPr>
          <w:rFonts w:cs="Times New Roman"/>
          <w:szCs w:val="24"/>
        </w:rPr>
        <w:t>35.</w:t>
      </w:r>
      <w:r w:rsidR="00000E64" w:rsidRPr="00F77490">
        <w:rPr>
          <w:rFonts w:cs="Times New Roman"/>
          <w:szCs w:val="24"/>
          <w:vertAlign w:val="superscript"/>
        </w:rPr>
        <w:t>35</w:t>
      </w:r>
      <w:r w:rsidR="00000E64" w:rsidRPr="00000E64">
        <w:rPr>
          <w:rFonts w:cs="Times New Roman"/>
          <w:szCs w:val="24"/>
        </w:rPr>
        <w:t xml:space="preserve"> panta otro daļu</w:t>
      </w:r>
    </w:p>
    <w:p w14:paraId="3D58AC7A" w14:textId="6F9DD9B8" w:rsidR="00B87177" w:rsidRDefault="00B87177" w:rsidP="007C14CA">
      <w:pPr>
        <w:pStyle w:val="NAnodalaromiesucipari"/>
      </w:pPr>
      <w:r>
        <w:t>Vispārīgais jautājums</w:t>
      </w:r>
    </w:p>
    <w:p w14:paraId="36E91B1E" w14:textId="4E80C6D5" w:rsidR="00720D7B" w:rsidRDefault="00427E0A" w:rsidP="007C14CA">
      <w:pPr>
        <w:pStyle w:val="NApunkts1"/>
      </w:pPr>
      <w:r w:rsidRPr="00427E0A">
        <w:t>N</w:t>
      </w:r>
      <w:r w:rsidR="00D76CEE" w:rsidRPr="0046332D">
        <w:t xml:space="preserve">oteikumi </w:t>
      </w:r>
      <w:r w:rsidR="00D76CEE" w:rsidRPr="00315D01">
        <w:t>nosaka maksimāli sadalāmās summas aprēķināšanas kārtību</w:t>
      </w:r>
      <w:r w:rsidR="00720D7B">
        <w:t>:</w:t>
      </w:r>
    </w:p>
    <w:p w14:paraId="0CF0F6EF" w14:textId="3E38DFB7" w:rsidR="00720D7B" w:rsidRPr="00A12C21" w:rsidRDefault="00D76CEE" w:rsidP="00BC0133">
      <w:pPr>
        <w:pStyle w:val="NApunkts2"/>
        <w:ind w:left="0"/>
      </w:pPr>
      <w:r w:rsidRPr="00315D01">
        <w:t xml:space="preserve"> Latvijas Republikā reģistrētām kredītiestādēm, </w:t>
      </w:r>
      <w:r w:rsidR="00C9585C" w:rsidRPr="00C9585C">
        <w:t>Kredītiestāžu likuma 11.</w:t>
      </w:r>
      <w:r w:rsidR="00C9585C" w:rsidRPr="00315D01">
        <w:rPr>
          <w:vertAlign w:val="superscript"/>
        </w:rPr>
        <w:t>2</w:t>
      </w:r>
      <w:r w:rsidR="006E220A">
        <w:rPr>
          <w:vertAlign w:val="superscript"/>
        </w:rPr>
        <w:t> </w:t>
      </w:r>
      <w:r w:rsidR="00C9585C" w:rsidRPr="00C9585C">
        <w:t xml:space="preserve">pantā minētajām ieguldījumu brokeru sabiedrībām un </w:t>
      </w:r>
      <w:r w:rsidR="00F77490" w:rsidRPr="00F77490">
        <w:t>Eiropas Parlamenta un Padomes 2019.</w:t>
      </w:r>
      <w:r w:rsidR="006E220A">
        <w:t> </w:t>
      </w:r>
      <w:r w:rsidR="00F77490" w:rsidRPr="00F77490">
        <w:t>gada 27.</w:t>
      </w:r>
      <w:r w:rsidR="006E220A">
        <w:t> </w:t>
      </w:r>
      <w:r w:rsidR="00F77490" w:rsidRPr="00F77490">
        <w:t xml:space="preserve">novembra </w:t>
      </w:r>
      <w:r w:rsidR="0066035A">
        <w:t>r</w:t>
      </w:r>
      <w:r w:rsidR="00F77490" w:rsidRPr="00F77490">
        <w:t>egulas (ES)</w:t>
      </w:r>
      <w:r w:rsidR="00D616CA">
        <w:t xml:space="preserve"> </w:t>
      </w:r>
      <w:r w:rsidR="00F77490" w:rsidRPr="00F77490">
        <w:t xml:space="preserve">2019/2033 par prudenciālajām prasībām ieguldījumu brokeru sabiedrībām un ar ko groza </w:t>
      </w:r>
      <w:r w:rsidR="00E25E1C">
        <w:t>r</w:t>
      </w:r>
      <w:r w:rsidR="00F77490" w:rsidRPr="00F77490">
        <w:t>egulas (ES) Nr.</w:t>
      </w:r>
      <w:r w:rsidR="006E220A">
        <w:t> </w:t>
      </w:r>
      <w:r w:rsidR="00F77490" w:rsidRPr="00F77490">
        <w:t>1093/2010, (ES) Nr.</w:t>
      </w:r>
      <w:r w:rsidR="006E220A">
        <w:t> </w:t>
      </w:r>
      <w:r w:rsidR="00F77490" w:rsidRPr="00F77490">
        <w:t>575/2013, (ES) Nr.</w:t>
      </w:r>
      <w:r w:rsidR="006E220A">
        <w:t> </w:t>
      </w:r>
      <w:r w:rsidR="00F77490" w:rsidRPr="00F77490">
        <w:t>600/2014 un (ES) Nr.</w:t>
      </w:r>
      <w:r w:rsidR="006E220A">
        <w:t> </w:t>
      </w:r>
      <w:r w:rsidR="00F77490" w:rsidRPr="00F77490">
        <w:t>806/2014 1.</w:t>
      </w:r>
      <w:r w:rsidR="006E220A">
        <w:t> </w:t>
      </w:r>
      <w:r w:rsidR="00F77490" w:rsidRPr="00F77490">
        <w:t>panta 2.</w:t>
      </w:r>
      <w:r w:rsidR="006E220A">
        <w:t> </w:t>
      </w:r>
      <w:r w:rsidR="00F77490" w:rsidRPr="00F77490">
        <w:t>un 5.</w:t>
      </w:r>
      <w:r w:rsidR="006E220A">
        <w:t> </w:t>
      </w:r>
      <w:r w:rsidR="00F77490" w:rsidRPr="00F77490">
        <w:t>punktā</w:t>
      </w:r>
      <w:r w:rsidR="00F77490">
        <w:t xml:space="preserve"> minētajām</w:t>
      </w:r>
      <w:r w:rsidR="00F77490" w:rsidRPr="00C9585C">
        <w:t xml:space="preserve"> </w:t>
      </w:r>
      <w:r w:rsidR="00C9585C" w:rsidRPr="00C9585C">
        <w:t>ieguldījumu brokeru sabiedrībām</w:t>
      </w:r>
      <w:r w:rsidR="004D50E6">
        <w:t>,</w:t>
      </w:r>
      <w:r w:rsidR="004D50E6" w:rsidRPr="004D50E6">
        <w:t xml:space="preserve"> kas neievēro kopējo kapitāla rezervju prasību, </w:t>
      </w:r>
      <w:r w:rsidR="006564BE" w:rsidRPr="004D50E6">
        <w:t>k</w:t>
      </w:r>
      <w:r w:rsidR="006564BE">
        <w:t>ura</w:t>
      </w:r>
      <w:r w:rsidR="006564BE" w:rsidRPr="004D50E6">
        <w:t xml:space="preserve"> </w:t>
      </w:r>
      <w:r w:rsidR="004D50E6" w:rsidRPr="004D50E6">
        <w:t>noteikta saskaņā ar Kredītiestāžu likuma 35.</w:t>
      </w:r>
      <w:r w:rsidR="004D50E6" w:rsidRPr="00F77490">
        <w:rPr>
          <w:vertAlign w:val="superscript"/>
        </w:rPr>
        <w:t>22</w:t>
      </w:r>
      <w:r w:rsidR="004D50E6" w:rsidRPr="004D50E6">
        <w:t>, 35.</w:t>
      </w:r>
      <w:r w:rsidR="004D50E6" w:rsidRPr="00F77490">
        <w:rPr>
          <w:vertAlign w:val="superscript"/>
        </w:rPr>
        <w:t>23</w:t>
      </w:r>
      <w:r w:rsidR="004D50E6" w:rsidRPr="004D50E6">
        <w:t>, 35.</w:t>
      </w:r>
      <w:r w:rsidR="004D50E6" w:rsidRPr="00F77490">
        <w:rPr>
          <w:vertAlign w:val="superscript"/>
        </w:rPr>
        <w:t>24</w:t>
      </w:r>
      <w:r w:rsidR="004D50E6" w:rsidRPr="004D50E6">
        <w:t xml:space="preserve"> un 35.</w:t>
      </w:r>
      <w:r w:rsidR="004D50E6" w:rsidRPr="00F77490">
        <w:rPr>
          <w:vertAlign w:val="superscript"/>
        </w:rPr>
        <w:t>25</w:t>
      </w:r>
      <w:r w:rsidR="006E220A">
        <w:rPr>
          <w:vertAlign w:val="superscript"/>
        </w:rPr>
        <w:t> </w:t>
      </w:r>
      <w:r w:rsidR="004D50E6" w:rsidRPr="004D50E6">
        <w:t>panta prasībām</w:t>
      </w:r>
      <w:r w:rsidRPr="00315D01">
        <w:t xml:space="preserve"> (</w:t>
      </w:r>
      <w:r w:rsidR="00C9585C" w:rsidRPr="00315D01">
        <w:t>turpmāk</w:t>
      </w:r>
      <w:r w:rsidR="007E54AA">
        <w:t xml:space="preserve"> </w:t>
      </w:r>
      <w:r w:rsidR="00A12C21">
        <w:t>kopā</w:t>
      </w:r>
      <w:r w:rsidR="007E54AA">
        <w:t> </w:t>
      </w:r>
      <w:r w:rsidRPr="00315D01">
        <w:t xml:space="preserve">– </w:t>
      </w:r>
      <w:r w:rsidRPr="00A12C21">
        <w:t>iestāde</w:t>
      </w:r>
      <w:r w:rsidR="00B03610" w:rsidRPr="00A12C21">
        <w:t xml:space="preserve">, </w:t>
      </w:r>
      <w:r w:rsidR="00F77490" w:rsidRPr="00A12C21">
        <w:t>kas</w:t>
      </w:r>
      <w:r w:rsidR="00B03610" w:rsidRPr="00A12C21">
        <w:t xml:space="preserve"> neievēro kopējo kapitāla rezervju prasību</w:t>
      </w:r>
      <w:r w:rsidRPr="00A12C21">
        <w:t>)</w:t>
      </w:r>
      <w:r w:rsidR="00720D7B" w:rsidRPr="00A12C21">
        <w:t>;</w:t>
      </w:r>
    </w:p>
    <w:p w14:paraId="211BDA87" w14:textId="10C21B6E" w:rsidR="00840034" w:rsidRPr="00A12C21" w:rsidRDefault="00720D7B" w:rsidP="00BC0133">
      <w:pPr>
        <w:pStyle w:val="NApunkts2"/>
        <w:ind w:left="0"/>
      </w:pPr>
      <w:r w:rsidRPr="00A12C21">
        <w:t>Latvijas Republikā reģistrētām kredītiestādēm, kas ir globālas sistēmiski nozīmīgas iestādes Eiropas Parlamenta un Padomes 2013.</w:t>
      </w:r>
      <w:r w:rsidR="006E220A" w:rsidRPr="00A12C21">
        <w:t> </w:t>
      </w:r>
      <w:r w:rsidRPr="00A12C21">
        <w:t>gada 26.</w:t>
      </w:r>
      <w:r w:rsidR="006E220A" w:rsidRPr="00A12C21">
        <w:t> </w:t>
      </w:r>
      <w:r w:rsidR="00E67A3E" w:rsidRPr="00A12C21">
        <w:t>jūnija</w:t>
      </w:r>
      <w:r w:rsidRPr="00A12C21">
        <w:t xml:space="preserve"> </w:t>
      </w:r>
      <w:r w:rsidR="00E25E1C">
        <w:t>r</w:t>
      </w:r>
      <w:r w:rsidRPr="00A12C21">
        <w:t>egulas (ES) Nr.</w:t>
      </w:r>
      <w:r w:rsidR="006E220A" w:rsidRPr="00A12C21">
        <w:t> </w:t>
      </w:r>
      <w:r w:rsidRPr="00A12C21">
        <w:t xml:space="preserve">575/2013 par prudenciālajām prasībām attiecībā uz kredītiestādēm, un ar ko groza </w:t>
      </w:r>
      <w:r w:rsidR="00E25E1C">
        <w:t>r</w:t>
      </w:r>
      <w:r w:rsidRPr="00A12C21">
        <w:t>egulu (ES) Nr.</w:t>
      </w:r>
      <w:r w:rsidR="006E220A" w:rsidRPr="00A12C21">
        <w:t> </w:t>
      </w:r>
      <w:r w:rsidRPr="00A12C21">
        <w:t>648/2012 (turpmāk</w:t>
      </w:r>
      <w:r w:rsidR="007D3423">
        <w:t> </w:t>
      </w:r>
      <w:r w:rsidRPr="00A12C21">
        <w:t xml:space="preserve">– </w:t>
      </w:r>
      <w:r w:rsidR="007D3423">
        <w:t>R</w:t>
      </w:r>
      <w:r w:rsidRPr="00A12C21">
        <w:t>egula Nr.</w:t>
      </w:r>
      <w:r w:rsidR="006E220A" w:rsidRPr="00A12C21">
        <w:t> </w:t>
      </w:r>
      <w:r w:rsidRPr="00A12C21">
        <w:t>575/2013) 4.</w:t>
      </w:r>
      <w:r w:rsidR="006E220A" w:rsidRPr="00A12C21">
        <w:t> </w:t>
      </w:r>
      <w:r w:rsidRPr="00A12C21">
        <w:t>panta 1.</w:t>
      </w:r>
      <w:r w:rsidR="006E220A" w:rsidRPr="00A12C21">
        <w:t> </w:t>
      </w:r>
      <w:r w:rsidRPr="00A12C21">
        <w:t>punkta 133.</w:t>
      </w:r>
      <w:r w:rsidR="006E220A" w:rsidRPr="00A12C21">
        <w:t> </w:t>
      </w:r>
      <w:r w:rsidRPr="00A12C21">
        <w:t>apakšpunkt</w:t>
      </w:r>
      <w:r w:rsidR="002A0389">
        <w:t>a izpratnē</w:t>
      </w:r>
      <w:r w:rsidR="00FA74DB" w:rsidRPr="00A12C21">
        <w:t xml:space="preserve"> un</w:t>
      </w:r>
      <w:r w:rsidR="006564BE" w:rsidRPr="00A12C21">
        <w:t xml:space="preserve"> </w:t>
      </w:r>
      <w:r w:rsidRPr="00A12C21">
        <w:t>kas neievēro sviras rādītāja rezerves prasību</w:t>
      </w:r>
      <w:r w:rsidR="002A0389">
        <w:t xml:space="preserve"> </w:t>
      </w:r>
      <w:r w:rsidRPr="00A12C21">
        <w:t xml:space="preserve">saskaņā ar </w:t>
      </w:r>
      <w:r w:rsidR="007D3423">
        <w:t>R</w:t>
      </w:r>
      <w:r w:rsidRPr="00A12C21">
        <w:t>egulas Nr.</w:t>
      </w:r>
      <w:r w:rsidR="006E220A" w:rsidRPr="00A12C21">
        <w:t> </w:t>
      </w:r>
      <w:r w:rsidRPr="00A12C21">
        <w:t>575/2013 92</w:t>
      </w:r>
      <w:r w:rsidRPr="002F7091">
        <w:t>.</w:t>
      </w:r>
      <w:r w:rsidR="006E220A" w:rsidRPr="002F7091">
        <w:t> </w:t>
      </w:r>
      <w:r w:rsidRPr="002F7091">
        <w:t>panta 1</w:t>
      </w:r>
      <w:r w:rsidR="002F7091" w:rsidRPr="00BC0133">
        <w:t>.</w:t>
      </w:r>
      <w:r w:rsidRPr="002F7091">
        <w:t>a</w:t>
      </w:r>
      <w:r w:rsidR="006E220A" w:rsidRPr="002F7091">
        <w:t> </w:t>
      </w:r>
      <w:r w:rsidRPr="002F7091">
        <w:t>pun</w:t>
      </w:r>
      <w:r w:rsidRPr="00A12C21">
        <w:t>kt</w:t>
      </w:r>
      <w:r w:rsidR="002A0389">
        <w:t>u</w:t>
      </w:r>
      <w:r w:rsidRPr="00A12C21">
        <w:t xml:space="preserve"> (turpmāk –</w:t>
      </w:r>
      <w:r w:rsidR="00B03610" w:rsidRPr="00A12C21">
        <w:t xml:space="preserve"> </w:t>
      </w:r>
      <w:r w:rsidRPr="00A12C21">
        <w:t>iestāde</w:t>
      </w:r>
      <w:r w:rsidR="00B03610" w:rsidRPr="00A12C21">
        <w:t>, kas neievēro sviras rādītāja rezerves prasību</w:t>
      </w:r>
      <w:r w:rsidRPr="00A12C21">
        <w:t>)</w:t>
      </w:r>
      <w:r w:rsidR="00D76CEE" w:rsidRPr="00A12C21">
        <w:t>.</w:t>
      </w:r>
    </w:p>
    <w:p w14:paraId="7878D2E4" w14:textId="22807655" w:rsidR="00000E64" w:rsidRPr="00C9585C" w:rsidRDefault="00000E64" w:rsidP="007C14CA">
      <w:pPr>
        <w:pStyle w:val="NAnodalaromiesucipari"/>
      </w:pPr>
      <w:r>
        <w:t>Maksimāli sadalāmās summas aprēķins</w:t>
      </w:r>
    </w:p>
    <w:p w14:paraId="6AC2021D" w14:textId="7E81EFF7" w:rsidR="00CC54B4" w:rsidRDefault="00CC54B4" w:rsidP="007C14CA">
      <w:pPr>
        <w:pStyle w:val="NApunkts1"/>
      </w:pPr>
      <w:r>
        <w:t>M</w:t>
      </w:r>
      <w:r w:rsidR="00D76CEE" w:rsidRPr="00C9585C">
        <w:t>aksimāli sadalāmo summu aprēķina</w:t>
      </w:r>
      <w:r>
        <w:t xml:space="preserve"> šādi:</w:t>
      </w:r>
    </w:p>
    <w:p w14:paraId="789C2E3A" w14:textId="2CCC9A32" w:rsidR="00CC54B4" w:rsidRPr="006564BE" w:rsidRDefault="00CC54B4" w:rsidP="00BC0133">
      <w:pPr>
        <w:pStyle w:val="NApunkts2"/>
        <w:ind w:left="0"/>
      </w:pPr>
      <w:r w:rsidRPr="00CC54B4">
        <w:t xml:space="preserve">iestāde, </w:t>
      </w:r>
      <w:r w:rsidR="006564BE" w:rsidRPr="00CC54B4">
        <w:t>k</w:t>
      </w:r>
      <w:r w:rsidR="006564BE">
        <w:t>as</w:t>
      </w:r>
      <w:r w:rsidR="006564BE" w:rsidRPr="00CC54B4">
        <w:t xml:space="preserve"> </w:t>
      </w:r>
      <w:r w:rsidRPr="00CC54B4">
        <w:t>neievēro kopējo kapitāla rezervju prasību</w:t>
      </w:r>
      <w:r w:rsidR="00D76CEE" w:rsidRPr="00C9585C">
        <w:t>, summu, k</w:t>
      </w:r>
      <w:r w:rsidR="00593370">
        <w:t>ura</w:t>
      </w:r>
      <w:r w:rsidR="00D76CEE" w:rsidRPr="00C9585C">
        <w:t xml:space="preserve"> aprēķināta saskaņā</w:t>
      </w:r>
      <w:r w:rsidR="00D76CEE" w:rsidRPr="00D76CEE">
        <w:t xml:space="preserve"> ar šo noteikumu </w:t>
      </w:r>
      <w:r w:rsidR="00D76CEE" w:rsidRPr="006564BE">
        <w:t>3.</w:t>
      </w:r>
      <w:r w:rsidR="006E220A">
        <w:t> </w:t>
      </w:r>
      <w:r w:rsidR="00D76CEE" w:rsidRPr="006564BE">
        <w:t>punkt</w:t>
      </w:r>
      <w:r w:rsidR="00243801" w:rsidRPr="006564BE">
        <w:t>u</w:t>
      </w:r>
      <w:r w:rsidR="00D76CEE" w:rsidRPr="006564BE">
        <w:t xml:space="preserve">, </w:t>
      </w:r>
      <w:r w:rsidRPr="006564BE">
        <w:t xml:space="preserve">reizina </w:t>
      </w:r>
      <w:r w:rsidR="00D76CEE" w:rsidRPr="006564BE">
        <w:t xml:space="preserve">ar koeficientu, kas noteikts saskaņā ar šo </w:t>
      </w:r>
      <w:r w:rsidR="00D76CEE" w:rsidRPr="00CE4DB2">
        <w:t>noteikumu 4.</w:t>
      </w:r>
      <w:r w:rsidR="00481146" w:rsidRPr="00CE4DB2">
        <w:t>,</w:t>
      </w:r>
      <w:r w:rsidR="00291A05" w:rsidRPr="00CE4DB2">
        <w:t xml:space="preserve"> 5. </w:t>
      </w:r>
      <w:r w:rsidR="00481146" w:rsidRPr="00CE4DB2">
        <w:t>un 6.</w:t>
      </w:r>
      <w:r w:rsidR="00CE4DB2">
        <w:t> </w:t>
      </w:r>
      <w:r w:rsidR="00D76CEE" w:rsidRPr="00CE4DB2">
        <w:t>punkt</w:t>
      </w:r>
      <w:r w:rsidR="00243801" w:rsidRPr="00CE4DB2">
        <w:t>u</w:t>
      </w:r>
      <w:r w:rsidR="00D76CEE" w:rsidRPr="006564BE">
        <w:t xml:space="preserve">. </w:t>
      </w:r>
      <w:r w:rsidR="00720D7B" w:rsidRPr="006564BE">
        <w:t xml:space="preserve">Ar kopējo kapitāla rezervju prasības neievērošanu saistīto maksimāli </w:t>
      </w:r>
      <w:r w:rsidR="00D76CEE" w:rsidRPr="006564BE">
        <w:t>sadalāmo summu samazina par summu, kas izriet no jebkuras Kredītiestāžu likuma 35.</w:t>
      </w:r>
      <w:r w:rsidR="00D76CEE" w:rsidRPr="006564BE">
        <w:rPr>
          <w:vertAlign w:val="superscript"/>
        </w:rPr>
        <w:t>27</w:t>
      </w:r>
      <w:r w:rsidR="006E220A">
        <w:rPr>
          <w:vertAlign w:val="superscript"/>
        </w:rPr>
        <w:t> </w:t>
      </w:r>
      <w:r w:rsidR="00D76CEE" w:rsidRPr="006564BE">
        <w:t>panta pirmās daļas 1.,</w:t>
      </w:r>
      <w:r w:rsidR="00753C59">
        <w:t xml:space="preserve"> </w:t>
      </w:r>
      <w:r w:rsidR="00D76CEE" w:rsidRPr="006564BE">
        <w:t>2.</w:t>
      </w:r>
      <w:r w:rsidR="006E220A">
        <w:t> </w:t>
      </w:r>
      <w:r w:rsidR="00D76CEE" w:rsidRPr="006564BE">
        <w:t>un 3.</w:t>
      </w:r>
      <w:r w:rsidR="006E220A">
        <w:t> </w:t>
      </w:r>
      <w:r w:rsidR="00D76CEE" w:rsidRPr="006564BE">
        <w:t>punktā minētās darbības</w:t>
      </w:r>
      <w:r w:rsidRPr="006564BE">
        <w:t>;</w:t>
      </w:r>
    </w:p>
    <w:p w14:paraId="0E46DF79" w14:textId="7168A353" w:rsidR="00840034" w:rsidRPr="006564BE" w:rsidRDefault="00CC54B4" w:rsidP="00BC0133">
      <w:pPr>
        <w:pStyle w:val="NApunkts2"/>
        <w:ind w:left="0"/>
      </w:pPr>
      <w:r w:rsidRPr="006564BE">
        <w:t>iestāde, kas neievēro sviras rādītāja rezerves prasību, summu, k</w:t>
      </w:r>
      <w:r w:rsidR="00593370">
        <w:t>ura</w:t>
      </w:r>
      <w:r w:rsidRPr="006564BE">
        <w:t xml:space="preserve"> aprēķināta saskaņā ar šo noteikumu </w:t>
      </w:r>
      <w:r w:rsidR="006564BE" w:rsidRPr="006564BE">
        <w:t>3</w:t>
      </w:r>
      <w:r w:rsidRPr="006564BE">
        <w:t>.</w:t>
      </w:r>
      <w:r w:rsidR="006E220A">
        <w:t> </w:t>
      </w:r>
      <w:r w:rsidRPr="006564BE">
        <w:t>punkt</w:t>
      </w:r>
      <w:r w:rsidR="006564BE" w:rsidRPr="006564BE">
        <w:t>u</w:t>
      </w:r>
      <w:r w:rsidRPr="006564BE">
        <w:t xml:space="preserve">, </w:t>
      </w:r>
      <w:r w:rsidR="000B2CC6" w:rsidRPr="006564BE">
        <w:t xml:space="preserve">reizina </w:t>
      </w:r>
      <w:r w:rsidRPr="006564BE">
        <w:t xml:space="preserve">ar koeficientu, kas noteikts saskaņā ar šo noteikumu </w:t>
      </w:r>
      <w:r w:rsidR="00481146" w:rsidRPr="00CE4DB2">
        <w:t>8</w:t>
      </w:r>
      <w:r w:rsidRPr="00CE4DB2">
        <w:t>.</w:t>
      </w:r>
      <w:r w:rsidR="00481146" w:rsidRPr="00CE4DB2">
        <w:t>, 9.</w:t>
      </w:r>
      <w:r w:rsidR="006E220A" w:rsidRPr="00CE4DB2">
        <w:t> </w:t>
      </w:r>
      <w:r w:rsidR="00291A05" w:rsidRPr="00CE4DB2">
        <w:t xml:space="preserve">un </w:t>
      </w:r>
      <w:r w:rsidR="00481146" w:rsidRPr="00CE4DB2">
        <w:t>10</w:t>
      </w:r>
      <w:r w:rsidR="00291A05" w:rsidRPr="00CE4DB2">
        <w:t>. </w:t>
      </w:r>
      <w:r w:rsidRPr="00CE4DB2">
        <w:t>punkt</w:t>
      </w:r>
      <w:r w:rsidR="006564BE" w:rsidRPr="00CE4DB2">
        <w:t>u</w:t>
      </w:r>
      <w:r w:rsidRPr="00CE4DB2">
        <w:t>. Ar sviras rādītāja rezerves prasības neievērošanu saistīto maksimāli sadalāmo summu</w:t>
      </w:r>
      <w:r w:rsidRPr="006564BE">
        <w:t xml:space="preserve"> samazina par summu, kas izriet no jebkuras Kredītiestāžu likuma 35.</w:t>
      </w:r>
      <w:r w:rsidRPr="006564BE">
        <w:rPr>
          <w:vertAlign w:val="superscript"/>
        </w:rPr>
        <w:t>35</w:t>
      </w:r>
      <w:r w:rsidR="006E220A">
        <w:rPr>
          <w:vertAlign w:val="superscript"/>
        </w:rPr>
        <w:t> </w:t>
      </w:r>
      <w:r w:rsidRPr="006564BE">
        <w:t>panta pirmās daļas 1.,</w:t>
      </w:r>
      <w:r w:rsidR="00753C59">
        <w:t xml:space="preserve"> </w:t>
      </w:r>
      <w:r w:rsidRPr="006564BE">
        <w:t>2.</w:t>
      </w:r>
      <w:r w:rsidR="006E220A">
        <w:t> </w:t>
      </w:r>
      <w:r w:rsidRPr="006564BE">
        <w:t>un 3.</w:t>
      </w:r>
      <w:r w:rsidR="006E220A">
        <w:t> </w:t>
      </w:r>
      <w:r w:rsidRPr="006564BE">
        <w:t>punktā minētās darbības</w:t>
      </w:r>
      <w:r w:rsidR="00D76CEE" w:rsidRPr="006564BE">
        <w:t>.</w:t>
      </w:r>
    </w:p>
    <w:p w14:paraId="4FF7EDDD" w14:textId="01575CC2" w:rsidR="00840034" w:rsidRPr="003A5E42" w:rsidRDefault="00D76CEE" w:rsidP="007C14CA">
      <w:pPr>
        <w:pStyle w:val="NApunkts1"/>
      </w:pPr>
      <w:bookmarkStart w:id="2" w:name="_Hlk133419644"/>
      <w:r w:rsidRPr="006564BE">
        <w:t>Summu, ko reizina saskaņā ar šo noteikumu 2.</w:t>
      </w:r>
      <w:r w:rsidR="006E220A">
        <w:t> </w:t>
      </w:r>
      <w:r w:rsidRPr="006564BE">
        <w:t>punkt</w:t>
      </w:r>
      <w:r w:rsidR="001B78D6" w:rsidRPr="006564BE">
        <w:t>u</w:t>
      </w:r>
      <w:r w:rsidRPr="006564BE">
        <w:t xml:space="preserve">, </w:t>
      </w:r>
      <w:r w:rsidRPr="00BC1C9C">
        <w:t>veido šo noteikumu 3.1.</w:t>
      </w:r>
      <w:r w:rsidR="006E220A" w:rsidRPr="00BC1C9C">
        <w:t> </w:t>
      </w:r>
      <w:r w:rsidRPr="00BC1C9C">
        <w:t>apakšpunktā minēto elementu kopsumma, kas samazināta par šo noteikumu 3.</w:t>
      </w:r>
      <w:r w:rsidR="006564BE" w:rsidRPr="00BC1C9C">
        <w:t>2</w:t>
      </w:r>
      <w:r w:rsidRPr="00BC1C9C">
        <w:t>.</w:t>
      </w:r>
      <w:r w:rsidR="006E220A" w:rsidRPr="00BC1C9C">
        <w:t> </w:t>
      </w:r>
      <w:r w:rsidRPr="00BC1C9C">
        <w:t>apakšpunktā minēto elementu kopsummu</w:t>
      </w:r>
      <w:r w:rsidRPr="003A5E42">
        <w:t>:</w:t>
      </w:r>
    </w:p>
    <w:p w14:paraId="38E29BE3" w14:textId="674B81AD" w:rsidR="00C441FC" w:rsidRDefault="00D76CEE" w:rsidP="00BC0133">
      <w:pPr>
        <w:pStyle w:val="NApunkts2"/>
        <w:ind w:left="0"/>
      </w:pPr>
      <w:bookmarkStart w:id="3" w:name="_Hlk133419606"/>
      <w:bookmarkEnd w:id="2"/>
      <w:r w:rsidRPr="006564BE">
        <w:lastRenderedPageBreak/>
        <w:t xml:space="preserve">jebkura starpposma </w:t>
      </w:r>
      <w:r w:rsidR="006564BE" w:rsidRPr="006564BE">
        <w:t>un</w:t>
      </w:r>
      <w:r w:rsidR="00C95349" w:rsidRPr="006564BE">
        <w:t xml:space="preserve"> </w:t>
      </w:r>
      <w:r w:rsidR="006564BE" w:rsidRPr="006564BE">
        <w:t>pārskata gada peļņa</w:t>
      </w:r>
      <w:r w:rsidRPr="006564BE">
        <w:t xml:space="preserve">, ja </w:t>
      </w:r>
      <w:r w:rsidR="00C95349">
        <w:t>kād</w:t>
      </w:r>
      <w:r w:rsidR="003A5E42">
        <w:t>a</w:t>
      </w:r>
      <w:r w:rsidR="00C95349">
        <w:t xml:space="preserve"> no </w:t>
      </w:r>
      <w:r w:rsidR="003A5E42">
        <w:t>tām</w:t>
      </w:r>
      <w:r w:rsidR="00C95349">
        <w:t xml:space="preserve"> nav iekļaut</w:t>
      </w:r>
      <w:r w:rsidR="003A5E42">
        <w:t>a</w:t>
      </w:r>
      <w:r w:rsidRPr="006564BE">
        <w:t xml:space="preserve"> pirmā līmeņa pamata kapitālā saskaņā ar </w:t>
      </w:r>
      <w:r w:rsidR="007D3423">
        <w:t>R</w:t>
      </w:r>
      <w:r w:rsidRPr="006564BE">
        <w:t>egulas Nr.</w:t>
      </w:r>
      <w:r w:rsidR="006E220A">
        <w:t> </w:t>
      </w:r>
      <w:r w:rsidRPr="006564BE">
        <w:t>575/2013 26.</w:t>
      </w:r>
      <w:r w:rsidR="006E220A">
        <w:t> </w:t>
      </w:r>
      <w:r w:rsidRPr="006564BE">
        <w:t>panta 2.</w:t>
      </w:r>
      <w:r w:rsidR="006E220A">
        <w:t> </w:t>
      </w:r>
      <w:r w:rsidRPr="006564BE">
        <w:t>punkt</w:t>
      </w:r>
      <w:r w:rsidR="00D440D4" w:rsidRPr="006564BE">
        <w:t>u</w:t>
      </w:r>
      <w:r w:rsidRPr="006564BE">
        <w:t xml:space="preserve"> un ir samazināta par jebkādu peļņas sadali vai par jebkādu maksājumu</w:t>
      </w:r>
      <w:r w:rsidRPr="00D76CEE">
        <w:t>, kas izriet</w:t>
      </w:r>
      <w:r w:rsidR="006A6886">
        <w:t xml:space="preserve"> no</w:t>
      </w:r>
      <w:r w:rsidR="00C441FC">
        <w:t>:</w:t>
      </w:r>
    </w:p>
    <w:p w14:paraId="0A05B582" w14:textId="0305C829" w:rsidR="00F34441" w:rsidRDefault="00D76CEE" w:rsidP="00BC0133">
      <w:pPr>
        <w:pStyle w:val="NApunkts3"/>
        <w:ind w:left="0"/>
      </w:pPr>
      <w:r w:rsidRPr="00D76CEE">
        <w:t>Kredītiestāžu likuma 35.</w:t>
      </w:r>
      <w:r w:rsidRPr="00315D01">
        <w:rPr>
          <w:vertAlign w:val="superscript"/>
        </w:rPr>
        <w:t>27</w:t>
      </w:r>
      <w:r w:rsidR="006E220A">
        <w:rPr>
          <w:vertAlign w:val="superscript"/>
        </w:rPr>
        <w:t> </w:t>
      </w:r>
      <w:r w:rsidRPr="00D76CEE">
        <w:t>panta pirmās daļas 1.,</w:t>
      </w:r>
      <w:r w:rsidR="00753C59">
        <w:t xml:space="preserve"> </w:t>
      </w:r>
      <w:r w:rsidRPr="00D76CEE">
        <w:t>2.</w:t>
      </w:r>
      <w:r w:rsidR="006E220A">
        <w:t> </w:t>
      </w:r>
      <w:r w:rsidRPr="00D76CEE">
        <w:t>un 3.</w:t>
      </w:r>
      <w:r w:rsidR="006E220A">
        <w:t> </w:t>
      </w:r>
      <w:r w:rsidRPr="00D76CEE">
        <w:t>punktā minētajām darbībām</w:t>
      </w:r>
      <w:bookmarkEnd w:id="3"/>
      <w:r w:rsidR="006A6886">
        <w:t xml:space="preserve"> – </w:t>
      </w:r>
      <w:r w:rsidR="006A6886" w:rsidRPr="00C441FC">
        <w:t>iestāde</w:t>
      </w:r>
      <w:r w:rsidR="006A6886">
        <w:t>i</w:t>
      </w:r>
      <w:r w:rsidR="006A6886" w:rsidRPr="00C441FC">
        <w:t>, k</w:t>
      </w:r>
      <w:r w:rsidR="006A6886">
        <w:t>as</w:t>
      </w:r>
      <w:r w:rsidR="006A6886" w:rsidRPr="00C441FC">
        <w:t xml:space="preserve"> neievēro kopējo kapitāla rezervju prasību</w:t>
      </w:r>
      <w:r w:rsidRPr="00D76CEE">
        <w:t>;</w:t>
      </w:r>
    </w:p>
    <w:p w14:paraId="0EDFDB89" w14:textId="76FE3773" w:rsidR="00C441FC" w:rsidRDefault="00C441FC" w:rsidP="00BC0133">
      <w:pPr>
        <w:pStyle w:val="NApunkts3"/>
        <w:ind w:left="0"/>
      </w:pPr>
      <w:r w:rsidRPr="00C441FC">
        <w:t>Kredītiestāžu likuma 35.</w:t>
      </w:r>
      <w:r w:rsidRPr="006564BE">
        <w:rPr>
          <w:vertAlign w:val="superscript"/>
        </w:rPr>
        <w:t>35</w:t>
      </w:r>
      <w:r w:rsidR="006E220A">
        <w:rPr>
          <w:vertAlign w:val="superscript"/>
        </w:rPr>
        <w:t> </w:t>
      </w:r>
      <w:r w:rsidRPr="00C441FC">
        <w:t>panta pirmās daļas 1.,</w:t>
      </w:r>
      <w:r w:rsidR="00753C59">
        <w:t xml:space="preserve"> </w:t>
      </w:r>
      <w:r w:rsidRPr="00C441FC">
        <w:t>2.</w:t>
      </w:r>
      <w:r w:rsidR="006E220A">
        <w:t> </w:t>
      </w:r>
      <w:r w:rsidRPr="00C441FC">
        <w:t>un 3.</w:t>
      </w:r>
      <w:r w:rsidR="006E220A">
        <w:t> </w:t>
      </w:r>
      <w:r w:rsidRPr="00C441FC">
        <w:t>punktā minētajām darbībām</w:t>
      </w:r>
      <w:r w:rsidR="006A6886">
        <w:t xml:space="preserve"> – </w:t>
      </w:r>
      <w:r w:rsidR="006A6886" w:rsidRPr="00C441FC">
        <w:t>iestāde</w:t>
      </w:r>
      <w:r w:rsidR="006A6886">
        <w:t>i</w:t>
      </w:r>
      <w:r w:rsidR="006A6886" w:rsidRPr="00C441FC">
        <w:t>, kas neievēro sviras rādītāja rezerves prasību</w:t>
      </w:r>
      <w:r>
        <w:t>;</w:t>
      </w:r>
    </w:p>
    <w:p w14:paraId="562C6C10" w14:textId="7FE62F64" w:rsidR="00D76CEE" w:rsidRDefault="00D76CEE" w:rsidP="00BC0133">
      <w:pPr>
        <w:pStyle w:val="NApunkts2"/>
        <w:ind w:left="0"/>
      </w:pPr>
      <w:r w:rsidRPr="008836F5">
        <w:t>nodokļu</w:t>
      </w:r>
      <w:r w:rsidRPr="00D76CEE">
        <w:t xml:space="preserve"> maksājumu kopsumma, kura būtu jāmaksā, ja šo noteikumu 3.1.</w:t>
      </w:r>
      <w:r w:rsidR="006E220A">
        <w:t> </w:t>
      </w:r>
      <w:r w:rsidRPr="00D76CEE">
        <w:t>apakšpunktā minētie elementi netiktu sadalīti.</w:t>
      </w:r>
    </w:p>
    <w:p w14:paraId="0DC8E6D6" w14:textId="60116A9A" w:rsidR="000B2CC6" w:rsidRDefault="000B2CC6" w:rsidP="007C14CA">
      <w:pPr>
        <w:pStyle w:val="NAnodalaromiesucipari"/>
      </w:pPr>
      <w:r w:rsidRPr="000B2CC6">
        <w:t>Koeficienta un kvartiles aprēķina kārtība</w:t>
      </w:r>
      <w:r>
        <w:t xml:space="preserve"> </w:t>
      </w:r>
      <w:r w:rsidRPr="000B2CC6">
        <w:t>iestāde</w:t>
      </w:r>
      <w:r>
        <w:t>i</w:t>
      </w:r>
      <w:r w:rsidRPr="000B2CC6">
        <w:t xml:space="preserve">, </w:t>
      </w:r>
      <w:r w:rsidR="006564BE" w:rsidRPr="000B2CC6">
        <w:t>k</w:t>
      </w:r>
      <w:r w:rsidR="006564BE">
        <w:t>as</w:t>
      </w:r>
      <w:r w:rsidR="006564BE" w:rsidRPr="000B2CC6">
        <w:t xml:space="preserve"> </w:t>
      </w:r>
      <w:r w:rsidRPr="000B2CC6">
        <w:t>neievēro kopējo kapitāla rezervju prasību</w:t>
      </w:r>
    </w:p>
    <w:p w14:paraId="5F671775" w14:textId="1DCB8074" w:rsidR="00810AC9" w:rsidRDefault="00D76CEE" w:rsidP="007C14CA">
      <w:pPr>
        <w:pStyle w:val="NApunkts1"/>
      </w:pPr>
      <w:r w:rsidRPr="00D76CEE">
        <w:t xml:space="preserve">Koeficientu nosaka </w:t>
      </w:r>
      <w:r w:rsidR="00474C69">
        <w:t xml:space="preserve">atbilstoši </w:t>
      </w:r>
      <w:r w:rsidR="00474C69" w:rsidRPr="008E5881">
        <w:t>pirmā līmeņa pamata kapitāl</w:t>
      </w:r>
      <w:r w:rsidR="00474C69">
        <w:t xml:space="preserve">am, </w:t>
      </w:r>
      <w:r w:rsidR="00474C69" w:rsidRPr="00474C69">
        <w:t xml:space="preserve">kuru </w:t>
      </w:r>
      <w:r w:rsidR="00474C69" w:rsidRPr="00D32D56">
        <w:t>iestāde</w:t>
      </w:r>
      <w:r w:rsidR="004B197E">
        <w:t xml:space="preserve">, kas neievēro </w:t>
      </w:r>
      <w:r w:rsidR="004B197E" w:rsidRPr="004B197E">
        <w:t>kopējo kapitāla rezervju prasību</w:t>
      </w:r>
      <w:r w:rsidR="004B197E">
        <w:t>,</w:t>
      </w:r>
      <w:r w:rsidR="00474C69" w:rsidRPr="00474C69">
        <w:t xml:space="preserve"> uztur, bet neizmanto, lai izpildītu</w:t>
      </w:r>
      <w:r w:rsidR="00481146">
        <w:t xml:space="preserve"> šo noteikumu </w:t>
      </w:r>
      <w:r w:rsidR="00481146" w:rsidRPr="00481146">
        <w:t>5.</w:t>
      </w:r>
      <w:r w:rsidR="00481146">
        <w:t> </w:t>
      </w:r>
      <w:r w:rsidR="00481146" w:rsidRPr="00481146">
        <w:t>punktā minētās pašu kapitāla prasības, un kurš izteikts kā procentuālā daļa no saskaņā ar Regulas Nr.</w:t>
      </w:r>
      <w:r w:rsidR="00CE4DB2">
        <w:t> </w:t>
      </w:r>
      <w:r w:rsidR="00481146" w:rsidRPr="00481146">
        <w:t>575/2013 92.</w:t>
      </w:r>
      <w:r w:rsidR="00CE4DB2">
        <w:t> </w:t>
      </w:r>
      <w:r w:rsidR="00481146" w:rsidRPr="00481146">
        <w:t>panta 3.</w:t>
      </w:r>
      <w:r w:rsidR="00CE4DB2">
        <w:t> </w:t>
      </w:r>
      <w:r w:rsidR="00481146" w:rsidRPr="00481146">
        <w:t>punktu aprēķinātās kopējās riska darījumu vērtības</w:t>
      </w:r>
      <w:r w:rsidR="00890D23">
        <w:t xml:space="preserve"> (turpmāk – neizmantotais </w:t>
      </w:r>
      <w:r w:rsidR="00890D23" w:rsidRPr="008E5881">
        <w:t>pirmā līmeņa pamata kapitāl</w:t>
      </w:r>
      <w:r w:rsidR="00890D23">
        <w:t>s)</w:t>
      </w:r>
      <w:r w:rsidR="00481146">
        <w:t>.</w:t>
      </w:r>
    </w:p>
    <w:p w14:paraId="48DB7FE2" w14:textId="15F177EC" w:rsidR="00481146" w:rsidRPr="00481146" w:rsidRDefault="00481146" w:rsidP="00481146">
      <w:pPr>
        <w:pStyle w:val="NApunkts1"/>
      </w:pPr>
      <w:r w:rsidRPr="00481146">
        <w:t>Šo noteikumu 4.</w:t>
      </w:r>
      <w:r w:rsidR="00CE4DB2">
        <w:t> </w:t>
      </w:r>
      <w:r w:rsidRPr="00481146">
        <w:t xml:space="preserve">punktā minētās pašu kapitāla prasības ir: </w:t>
      </w:r>
    </w:p>
    <w:p w14:paraId="1B6BE8E0" w14:textId="598AD040" w:rsidR="00481146" w:rsidRPr="00481146" w:rsidRDefault="00481146" w:rsidP="00BC0133">
      <w:pPr>
        <w:pStyle w:val="NApunkts2"/>
        <w:ind w:left="0"/>
      </w:pPr>
      <w:r w:rsidRPr="00806B1E">
        <w:t>jebkura no Regulas Nr.</w:t>
      </w:r>
      <w:r w:rsidR="00CE4DB2" w:rsidRPr="00806B1E">
        <w:t> </w:t>
      </w:r>
      <w:r w:rsidRPr="00806B1E">
        <w:t>575/2013 92.</w:t>
      </w:r>
      <w:r w:rsidR="00CE4DB2" w:rsidRPr="00806B1E">
        <w:t> </w:t>
      </w:r>
      <w:r w:rsidRPr="00806B1E">
        <w:t>panta 1.</w:t>
      </w:r>
      <w:r w:rsidR="00CE4DB2" w:rsidRPr="00806B1E">
        <w:t> </w:t>
      </w:r>
      <w:r w:rsidRPr="00806B1E">
        <w:t>punkta "a", "b" un "c"</w:t>
      </w:r>
      <w:r w:rsidR="00CE4DB2" w:rsidRPr="00806B1E">
        <w:t> </w:t>
      </w:r>
      <w:r w:rsidRPr="00806B1E">
        <w:t>apakšpunktā</w:t>
      </w:r>
      <w:r w:rsidRPr="00481146">
        <w:t xml:space="preserve"> noteikt</w:t>
      </w:r>
      <w:r w:rsidR="00593370">
        <w:t>aj</w:t>
      </w:r>
      <w:r w:rsidRPr="00481146">
        <w:t>ām pašu kapitāla prasībām</w:t>
      </w:r>
      <w:r w:rsidR="00F454CF">
        <w:t>;</w:t>
      </w:r>
      <w:r w:rsidR="00F454CF" w:rsidRPr="00481146">
        <w:t xml:space="preserve"> </w:t>
      </w:r>
    </w:p>
    <w:p w14:paraId="756D0702" w14:textId="495D3006" w:rsidR="00840034" w:rsidRDefault="00481146" w:rsidP="00BC0133">
      <w:pPr>
        <w:pStyle w:val="NApunkts2"/>
        <w:ind w:left="0"/>
      </w:pPr>
      <w:r w:rsidRPr="00481146">
        <w:t>saskaņā ar Kredītiestāžu likuma 101.</w:t>
      </w:r>
      <w:r w:rsidRPr="00CE4DB2">
        <w:rPr>
          <w:vertAlign w:val="superscript"/>
        </w:rPr>
        <w:t>3</w:t>
      </w:r>
      <w:r w:rsidR="00CE4DB2">
        <w:t> </w:t>
      </w:r>
      <w:r w:rsidRPr="00481146">
        <w:t>panta 4.</w:t>
      </w:r>
      <w:r w:rsidRPr="00CE4DB2">
        <w:rPr>
          <w:vertAlign w:val="superscript"/>
        </w:rPr>
        <w:t>4</w:t>
      </w:r>
      <w:r w:rsidR="00CE4DB2">
        <w:t> </w:t>
      </w:r>
      <w:r w:rsidRPr="00481146">
        <w:t>daļas 1.</w:t>
      </w:r>
      <w:r w:rsidR="00CE4DB2">
        <w:t> </w:t>
      </w:r>
      <w:r w:rsidRPr="00481146">
        <w:t>punktu noteikt</w:t>
      </w:r>
      <w:r>
        <w:t>ā</w:t>
      </w:r>
      <w:r w:rsidRPr="00481146">
        <w:t xml:space="preserve"> papildu pašu kapitāla prasīb</w:t>
      </w:r>
      <w:r>
        <w:t>a</w:t>
      </w:r>
      <w:r w:rsidRPr="00481146">
        <w:t>, k</w:t>
      </w:r>
      <w:r w:rsidR="00593370">
        <w:t>ura</w:t>
      </w:r>
      <w:r w:rsidRPr="00481146">
        <w:t xml:space="preserve"> attiecas uz riskiem, kas nav pārmērīgas sviras risks</w:t>
      </w:r>
      <w:r w:rsidR="00810AC9">
        <w:t>.</w:t>
      </w:r>
    </w:p>
    <w:p w14:paraId="0EF958B7" w14:textId="6EA8436A" w:rsidR="00810AC9" w:rsidRDefault="00810AC9" w:rsidP="00E81471">
      <w:pPr>
        <w:pStyle w:val="NApunkts1"/>
      </w:pPr>
      <w:r>
        <w:t>Šo noteikumu 4.</w:t>
      </w:r>
      <w:r w:rsidR="00291A05">
        <w:t> </w:t>
      </w:r>
      <w:r>
        <w:t>punktā minētais koeficients ir:</w:t>
      </w:r>
    </w:p>
    <w:p w14:paraId="2D0F7AEF" w14:textId="2E675959" w:rsidR="00D76CEE" w:rsidRPr="00CE4DB2" w:rsidRDefault="000519F3" w:rsidP="00BC0133">
      <w:pPr>
        <w:pStyle w:val="NApunkts2"/>
        <w:ind w:left="0"/>
      </w:pPr>
      <w:r>
        <w:t>nulle</w:t>
      </w:r>
      <w:r w:rsidR="00D76CEE" w:rsidRPr="00D76CEE">
        <w:t xml:space="preserve">, </w:t>
      </w:r>
      <w:r w:rsidR="00D76CEE" w:rsidRPr="008E5881">
        <w:t xml:space="preserve">ja </w:t>
      </w:r>
      <w:r w:rsidR="00890D23">
        <w:t>neizmantotais</w:t>
      </w:r>
      <w:r w:rsidR="00474C69" w:rsidRPr="00CE4DB2">
        <w:t xml:space="preserve"> </w:t>
      </w:r>
      <w:r w:rsidR="00D76CEE" w:rsidRPr="00CE4DB2">
        <w:t>pirmā līmeņa pamata kapitāls ir kopējo kapitāla rezervju prasības pirmās (tas ir, zemākās) kvartiles robežās;</w:t>
      </w:r>
    </w:p>
    <w:p w14:paraId="56BA3D7D" w14:textId="6DF374E6" w:rsidR="00F34441" w:rsidRPr="00806B1E" w:rsidRDefault="00D76CEE" w:rsidP="00BC0133">
      <w:pPr>
        <w:pStyle w:val="NApunkts2"/>
        <w:ind w:left="0"/>
      </w:pPr>
      <w:r w:rsidRPr="00806B1E">
        <w:t>0</w:t>
      </w:r>
      <w:r w:rsidR="00E81471" w:rsidRPr="00806B1E">
        <w:t>.</w:t>
      </w:r>
      <w:r w:rsidRPr="00806B1E">
        <w:t xml:space="preserve">2, ja </w:t>
      </w:r>
      <w:r w:rsidR="00890D23" w:rsidRPr="00806B1E">
        <w:t>neizmantotais</w:t>
      </w:r>
      <w:r w:rsidR="00B80458" w:rsidRPr="00806B1E">
        <w:t xml:space="preserve"> </w:t>
      </w:r>
      <w:r w:rsidRPr="00806B1E">
        <w:t>pirmā līmeņa pamata kapitāls ir kopējo kapitāla rezervju prasības otrās kvartiles robežās;</w:t>
      </w:r>
    </w:p>
    <w:p w14:paraId="69C656F2" w14:textId="077C28B6" w:rsidR="00F34441" w:rsidRPr="00806B1E" w:rsidRDefault="00D76CEE" w:rsidP="00BC0133">
      <w:pPr>
        <w:pStyle w:val="NApunkts2"/>
        <w:ind w:left="0"/>
      </w:pPr>
      <w:r w:rsidRPr="00806B1E">
        <w:t>0</w:t>
      </w:r>
      <w:r w:rsidR="00E81471" w:rsidRPr="00806B1E">
        <w:t>.</w:t>
      </w:r>
      <w:r w:rsidRPr="00806B1E">
        <w:t xml:space="preserve">4, ja </w:t>
      </w:r>
      <w:r w:rsidR="00890D23" w:rsidRPr="00806B1E">
        <w:t>neizmantotais</w:t>
      </w:r>
      <w:r w:rsidR="00B80458" w:rsidRPr="00806B1E">
        <w:t xml:space="preserve"> </w:t>
      </w:r>
      <w:r w:rsidRPr="00806B1E">
        <w:t>pirmā līmeņa pamata kapitāls ir kopējo kapitāla rezervju prasības trešās kvartiles robežās;</w:t>
      </w:r>
    </w:p>
    <w:p w14:paraId="60216169" w14:textId="2C0CC9E5" w:rsidR="00D76CEE" w:rsidRPr="00527FD8" w:rsidRDefault="004F58F6" w:rsidP="00BC0133">
      <w:pPr>
        <w:pStyle w:val="NApunkts2"/>
        <w:ind w:left="0"/>
      </w:pPr>
      <w:r w:rsidRPr="00806B1E">
        <w:t>0</w:t>
      </w:r>
      <w:r w:rsidR="00E81471" w:rsidRPr="00806B1E">
        <w:t>.</w:t>
      </w:r>
      <w:r w:rsidRPr="00806B1E">
        <w:t xml:space="preserve">6, ja </w:t>
      </w:r>
      <w:r w:rsidR="00890D23" w:rsidRPr="00806B1E">
        <w:t>neizmantotais</w:t>
      </w:r>
      <w:r w:rsidR="00B80458" w:rsidRPr="00806B1E">
        <w:t xml:space="preserve"> </w:t>
      </w:r>
      <w:r w:rsidRPr="00806B1E">
        <w:t>pirmā līmeņa pamata kapitāls ir kopējo kapitāla rezervju prasības ceturtās</w:t>
      </w:r>
      <w:r w:rsidRPr="004F58F6">
        <w:t xml:space="preserve"> (tas ir, augstākās) kvartiles robežās.</w:t>
      </w:r>
    </w:p>
    <w:p w14:paraId="4DD9C7D5" w14:textId="21473D4A" w:rsidR="00840034" w:rsidRDefault="004F58F6" w:rsidP="007C14CA">
      <w:pPr>
        <w:pStyle w:val="NApunkts1"/>
      </w:pPr>
      <w:r w:rsidRPr="004F58F6">
        <w:t>Kopējo kapitāla rezervju prasības katras kvartiles zemāko un augstāko robežu nosaka šādi:</w:t>
      </w:r>
    </w:p>
    <w:p w14:paraId="0E8091F9" w14:textId="3F58F424" w:rsidR="004F58F6" w:rsidRPr="005657B7" w:rsidRDefault="004F58F6" w:rsidP="00A41F27">
      <w:pPr>
        <w:pStyle w:val="NApunkts1"/>
        <w:numPr>
          <w:ilvl w:val="0"/>
          <w:numId w:val="0"/>
        </w:numPr>
        <w:rPr>
          <w:rFonts w:ascii="Cambria Math" w:hAnsi="Cambria Math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/>
            </w:rPr>
            <m:t>Kvartiles</m:t>
          </m:r>
          <w:proofErr w:type="spellEnd"/>
          <m:r>
            <m:rPr>
              <m:nor/>
            </m:rPr>
            <w:rPr>
              <w:rFonts w:ascii="Cambria Math" w:hAnsi="Cambria Math"/>
            </w:rPr>
            <m:t xml:space="preserve"> zemākā robeža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Kop</m:t>
              </m:r>
              <m:r>
                <m:rPr>
                  <m:sty m:val="p"/>
                </m:rPr>
                <w:rPr>
                  <w:rFonts w:ascii="Cambria Math" w:hAnsi="Cambria Math" w:hint="eastAsia"/>
                </w:rPr>
                <m:t>ē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jo kapit</m:t>
              </m:r>
              <m:r>
                <m:rPr>
                  <m:sty m:val="p"/>
                </m:rPr>
                <w:rPr>
                  <w:rFonts w:ascii="Cambria Math" w:hAnsi="Cambria Math" w:hint="eastAsia"/>
                </w:rPr>
                <m:t>ā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la rezervju pras</m:t>
              </m:r>
              <m:r>
                <m:rPr>
                  <m:sty m:val="p"/>
                </m:rPr>
                <w:rPr>
                  <w:rFonts w:ascii="Cambria Math" w:hAnsi="Cambria Math" w:hint="eastAsia"/>
                </w:rPr>
                <m:t>ī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ba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hint="eastAsia"/>
            </w:rPr>
            <m:t>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/>
                  <w:vertAlign w:val="subscript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e>
          </m:d>
        </m:oMath>
      </m:oMathPara>
    </w:p>
    <w:p w14:paraId="231D2BB7" w14:textId="29556B3B" w:rsidR="004F58F6" w:rsidRPr="005657B7" w:rsidRDefault="004F58F6" w:rsidP="007C14CA">
      <w:pPr>
        <w:pStyle w:val="NApunkts1"/>
        <w:numPr>
          <w:ilvl w:val="0"/>
          <w:numId w:val="0"/>
        </w:numPr>
        <w:rPr>
          <w:rFonts w:ascii="Cambria Math" w:hAnsi="Cambria Math"/>
          <w:vertAlign w:val="subscript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/>
            </w:rPr>
            <m:t>Kvartiles</m:t>
          </m:r>
          <w:proofErr w:type="spellEnd"/>
          <m:r>
            <m:rPr>
              <m:nor/>
            </m:rPr>
            <w:rPr>
              <w:rFonts w:ascii="Cambria Math" w:hAnsi="Cambria Math"/>
            </w:rPr>
            <m:t xml:space="preserve"> augstākā robeža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Kopējo kapitāla rezervju prasība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×Q</m:t>
          </m:r>
          <m:r>
            <m:rPr>
              <m:sty m:val="p"/>
            </m:rPr>
            <w:rPr>
              <w:rFonts w:ascii="Cambria Math" w:hAnsi="Cambria Math"/>
              <w:vertAlign w:val="subscript"/>
            </w:rPr>
            <m:t xml:space="preserve">n, </m:t>
          </m:r>
        </m:oMath>
      </m:oMathPara>
    </w:p>
    <w:p w14:paraId="56ECCBA0" w14:textId="307B65B7" w:rsidR="007D5BBE" w:rsidRDefault="007D5BBE" w:rsidP="007C14CA">
      <w:pPr>
        <w:pStyle w:val="NApunkts1"/>
        <w:numPr>
          <w:ilvl w:val="0"/>
          <w:numId w:val="0"/>
        </w:numPr>
      </w:pPr>
      <w:r>
        <w:t xml:space="preserve">kur </w:t>
      </w:r>
      <w:proofErr w:type="spellStart"/>
      <w:r>
        <w:t>Q</w:t>
      </w:r>
      <w:r>
        <w:rPr>
          <w:vertAlign w:val="subscript"/>
        </w:rPr>
        <w:t>n</w:t>
      </w:r>
      <w:proofErr w:type="spellEnd"/>
      <w:r>
        <w:rPr>
          <w:vertAlign w:val="subscript"/>
        </w:rPr>
        <w:t> </w:t>
      </w:r>
      <w:r>
        <w:t xml:space="preserve">ir attiecīgās </w:t>
      </w:r>
      <w:proofErr w:type="spellStart"/>
      <w:r>
        <w:t>kvartiles</w:t>
      </w:r>
      <w:proofErr w:type="spellEnd"/>
      <w:r>
        <w:t xml:space="preserve"> kārtas numurs.</w:t>
      </w:r>
    </w:p>
    <w:p w14:paraId="05B82C9D" w14:textId="67FE0D9E" w:rsidR="00474C69" w:rsidRDefault="000B2CC6" w:rsidP="007C14CA">
      <w:pPr>
        <w:pStyle w:val="NAnodalaromiesucipari"/>
      </w:pPr>
      <w:r w:rsidRPr="000B2CC6">
        <w:t>Koeficienta un kvartiles aprēķina kārtība iestāde</w:t>
      </w:r>
      <w:r>
        <w:t>i,</w:t>
      </w:r>
      <w:r w:rsidRPr="000B2CC6">
        <w:t xml:space="preserve"> kas neievēro sviras rādītāja rezerves prasību</w:t>
      </w:r>
    </w:p>
    <w:p w14:paraId="6696F7DB" w14:textId="5DA0CAEB" w:rsidR="00810AC9" w:rsidRDefault="000B2CC6" w:rsidP="007C14CA">
      <w:pPr>
        <w:pStyle w:val="NApunkts1"/>
      </w:pPr>
      <w:r w:rsidRPr="000B2CC6">
        <w:t>Koeficientu nosaka atbilstoši pirmā līmeņa kapitālam, kuru iestāde</w:t>
      </w:r>
      <w:r w:rsidR="004B197E">
        <w:t xml:space="preserve">, </w:t>
      </w:r>
      <w:r w:rsidR="004B197E" w:rsidRPr="004B197E">
        <w:t>kas neievēro sviras rādītāja rezerves prasību</w:t>
      </w:r>
      <w:r w:rsidR="004B197E">
        <w:t xml:space="preserve">, </w:t>
      </w:r>
      <w:r w:rsidRPr="000B2CC6">
        <w:t>uztur, bet neizmanto, lai izpildītu</w:t>
      </w:r>
      <w:r w:rsidR="00481146">
        <w:t xml:space="preserve"> šo noteikumu 9.</w:t>
      </w:r>
      <w:r w:rsidR="00CE4DB2">
        <w:t> </w:t>
      </w:r>
      <w:r w:rsidR="00481146">
        <w:t xml:space="preserve">punktā minētās pašu kapitāla prasības, </w:t>
      </w:r>
      <w:r w:rsidR="00481146" w:rsidRPr="00481146">
        <w:t>un kurš izteikts kā procentuālā daļa no saskaņā ar Regulas Nr.</w:t>
      </w:r>
      <w:r w:rsidR="00CE4DB2">
        <w:t> </w:t>
      </w:r>
      <w:r w:rsidR="00481146" w:rsidRPr="00481146">
        <w:t>575/2013 429.</w:t>
      </w:r>
      <w:r w:rsidR="00CE4DB2">
        <w:t> </w:t>
      </w:r>
      <w:r w:rsidR="00481146" w:rsidRPr="00481146">
        <w:t>panta 4.</w:t>
      </w:r>
      <w:r w:rsidR="00CE4DB2">
        <w:t> </w:t>
      </w:r>
      <w:r w:rsidR="00481146" w:rsidRPr="00481146">
        <w:t xml:space="preserve">punkta prasībām aprēķinātā </w:t>
      </w:r>
      <w:r w:rsidR="00481146" w:rsidRPr="00DF708B">
        <w:t>kopējā riska darījumu vērtības mēra</w:t>
      </w:r>
      <w:r w:rsidR="00DF708B">
        <w:t xml:space="preserve"> (turpmāk – neizmantotais pirmā līmeņa kapitāls)</w:t>
      </w:r>
      <w:r w:rsidR="00481146">
        <w:t>.</w:t>
      </w:r>
    </w:p>
    <w:p w14:paraId="37E0AB76" w14:textId="2250243C" w:rsidR="00481146" w:rsidRPr="00806B1E" w:rsidRDefault="00481146" w:rsidP="007C14CA">
      <w:pPr>
        <w:pStyle w:val="NApunkts1"/>
      </w:pPr>
      <w:r>
        <w:lastRenderedPageBreak/>
        <w:t xml:space="preserve">Šo </w:t>
      </w:r>
      <w:r w:rsidRPr="00806B1E">
        <w:t>noteikumu 8.</w:t>
      </w:r>
      <w:r w:rsidR="00CE4DB2" w:rsidRPr="00806B1E">
        <w:t> </w:t>
      </w:r>
      <w:r w:rsidRPr="00806B1E">
        <w:t>punktā minētās pašu kapitāla prasības ir:</w:t>
      </w:r>
    </w:p>
    <w:p w14:paraId="7DFB51C7" w14:textId="5791F71D" w:rsidR="00481146" w:rsidRPr="00806B1E" w:rsidRDefault="000B2CC6" w:rsidP="00BC0133">
      <w:pPr>
        <w:pStyle w:val="NApunkts2"/>
        <w:ind w:left="0"/>
      </w:pPr>
      <w:r w:rsidRPr="00806B1E">
        <w:t xml:space="preserve"> </w:t>
      </w:r>
      <w:r w:rsidR="007D3423" w:rsidRPr="00806B1E">
        <w:t>R</w:t>
      </w:r>
      <w:r w:rsidRPr="00806B1E">
        <w:t>egulas Nr.</w:t>
      </w:r>
      <w:r w:rsidR="004B197E" w:rsidRPr="00806B1E">
        <w:t> </w:t>
      </w:r>
      <w:r w:rsidRPr="00806B1E">
        <w:t>575/2013 92.</w:t>
      </w:r>
      <w:r w:rsidR="004B197E" w:rsidRPr="00806B1E">
        <w:t> </w:t>
      </w:r>
      <w:r w:rsidRPr="00806B1E">
        <w:t>panta 1.</w:t>
      </w:r>
      <w:r w:rsidR="004B197E" w:rsidRPr="00806B1E">
        <w:t> </w:t>
      </w:r>
      <w:r w:rsidRPr="00806B1E">
        <w:t>punkta "d"</w:t>
      </w:r>
      <w:r w:rsidR="004B197E" w:rsidRPr="00806B1E">
        <w:t> </w:t>
      </w:r>
      <w:r w:rsidR="0070615C" w:rsidRPr="00806B1E">
        <w:t xml:space="preserve">apakšpunktā </w:t>
      </w:r>
      <w:r w:rsidR="00481146" w:rsidRPr="00806B1E">
        <w:t xml:space="preserve">noteiktā </w:t>
      </w:r>
      <w:r w:rsidR="0070615C" w:rsidRPr="00806B1E">
        <w:t xml:space="preserve">pašu kapitāla </w:t>
      </w:r>
      <w:r w:rsidR="00481146" w:rsidRPr="00806B1E">
        <w:t>prasība</w:t>
      </w:r>
      <w:r w:rsidR="00F454CF" w:rsidRPr="00806B1E">
        <w:t>;</w:t>
      </w:r>
    </w:p>
    <w:p w14:paraId="18BFE974" w14:textId="4DFB2EAC" w:rsidR="00481146" w:rsidRPr="00806B1E" w:rsidRDefault="000B2CC6" w:rsidP="00BC0133">
      <w:pPr>
        <w:pStyle w:val="NApunkts2"/>
        <w:ind w:left="0"/>
      </w:pPr>
      <w:r w:rsidRPr="00806B1E">
        <w:t>saskaņā ar Kredītiestāžu likuma 101.</w:t>
      </w:r>
      <w:r w:rsidRPr="00806B1E">
        <w:rPr>
          <w:vertAlign w:val="superscript"/>
        </w:rPr>
        <w:t>3</w:t>
      </w:r>
      <w:r w:rsidR="004B197E" w:rsidRPr="00806B1E">
        <w:rPr>
          <w:vertAlign w:val="superscript"/>
        </w:rPr>
        <w:t> </w:t>
      </w:r>
      <w:r w:rsidRPr="00806B1E">
        <w:t>panta 4.</w:t>
      </w:r>
      <w:r w:rsidRPr="00806B1E">
        <w:rPr>
          <w:vertAlign w:val="superscript"/>
        </w:rPr>
        <w:t>4</w:t>
      </w:r>
      <w:r w:rsidR="004B197E" w:rsidRPr="00806B1E">
        <w:rPr>
          <w:vertAlign w:val="superscript"/>
        </w:rPr>
        <w:t> </w:t>
      </w:r>
      <w:r w:rsidRPr="00806B1E">
        <w:t>daļas 1.</w:t>
      </w:r>
      <w:r w:rsidR="004B197E" w:rsidRPr="00806B1E">
        <w:t> </w:t>
      </w:r>
      <w:r w:rsidRPr="00806B1E">
        <w:t xml:space="preserve">punktu </w:t>
      </w:r>
      <w:r w:rsidR="00F454CF" w:rsidRPr="00806B1E">
        <w:t xml:space="preserve">noteiktā </w:t>
      </w:r>
      <w:r w:rsidRPr="00806B1E">
        <w:t xml:space="preserve">papildu pašu kapitāla </w:t>
      </w:r>
      <w:r w:rsidR="00F454CF" w:rsidRPr="00806B1E">
        <w:t xml:space="preserve">prasība </w:t>
      </w:r>
      <w:r w:rsidRPr="00806B1E">
        <w:t xml:space="preserve">pārmērīgas sviras </w:t>
      </w:r>
      <w:r w:rsidR="00BC1C9C" w:rsidRPr="00806B1E">
        <w:t>riskam</w:t>
      </w:r>
      <w:r w:rsidRPr="00806B1E">
        <w:t xml:space="preserve">, kas nav pietiekami segts </w:t>
      </w:r>
      <w:r w:rsidR="0070615C" w:rsidRPr="00806B1E">
        <w:t xml:space="preserve">ar </w:t>
      </w:r>
      <w:r w:rsidR="007D3423" w:rsidRPr="00806B1E">
        <w:t>R</w:t>
      </w:r>
      <w:r w:rsidRPr="00806B1E">
        <w:t>egulas Nr.</w:t>
      </w:r>
      <w:r w:rsidR="004B197E" w:rsidRPr="00806B1E">
        <w:t> </w:t>
      </w:r>
      <w:r w:rsidRPr="00806B1E">
        <w:t>575/2013 92.</w:t>
      </w:r>
      <w:r w:rsidR="004B197E" w:rsidRPr="00806B1E">
        <w:t> </w:t>
      </w:r>
      <w:r w:rsidRPr="00806B1E">
        <w:t>panta 1.</w:t>
      </w:r>
      <w:r w:rsidR="004B197E" w:rsidRPr="00806B1E">
        <w:t> </w:t>
      </w:r>
      <w:r w:rsidRPr="00806B1E">
        <w:t>punkta "d"</w:t>
      </w:r>
      <w:r w:rsidR="004B197E" w:rsidRPr="00806B1E">
        <w:t> </w:t>
      </w:r>
      <w:r w:rsidR="0070615C" w:rsidRPr="00806B1E">
        <w:t>apakšpunktā noteikto prasību</w:t>
      </w:r>
      <w:r w:rsidR="00F454CF" w:rsidRPr="00806B1E">
        <w:t>.</w:t>
      </w:r>
    </w:p>
    <w:p w14:paraId="35100D78" w14:textId="778ACA97" w:rsidR="00F454CF" w:rsidRPr="00806B1E" w:rsidRDefault="00F454CF" w:rsidP="00F454CF">
      <w:pPr>
        <w:pStyle w:val="NApunkts1"/>
      </w:pPr>
      <w:r w:rsidRPr="00806B1E">
        <w:t>Šo noteikumu 8.</w:t>
      </w:r>
      <w:r w:rsidR="00CE4DB2" w:rsidRPr="00806B1E">
        <w:t> </w:t>
      </w:r>
      <w:r w:rsidRPr="00806B1E">
        <w:t>punktā minētais koeficients ir:</w:t>
      </w:r>
    </w:p>
    <w:p w14:paraId="31FAD71C" w14:textId="62ADC043" w:rsidR="000B2CC6" w:rsidRPr="00806B1E" w:rsidRDefault="00C441FC" w:rsidP="00BC0133">
      <w:pPr>
        <w:pStyle w:val="NApunkts2"/>
        <w:ind w:left="0"/>
      </w:pPr>
      <w:r w:rsidRPr="00806B1E">
        <w:t>nulle</w:t>
      </w:r>
      <w:r w:rsidR="000B2CC6" w:rsidRPr="00806B1E">
        <w:t xml:space="preserve">, ja </w:t>
      </w:r>
      <w:r w:rsidR="00DF708B" w:rsidRPr="00806B1E">
        <w:t>neizmantotais</w:t>
      </w:r>
      <w:r w:rsidR="000B2CC6" w:rsidRPr="00806B1E">
        <w:t xml:space="preserve"> pirmā līmeņa kapitāls ir sviras rādītāja rezerves prasības pirmās (tas ir, zemākās) kvartiles robežās;</w:t>
      </w:r>
    </w:p>
    <w:p w14:paraId="79ED3612" w14:textId="25E2EE76" w:rsidR="000B2CC6" w:rsidRPr="00806B1E" w:rsidRDefault="000B2CC6" w:rsidP="00BC0133">
      <w:pPr>
        <w:pStyle w:val="NApunkts2"/>
        <w:ind w:left="0"/>
      </w:pPr>
      <w:r w:rsidRPr="00806B1E">
        <w:t>0</w:t>
      </w:r>
      <w:r w:rsidR="00E81471" w:rsidRPr="00806B1E">
        <w:t>.</w:t>
      </w:r>
      <w:r w:rsidRPr="00806B1E">
        <w:t xml:space="preserve">2, ja </w:t>
      </w:r>
      <w:r w:rsidR="00DF708B" w:rsidRPr="00806B1E">
        <w:t xml:space="preserve">neizmantotais </w:t>
      </w:r>
      <w:r w:rsidRPr="00806B1E">
        <w:t>pirmā līmeņa kapitāls ir sviras rādītāja rezerves prasības otrās kvartiles robežās;</w:t>
      </w:r>
    </w:p>
    <w:p w14:paraId="7C070C85" w14:textId="47127C42" w:rsidR="000B2CC6" w:rsidRPr="00806B1E" w:rsidRDefault="000B2CC6" w:rsidP="00BC0133">
      <w:pPr>
        <w:pStyle w:val="NApunkts2"/>
        <w:ind w:left="0"/>
      </w:pPr>
      <w:r w:rsidRPr="00806B1E">
        <w:t>0</w:t>
      </w:r>
      <w:r w:rsidR="00E81471" w:rsidRPr="00806B1E">
        <w:t>.</w:t>
      </w:r>
      <w:r w:rsidRPr="00806B1E">
        <w:t xml:space="preserve">4, ja </w:t>
      </w:r>
      <w:r w:rsidR="00DF708B" w:rsidRPr="00806B1E">
        <w:t>neizmantotais</w:t>
      </w:r>
      <w:r w:rsidRPr="00806B1E">
        <w:t xml:space="preserve"> pirmā līmeņa kapitāls ir sviras rādītāja rezerves prasības trešās kvartiles robežās;</w:t>
      </w:r>
    </w:p>
    <w:p w14:paraId="785EA978" w14:textId="1AE0A695" w:rsidR="000B2CC6" w:rsidRDefault="000B2CC6" w:rsidP="00BC0133">
      <w:pPr>
        <w:pStyle w:val="NApunkts2"/>
        <w:ind w:left="0"/>
      </w:pPr>
      <w:r w:rsidRPr="00806B1E">
        <w:t>0</w:t>
      </w:r>
      <w:r w:rsidR="005E48AF" w:rsidRPr="00806B1E">
        <w:t>.</w:t>
      </w:r>
      <w:r w:rsidRPr="00806B1E">
        <w:t xml:space="preserve">6, ja </w:t>
      </w:r>
      <w:r w:rsidR="00DF708B" w:rsidRPr="00806B1E">
        <w:t>neizmantotais</w:t>
      </w:r>
      <w:r w:rsidRPr="00806B1E">
        <w:t xml:space="preserve"> pirmā līmeņa kapitāls ir sviras rādītāja rezerves prasības ceturtās</w:t>
      </w:r>
      <w:r w:rsidRPr="000B2CC6">
        <w:t xml:space="preserve"> (tas ir, augstākās) kvartiles robežās.</w:t>
      </w:r>
    </w:p>
    <w:p w14:paraId="384E510E" w14:textId="4A76FE3B" w:rsidR="000B2CC6" w:rsidRDefault="000B2CC6" w:rsidP="007C14CA">
      <w:pPr>
        <w:pStyle w:val="NApunkts1"/>
      </w:pPr>
      <w:r w:rsidRPr="000B2CC6">
        <w:t>Sviras rādītāja rezerves prasības katras kvartiles zemāko un augstāko robežu</w:t>
      </w:r>
      <w:r>
        <w:t xml:space="preserve"> nosaka šād</w:t>
      </w:r>
      <w:r w:rsidRPr="000B2CC6">
        <w:t>i:</w:t>
      </w:r>
    </w:p>
    <w:p w14:paraId="4EA17E95" w14:textId="07072004" w:rsidR="000B2CC6" w:rsidRPr="005657B7" w:rsidRDefault="000B2CC6" w:rsidP="00A41F27">
      <w:pPr>
        <w:pStyle w:val="NApunkts1"/>
        <w:numPr>
          <w:ilvl w:val="0"/>
          <w:numId w:val="0"/>
        </w:numPr>
        <w:rPr>
          <w:rFonts w:ascii="Cambria Math" w:hAnsi="Cambria Math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/>
            </w:rPr>
            <m:t>Kvartiles</m:t>
          </m:r>
          <w:proofErr w:type="spellEnd"/>
          <m:r>
            <m:rPr>
              <m:nor/>
            </m:rPr>
            <w:rPr>
              <w:rFonts w:ascii="Cambria Math" w:hAnsi="Cambria Math"/>
            </w:rPr>
            <m:t xml:space="preserve"> zemākā robeža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Sviras rādītāja rezerves pras</m:t>
              </m:r>
              <m:r>
                <m:rPr>
                  <m:sty m:val="p"/>
                </m:rPr>
                <w:rPr>
                  <w:rFonts w:ascii="Cambria Math" w:hAnsi="Cambria Math" w:hint="eastAsia"/>
                </w:rPr>
                <m:t>ī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ba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hint="eastAsia"/>
            </w:rPr>
            <m:t>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/>
                  <w:vertAlign w:val="subscript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e>
          </m:d>
        </m:oMath>
      </m:oMathPara>
    </w:p>
    <w:p w14:paraId="7A757194" w14:textId="77777777" w:rsidR="006564BE" w:rsidRPr="005657B7" w:rsidRDefault="000B2CC6" w:rsidP="007C14CA">
      <w:pPr>
        <w:pStyle w:val="NApunkts1"/>
        <w:numPr>
          <w:ilvl w:val="0"/>
          <w:numId w:val="0"/>
        </w:numPr>
        <w:rPr>
          <w:rFonts w:ascii="Cambria Math" w:hAnsi="Cambria Math"/>
          <w:vertAlign w:val="subscript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/>
            </w:rPr>
            <m:t>Kvartiles</m:t>
          </m:r>
          <w:proofErr w:type="spellEnd"/>
          <m:r>
            <m:rPr>
              <m:nor/>
            </m:rPr>
            <w:rPr>
              <w:rFonts w:ascii="Cambria Math" w:hAnsi="Cambria Math"/>
            </w:rPr>
            <m:t xml:space="preserve"> augstākā robeža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Sviras rādītāja rezerves pras</m:t>
              </m:r>
              <m:r>
                <m:rPr>
                  <m:sty m:val="p"/>
                </m:rPr>
                <w:rPr>
                  <w:rFonts w:ascii="Cambria Math" w:hAnsi="Cambria Math" w:hint="eastAsia"/>
                </w:rPr>
                <m:t>ī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ba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hint="eastAsia"/>
            </w:rPr>
            <m:t>×</m:t>
          </m:r>
          <m:r>
            <m:rPr>
              <m:sty m:val="p"/>
            </m:rPr>
            <w:rPr>
              <w:rFonts w:ascii="Cambria Math" w:hAnsi="Cambria Math"/>
            </w:rPr>
            <m:t>Q</m:t>
          </m:r>
          <m:r>
            <m:rPr>
              <m:sty m:val="p"/>
            </m:rPr>
            <w:rPr>
              <w:rFonts w:ascii="Cambria Math" w:hAnsi="Cambria Math"/>
              <w:vertAlign w:val="subscript"/>
            </w:rPr>
            <m:t>n,</m:t>
          </m:r>
        </m:oMath>
      </m:oMathPara>
    </w:p>
    <w:p w14:paraId="22A7AA6A" w14:textId="29DC1098" w:rsidR="000B2CC6" w:rsidRDefault="000B2CC6" w:rsidP="007C14CA">
      <w:pPr>
        <w:pStyle w:val="NApunkts1"/>
        <w:numPr>
          <w:ilvl w:val="0"/>
          <w:numId w:val="0"/>
        </w:numPr>
      </w:pPr>
      <w:r>
        <w:t xml:space="preserve">kur </w:t>
      </w:r>
      <w:proofErr w:type="spellStart"/>
      <w:r>
        <w:t>Q</w:t>
      </w:r>
      <w:r>
        <w:rPr>
          <w:vertAlign w:val="subscript"/>
        </w:rPr>
        <w:t>n</w:t>
      </w:r>
      <w:proofErr w:type="spellEnd"/>
      <w:r>
        <w:rPr>
          <w:vertAlign w:val="subscript"/>
        </w:rPr>
        <w:t> </w:t>
      </w:r>
      <w:r>
        <w:t xml:space="preserve">ir attiecīgās </w:t>
      </w:r>
      <w:proofErr w:type="spellStart"/>
      <w:r>
        <w:t>kvartiles</w:t>
      </w:r>
      <w:proofErr w:type="spellEnd"/>
      <w:r>
        <w:t xml:space="preserve"> kārtas numurs.</w:t>
      </w:r>
    </w:p>
    <w:p w14:paraId="705FF227" w14:textId="321CD868" w:rsidR="00E106BB" w:rsidRDefault="00E106BB" w:rsidP="007C14CA">
      <w:pPr>
        <w:pStyle w:val="NAnodalaromiesucipari"/>
      </w:pPr>
      <w:r>
        <w:t>Noslēguma jautājums</w:t>
      </w:r>
    </w:p>
    <w:p w14:paraId="369C98CC" w14:textId="77777777" w:rsidR="00A12C21" w:rsidRDefault="00283916" w:rsidP="007C14CA">
      <w:pPr>
        <w:pStyle w:val="NApunkts1"/>
      </w:pPr>
      <w:r>
        <w:t>Atzīt par spēku zaudējušiem</w:t>
      </w:r>
      <w:r w:rsidR="00A12C21">
        <w:t>:</w:t>
      </w:r>
    </w:p>
    <w:p w14:paraId="6DCD82BE" w14:textId="19B6B601" w:rsidR="00A12C21" w:rsidRDefault="004F58F6" w:rsidP="00BC0133">
      <w:pPr>
        <w:pStyle w:val="NApunkts2"/>
        <w:ind w:left="0"/>
      </w:pPr>
      <w:r w:rsidRPr="004F58F6">
        <w:t xml:space="preserve">Finanšu un kapitāla tirgus komisijas </w:t>
      </w:r>
      <w:r w:rsidR="0029497E" w:rsidRPr="004F58F6">
        <w:t>20</w:t>
      </w:r>
      <w:r w:rsidR="0029497E">
        <w:t>20</w:t>
      </w:r>
      <w:r w:rsidRPr="004F58F6">
        <w:t>.</w:t>
      </w:r>
      <w:r w:rsidR="00F34441">
        <w:t> </w:t>
      </w:r>
      <w:r w:rsidRPr="004F58F6">
        <w:t xml:space="preserve">gada </w:t>
      </w:r>
      <w:r w:rsidR="0029497E">
        <w:t>27</w:t>
      </w:r>
      <w:r w:rsidRPr="004F58F6">
        <w:t>.</w:t>
      </w:r>
      <w:r w:rsidR="00F34441">
        <w:t> </w:t>
      </w:r>
      <w:r w:rsidR="0029497E">
        <w:t>oktobra</w:t>
      </w:r>
      <w:r w:rsidR="0029497E" w:rsidRPr="004F58F6">
        <w:t xml:space="preserve"> </w:t>
      </w:r>
      <w:r w:rsidR="00283916" w:rsidRPr="004F58F6">
        <w:t>normatīv</w:t>
      </w:r>
      <w:r w:rsidR="00283916">
        <w:t>os</w:t>
      </w:r>
      <w:r w:rsidR="00283916" w:rsidRPr="004F58F6">
        <w:t xml:space="preserve"> noteikum</w:t>
      </w:r>
      <w:r w:rsidR="00283916">
        <w:t>us</w:t>
      </w:r>
      <w:r w:rsidR="00283916" w:rsidRPr="004F58F6">
        <w:t xml:space="preserve"> </w:t>
      </w:r>
      <w:r w:rsidRPr="004F58F6">
        <w:t>Nr.</w:t>
      </w:r>
      <w:r w:rsidR="00F34441">
        <w:t> </w:t>
      </w:r>
      <w:r w:rsidR="0029497E" w:rsidRPr="004F58F6">
        <w:t>1</w:t>
      </w:r>
      <w:r w:rsidR="0029497E">
        <w:t>98</w:t>
      </w:r>
      <w:r w:rsidR="0029497E" w:rsidRPr="004F58F6">
        <w:t xml:space="preserve"> </w:t>
      </w:r>
      <w:r w:rsidRPr="004F58F6">
        <w:t>"Normatīvie noteikumi par maksimāli sadalāmās summas aprēķināšanas kārtību"</w:t>
      </w:r>
      <w:r w:rsidR="00283916">
        <w:t xml:space="preserve"> </w:t>
      </w:r>
      <w:r w:rsidR="00283916" w:rsidRPr="00283916">
        <w:t>(Latvijas Vēstnesis, 2020, Nr.</w:t>
      </w:r>
      <w:r w:rsidR="00F34441">
        <w:t> </w:t>
      </w:r>
      <w:r w:rsidR="00283916" w:rsidRPr="00283916">
        <w:t>21</w:t>
      </w:r>
      <w:r w:rsidR="00283916">
        <w:t>4</w:t>
      </w:r>
      <w:r w:rsidR="00283916" w:rsidRPr="00283916">
        <w:t>; 202</w:t>
      </w:r>
      <w:r w:rsidR="00283916">
        <w:t>2</w:t>
      </w:r>
      <w:r w:rsidR="00283916" w:rsidRPr="00283916">
        <w:t>, Nr.</w:t>
      </w:r>
      <w:r w:rsidR="00F34441">
        <w:t> </w:t>
      </w:r>
      <w:r w:rsidR="00283916" w:rsidRPr="00283916">
        <w:t>1</w:t>
      </w:r>
      <w:r w:rsidR="00283916">
        <w:t>22</w:t>
      </w:r>
      <w:r w:rsidR="00283916" w:rsidRPr="00283916">
        <w:t>)</w:t>
      </w:r>
      <w:r w:rsidR="00A12C21">
        <w:t>;</w:t>
      </w:r>
    </w:p>
    <w:p w14:paraId="03BAE0C6" w14:textId="4A22315A" w:rsidR="00840034" w:rsidRDefault="000B2CC6" w:rsidP="00BC0133">
      <w:pPr>
        <w:pStyle w:val="NApunkts2"/>
        <w:ind w:left="0"/>
      </w:pPr>
      <w:r w:rsidRPr="004F58F6">
        <w:t>Finanšu un kapitāla tirgus komisijas</w:t>
      </w:r>
      <w:r>
        <w:t xml:space="preserve"> </w:t>
      </w:r>
      <w:r w:rsidRPr="000B2CC6">
        <w:t>2021.</w:t>
      </w:r>
      <w:r w:rsidR="0029219B">
        <w:t> </w:t>
      </w:r>
      <w:r w:rsidRPr="000B2CC6">
        <w:t>gada 16.</w:t>
      </w:r>
      <w:r w:rsidR="0029219B">
        <w:t> </w:t>
      </w:r>
      <w:r w:rsidRPr="000B2CC6">
        <w:t>novembr</w:t>
      </w:r>
      <w:r>
        <w:t xml:space="preserve">a </w:t>
      </w:r>
      <w:r w:rsidRPr="000B2CC6">
        <w:t>normatīvos noteikumus Nr.</w:t>
      </w:r>
      <w:r w:rsidR="0029219B">
        <w:t> </w:t>
      </w:r>
      <w:r>
        <w:t>155 "</w:t>
      </w:r>
      <w:r w:rsidRPr="000B2CC6">
        <w:t>Ar sviras rādītāja rezerves prasību saistītās maksimāli sadalāmās summas aprēķināšanas kārtība</w:t>
      </w:r>
      <w:r>
        <w:t>"</w:t>
      </w:r>
      <w:r w:rsidR="00C441FC">
        <w:t xml:space="preserve"> </w:t>
      </w:r>
      <w:r w:rsidR="00C441FC" w:rsidRPr="00283916">
        <w:t>(Latvijas Vēstnesis,</w:t>
      </w:r>
      <w:r w:rsidR="00C441FC">
        <w:t xml:space="preserve"> 2021, Nr.</w:t>
      </w:r>
      <w:r w:rsidR="0029219B">
        <w:t> </w:t>
      </w:r>
      <w:r w:rsidR="00C441FC">
        <w:t>228)</w:t>
      </w:r>
      <w:r w:rsidR="004F58F6" w:rsidRPr="004F58F6">
        <w:t>.</w:t>
      </w:r>
    </w:p>
    <w:p w14:paraId="0048EAD3" w14:textId="5DBECAD8" w:rsidR="004F58F6" w:rsidRDefault="004F58F6" w:rsidP="007C14CA">
      <w:pPr>
        <w:pStyle w:val="NApunkts1"/>
        <w:numPr>
          <w:ilvl w:val="0"/>
          <w:numId w:val="0"/>
        </w:numPr>
        <w:rPr>
          <w:b/>
          <w:bCs/>
        </w:rPr>
      </w:pPr>
      <w:r w:rsidRPr="004F58F6">
        <w:rPr>
          <w:b/>
          <w:bCs/>
        </w:rPr>
        <w:t>Informatīva atsauce uz Eiropas Savienības direktīvām</w:t>
      </w:r>
    </w:p>
    <w:p w14:paraId="0C63ED88" w14:textId="1B95EAF1" w:rsidR="004F58F6" w:rsidRPr="004F58F6" w:rsidRDefault="004F58F6" w:rsidP="00484CF0">
      <w:pPr>
        <w:pStyle w:val="NApunkts1"/>
        <w:numPr>
          <w:ilvl w:val="0"/>
          <w:numId w:val="0"/>
        </w:numPr>
      </w:pPr>
      <w:r w:rsidRPr="00F21A40">
        <w:t>Noteikumos iekļautas tiesību normas, kas izriet no</w:t>
      </w:r>
      <w:r w:rsidR="00484CF0">
        <w:t xml:space="preserve"> </w:t>
      </w:r>
      <w:r>
        <w:t>Eiropas Parlamenta un Padomes 2019.</w:t>
      </w:r>
      <w:r w:rsidR="00F34441">
        <w:t> </w:t>
      </w:r>
      <w:r>
        <w:t>gada 20.</w:t>
      </w:r>
      <w:r w:rsidR="00F34441">
        <w:t> </w:t>
      </w:r>
      <w:r>
        <w:t xml:space="preserve">maija </w:t>
      </w:r>
      <w:r w:rsidR="00175A11">
        <w:t>d</w:t>
      </w:r>
      <w:r>
        <w:t xml:space="preserve">irektīvas (ES) 2019/878, ar ko </w:t>
      </w:r>
      <w:r w:rsidR="00175A11">
        <w:t>d</w:t>
      </w:r>
      <w:r>
        <w:t>irektīvu 2013/36/ES groza attiecībā uz atbrīvotajām sabiedrībām, finanšu pārvaldītājsabiedrībām, jauktām finanšu pārvaldītājsabiedrībām, atalgojumu, uzraudzības pasākumiem un pilnvarām, kā arī kapitāla saglabāšanas pasākumiem.</w:t>
      </w:r>
    </w:p>
    <w:p w14:paraId="0DEE5EB1" w14:textId="77777777" w:rsidR="00FA055C" w:rsidRDefault="009C7FF1" w:rsidP="00A41F27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4FF953DA" w14:textId="77777777" w:rsidTr="00811BE5">
        <w:tc>
          <w:tcPr>
            <w:tcW w:w="4928" w:type="dxa"/>
            <w:vAlign w:val="bottom"/>
          </w:tcPr>
          <w:p w14:paraId="0CB35DE8" w14:textId="72663637" w:rsidR="00966987" w:rsidRDefault="00590D3E" w:rsidP="00A41F27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3F633EEFBAA7490D8C1716CF385A3D93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915F10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077B63193B6F49C8A843408F184C0C89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58264A32" w14:textId="627B68B3" w:rsidR="00966987" w:rsidRDefault="00915F10" w:rsidP="00A41F27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782A45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0769FCD0" w14:textId="77777777" w:rsidR="006D395C" w:rsidRPr="006D395C" w:rsidRDefault="006D395C" w:rsidP="00A41F27">
      <w:pPr>
        <w:rPr>
          <w:rFonts w:cs="Times New Roman"/>
          <w:szCs w:val="24"/>
        </w:rPr>
      </w:pPr>
    </w:p>
    <w:sectPr w:rsidR="006D395C" w:rsidRPr="006D395C" w:rsidSect="00DD5E3F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1E270" w14:textId="77777777" w:rsidR="00C343CD" w:rsidRDefault="00C343CD" w:rsidP="00AC4B00">
      <w:r>
        <w:separator/>
      </w:r>
    </w:p>
  </w:endnote>
  <w:endnote w:type="continuationSeparator" w:id="0">
    <w:p w14:paraId="2F702702" w14:textId="77777777" w:rsidR="00C343CD" w:rsidRDefault="00C343CD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488DA" w14:textId="77777777" w:rsidR="00C343CD" w:rsidRDefault="00C343CD" w:rsidP="00AC4B00">
      <w:r>
        <w:separator/>
      </w:r>
    </w:p>
  </w:footnote>
  <w:footnote w:type="continuationSeparator" w:id="0">
    <w:p w14:paraId="4BC93269" w14:textId="77777777" w:rsidR="00C343CD" w:rsidRDefault="00C343CD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62378C62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1654F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31495A60" wp14:editId="661CF1A2">
          <wp:extent cx="2087973" cy="737649"/>
          <wp:effectExtent l="19050" t="0" r="7527" b="0"/>
          <wp:docPr id="1509464860" name="Attēls 1509464860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F6ECF1B" wp14:editId="590C374B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56AD05C9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6A8C"/>
    <w:multiLevelType w:val="hybridMultilevel"/>
    <w:tmpl w:val="5EF6985A"/>
    <w:lvl w:ilvl="0" w:tplc="1E2A7A16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5D8C"/>
    <w:multiLevelType w:val="multilevel"/>
    <w:tmpl w:val="9FA630C8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1277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1"/>
  </w:num>
  <w:num w:numId="2" w16cid:durableId="765492621">
    <w:abstractNumId w:val="2"/>
  </w:num>
  <w:num w:numId="3" w16cid:durableId="656883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CEE"/>
    <w:rsid w:val="00000E64"/>
    <w:rsid w:val="00001229"/>
    <w:rsid w:val="00003926"/>
    <w:rsid w:val="000173CA"/>
    <w:rsid w:val="00017C12"/>
    <w:rsid w:val="00032F04"/>
    <w:rsid w:val="000519F3"/>
    <w:rsid w:val="0005617B"/>
    <w:rsid w:val="00057385"/>
    <w:rsid w:val="00060D2F"/>
    <w:rsid w:val="00062B10"/>
    <w:rsid w:val="00081D7E"/>
    <w:rsid w:val="000973A6"/>
    <w:rsid w:val="000A1923"/>
    <w:rsid w:val="000A39E1"/>
    <w:rsid w:val="000B2CC6"/>
    <w:rsid w:val="000B3673"/>
    <w:rsid w:val="000B41DB"/>
    <w:rsid w:val="000D18A5"/>
    <w:rsid w:val="000D18CE"/>
    <w:rsid w:val="000D30AB"/>
    <w:rsid w:val="000E3F95"/>
    <w:rsid w:val="000E4379"/>
    <w:rsid w:val="000F000D"/>
    <w:rsid w:val="001026BB"/>
    <w:rsid w:val="00111EFD"/>
    <w:rsid w:val="00123001"/>
    <w:rsid w:val="001306DB"/>
    <w:rsid w:val="00144636"/>
    <w:rsid w:val="001455DE"/>
    <w:rsid w:val="00145D4F"/>
    <w:rsid w:val="00151E1B"/>
    <w:rsid w:val="00174B6B"/>
    <w:rsid w:val="00175A11"/>
    <w:rsid w:val="0017771A"/>
    <w:rsid w:val="001938A8"/>
    <w:rsid w:val="0019595C"/>
    <w:rsid w:val="001B78D6"/>
    <w:rsid w:val="002016F8"/>
    <w:rsid w:val="00215938"/>
    <w:rsid w:val="00217271"/>
    <w:rsid w:val="002220E9"/>
    <w:rsid w:val="0023463E"/>
    <w:rsid w:val="00243801"/>
    <w:rsid w:val="002528E9"/>
    <w:rsid w:val="002573A6"/>
    <w:rsid w:val="00264E24"/>
    <w:rsid w:val="0026765A"/>
    <w:rsid w:val="00270005"/>
    <w:rsid w:val="002707D7"/>
    <w:rsid w:val="002728B2"/>
    <w:rsid w:val="00283916"/>
    <w:rsid w:val="00291A05"/>
    <w:rsid w:val="0029219B"/>
    <w:rsid w:val="0029497E"/>
    <w:rsid w:val="00294F01"/>
    <w:rsid w:val="002A0389"/>
    <w:rsid w:val="002B6A13"/>
    <w:rsid w:val="002C08EB"/>
    <w:rsid w:val="002C6FD2"/>
    <w:rsid w:val="002F29BA"/>
    <w:rsid w:val="002F6068"/>
    <w:rsid w:val="002F7091"/>
    <w:rsid w:val="00301089"/>
    <w:rsid w:val="0031086D"/>
    <w:rsid w:val="00315D01"/>
    <w:rsid w:val="00315D92"/>
    <w:rsid w:val="00323F53"/>
    <w:rsid w:val="00330899"/>
    <w:rsid w:val="00332330"/>
    <w:rsid w:val="00333D26"/>
    <w:rsid w:val="00334BEC"/>
    <w:rsid w:val="00365CD6"/>
    <w:rsid w:val="00366379"/>
    <w:rsid w:val="00373960"/>
    <w:rsid w:val="00373AEA"/>
    <w:rsid w:val="00385699"/>
    <w:rsid w:val="003A5E42"/>
    <w:rsid w:val="003C1EF2"/>
    <w:rsid w:val="003E088C"/>
    <w:rsid w:val="003E0FBE"/>
    <w:rsid w:val="003E3B26"/>
    <w:rsid w:val="003E46F5"/>
    <w:rsid w:val="003E47EE"/>
    <w:rsid w:val="00402B09"/>
    <w:rsid w:val="00403F97"/>
    <w:rsid w:val="00403FF6"/>
    <w:rsid w:val="00405DF6"/>
    <w:rsid w:val="00416C73"/>
    <w:rsid w:val="004239C6"/>
    <w:rsid w:val="00427E0A"/>
    <w:rsid w:val="00430E74"/>
    <w:rsid w:val="00440CAF"/>
    <w:rsid w:val="0046332D"/>
    <w:rsid w:val="00463E5D"/>
    <w:rsid w:val="00470B6A"/>
    <w:rsid w:val="00474C69"/>
    <w:rsid w:val="00481146"/>
    <w:rsid w:val="00484CF0"/>
    <w:rsid w:val="00487C02"/>
    <w:rsid w:val="0049232C"/>
    <w:rsid w:val="004A5AC0"/>
    <w:rsid w:val="004A63EE"/>
    <w:rsid w:val="004B092F"/>
    <w:rsid w:val="004B197E"/>
    <w:rsid w:val="004D50E6"/>
    <w:rsid w:val="004E3633"/>
    <w:rsid w:val="004F291D"/>
    <w:rsid w:val="004F58F6"/>
    <w:rsid w:val="004F6D30"/>
    <w:rsid w:val="005126E2"/>
    <w:rsid w:val="0051668E"/>
    <w:rsid w:val="005331D8"/>
    <w:rsid w:val="00535B61"/>
    <w:rsid w:val="00552690"/>
    <w:rsid w:val="00553206"/>
    <w:rsid w:val="00564C5A"/>
    <w:rsid w:val="005657B7"/>
    <w:rsid w:val="00574D0E"/>
    <w:rsid w:val="005778F7"/>
    <w:rsid w:val="00590D3E"/>
    <w:rsid w:val="00593370"/>
    <w:rsid w:val="005A025A"/>
    <w:rsid w:val="005A1302"/>
    <w:rsid w:val="005A22DF"/>
    <w:rsid w:val="005A2ECE"/>
    <w:rsid w:val="005A62A5"/>
    <w:rsid w:val="005A78C2"/>
    <w:rsid w:val="005B040C"/>
    <w:rsid w:val="005B116D"/>
    <w:rsid w:val="005C43B0"/>
    <w:rsid w:val="005C4F9F"/>
    <w:rsid w:val="005C517B"/>
    <w:rsid w:val="005E48AF"/>
    <w:rsid w:val="005E582F"/>
    <w:rsid w:val="005F62A8"/>
    <w:rsid w:val="005F65BC"/>
    <w:rsid w:val="006079AE"/>
    <w:rsid w:val="00626D42"/>
    <w:rsid w:val="00626EB7"/>
    <w:rsid w:val="006564BE"/>
    <w:rsid w:val="0066035A"/>
    <w:rsid w:val="00671C3D"/>
    <w:rsid w:val="006A0C4C"/>
    <w:rsid w:val="006A30B4"/>
    <w:rsid w:val="006A3AFD"/>
    <w:rsid w:val="006A6886"/>
    <w:rsid w:val="006A70E0"/>
    <w:rsid w:val="006D395C"/>
    <w:rsid w:val="006D49DB"/>
    <w:rsid w:val="006E220A"/>
    <w:rsid w:val="006E6DD0"/>
    <w:rsid w:val="006F5854"/>
    <w:rsid w:val="00704600"/>
    <w:rsid w:val="0070615C"/>
    <w:rsid w:val="00720D7B"/>
    <w:rsid w:val="00733D91"/>
    <w:rsid w:val="00741D1B"/>
    <w:rsid w:val="00746FE1"/>
    <w:rsid w:val="007522B1"/>
    <w:rsid w:val="00753C59"/>
    <w:rsid w:val="00754B84"/>
    <w:rsid w:val="007577AE"/>
    <w:rsid w:val="007616A1"/>
    <w:rsid w:val="00771CB0"/>
    <w:rsid w:val="0077573E"/>
    <w:rsid w:val="00782A45"/>
    <w:rsid w:val="00784DCB"/>
    <w:rsid w:val="0079205D"/>
    <w:rsid w:val="007A05A7"/>
    <w:rsid w:val="007A4159"/>
    <w:rsid w:val="007C0121"/>
    <w:rsid w:val="007C14CA"/>
    <w:rsid w:val="007C6D80"/>
    <w:rsid w:val="007D3423"/>
    <w:rsid w:val="007D5BBE"/>
    <w:rsid w:val="007E54AA"/>
    <w:rsid w:val="007F2179"/>
    <w:rsid w:val="007F4A16"/>
    <w:rsid w:val="007F51AD"/>
    <w:rsid w:val="00803C74"/>
    <w:rsid w:val="00806915"/>
    <w:rsid w:val="00806B1E"/>
    <w:rsid w:val="00810AC9"/>
    <w:rsid w:val="008113CD"/>
    <w:rsid w:val="00811BE5"/>
    <w:rsid w:val="008133E0"/>
    <w:rsid w:val="0083221C"/>
    <w:rsid w:val="00834230"/>
    <w:rsid w:val="00840034"/>
    <w:rsid w:val="0084631E"/>
    <w:rsid w:val="008548A6"/>
    <w:rsid w:val="008575CE"/>
    <w:rsid w:val="00861A53"/>
    <w:rsid w:val="0086737E"/>
    <w:rsid w:val="008738FB"/>
    <w:rsid w:val="008836F5"/>
    <w:rsid w:val="00890D23"/>
    <w:rsid w:val="008A529A"/>
    <w:rsid w:val="008C785E"/>
    <w:rsid w:val="008D1286"/>
    <w:rsid w:val="008E5881"/>
    <w:rsid w:val="008F3272"/>
    <w:rsid w:val="00914E2B"/>
    <w:rsid w:val="00915F10"/>
    <w:rsid w:val="00926D2C"/>
    <w:rsid w:val="00932794"/>
    <w:rsid w:val="00934ACC"/>
    <w:rsid w:val="00937AA2"/>
    <w:rsid w:val="009400BA"/>
    <w:rsid w:val="0094034D"/>
    <w:rsid w:val="00944EE2"/>
    <w:rsid w:val="00960648"/>
    <w:rsid w:val="00962F4A"/>
    <w:rsid w:val="00966987"/>
    <w:rsid w:val="00966FB8"/>
    <w:rsid w:val="009801BF"/>
    <w:rsid w:val="00985755"/>
    <w:rsid w:val="0098608B"/>
    <w:rsid w:val="00991D6F"/>
    <w:rsid w:val="009A43CE"/>
    <w:rsid w:val="009A5519"/>
    <w:rsid w:val="009B042A"/>
    <w:rsid w:val="009B7B30"/>
    <w:rsid w:val="009C42A8"/>
    <w:rsid w:val="009C7FF1"/>
    <w:rsid w:val="009E0DC1"/>
    <w:rsid w:val="009E1F4C"/>
    <w:rsid w:val="009F3319"/>
    <w:rsid w:val="00A12C21"/>
    <w:rsid w:val="00A24CF1"/>
    <w:rsid w:val="00A35387"/>
    <w:rsid w:val="00A3555E"/>
    <w:rsid w:val="00A41F27"/>
    <w:rsid w:val="00A457E8"/>
    <w:rsid w:val="00A45CCD"/>
    <w:rsid w:val="00A53315"/>
    <w:rsid w:val="00A56918"/>
    <w:rsid w:val="00A57663"/>
    <w:rsid w:val="00A64981"/>
    <w:rsid w:val="00A72A98"/>
    <w:rsid w:val="00A72D0B"/>
    <w:rsid w:val="00A8178F"/>
    <w:rsid w:val="00AA1C50"/>
    <w:rsid w:val="00AA4809"/>
    <w:rsid w:val="00AB2162"/>
    <w:rsid w:val="00AC4B00"/>
    <w:rsid w:val="00AD413F"/>
    <w:rsid w:val="00AD65E6"/>
    <w:rsid w:val="00AE0F9A"/>
    <w:rsid w:val="00AF06D9"/>
    <w:rsid w:val="00B00A08"/>
    <w:rsid w:val="00B03610"/>
    <w:rsid w:val="00B07832"/>
    <w:rsid w:val="00B22E69"/>
    <w:rsid w:val="00B31CE7"/>
    <w:rsid w:val="00B34B0F"/>
    <w:rsid w:val="00B367A8"/>
    <w:rsid w:val="00B400EE"/>
    <w:rsid w:val="00B42744"/>
    <w:rsid w:val="00B62B07"/>
    <w:rsid w:val="00B80458"/>
    <w:rsid w:val="00B85E98"/>
    <w:rsid w:val="00B87177"/>
    <w:rsid w:val="00B9535B"/>
    <w:rsid w:val="00BB311D"/>
    <w:rsid w:val="00BB3763"/>
    <w:rsid w:val="00BC0133"/>
    <w:rsid w:val="00BC1C9C"/>
    <w:rsid w:val="00BD0D4D"/>
    <w:rsid w:val="00BF0E8D"/>
    <w:rsid w:val="00BF41BD"/>
    <w:rsid w:val="00C0259D"/>
    <w:rsid w:val="00C0665E"/>
    <w:rsid w:val="00C13664"/>
    <w:rsid w:val="00C2284A"/>
    <w:rsid w:val="00C23D14"/>
    <w:rsid w:val="00C343CD"/>
    <w:rsid w:val="00C441FC"/>
    <w:rsid w:val="00C443AC"/>
    <w:rsid w:val="00C523D5"/>
    <w:rsid w:val="00C54D54"/>
    <w:rsid w:val="00C5530F"/>
    <w:rsid w:val="00C66E83"/>
    <w:rsid w:val="00C73633"/>
    <w:rsid w:val="00C74052"/>
    <w:rsid w:val="00C84CBA"/>
    <w:rsid w:val="00C902AC"/>
    <w:rsid w:val="00C95349"/>
    <w:rsid w:val="00C9585C"/>
    <w:rsid w:val="00CA78AB"/>
    <w:rsid w:val="00CC18A1"/>
    <w:rsid w:val="00CC367A"/>
    <w:rsid w:val="00CC54B4"/>
    <w:rsid w:val="00CD15A7"/>
    <w:rsid w:val="00CD3BD9"/>
    <w:rsid w:val="00CE248E"/>
    <w:rsid w:val="00CE4DB2"/>
    <w:rsid w:val="00CF43D0"/>
    <w:rsid w:val="00CF6323"/>
    <w:rsid w:val="00CF7AE3"/>
    <w:rsid w:val="00D02919"/>
    <w:rsid w:val="00D07390"/>
    <w:rsid w:val="00D1410C"/>
    <w:rsid w:val="00D26119"/>
    <w:rsid w:val="00D32D56"/>
    <w:rsid w:val="00D4242A"/>
    <w:rsid w:val="00D440D4"/>
    <w:rsid w:val="00D616CA"/>
    <w:rsid w:val="00D76CEE"/>
    <w:rsid w:val="00D9184A"/>
    <w:rsid w:val="00D97BE4"/>
    <w:rsid w:val="00DB385B"/>
    <w:rsid w:val="00DB66D4"/>
    <w:rsid w:val="00DB784C"/>
    <w:rsid w:val="00DD5E3F"/>
    <w:rsid w:val="00DE1F09"/>
    <w:rsid w:val="00DE3861"/>
    <w:rsid w:val="00DE5516"/>
    <w:rsid w:val="00DE671B"/>
    <w:rsid w:val="00DE735D"/>
    <w:rsid w:val="00DF708B"/>
    <w:rsid w:val="00E106BB"/>
    <w:rsid w:val="00E12625"/>
    <w:rsid w:val="00E25E1C"/>
    <w:rsid w:val="00E3140C"/>
    <w:rsid w:val="00E36793"/>
    <w:rsid w:val="00E3696A"/>
    <w:rsid w:val="00E43D58"/>
    <w:rsid w:val="00E67A3E"/>
    <w:rsid w:val="00E70723"/>
    <w:rsid w:val="00E76F9E"/>
    <w:rsid w:val="00E81471"/>
    <w:rsid w:val="00E818D0"/>
    <w:rsid w:val="00E820C4"/>
    <w:rsid w:val="00E87D02"/>
    <w:rsid w:val="00EA6CA5"/>
    <w:rsid w:val="00EC1D6E"/>
    <w:rsid w:val="00ED77C1"/>
    <w:rsid w:val="00EF6956"/>
    <w:rsid w:val="00F018B2"/>
    <w:rsid w:val="00F10222"/>
    <w:rsid w:val="00F1192F"/>
    <w:rsid w:val="00F13DD7"/>
    <w:rsid w:val="00F15FC7"/>
    <w:rsid w:val="00F21A40"/>
    <w:rsid w:val="00F237D0"/>
    <w:rsid w:val="00F306D8"/>
    <w:rsid w:val="00F30773"/>
    <w:rsid w:val="00F30F87"/>
    <w:rsid w:val="00F3140E"/>
    <w:rsid w:val="00F3441F"/>
    <w:rsid w:val="00F34441"/>
    <w:rsid w:val="00F41A15"/>
    <w:rsid w:val="00F454CF"/>
    <w:rsid w:val="00F51202"/>
    <w:rsid w:val="00F5647B"/>
    <w:rsid w:val="00F639B6"/>
    <w:rsid w:val="00F75A2C"/>
    <w:rsid w:val="00F77490"/>
    <w:rsid w:val="00F8030A"/>
    <w:rsid w:val="00F84CD0"/>
    <w:rsid w:val="00F8643C"/>
    <w:rsid w:val="00F87285"/>
    <w:rsid w:val="00F91ECF"/>
    <w:rsid w:val="00FA055C"/>
    <w:rsid w:val="00FA32EC"/>
    <w:rsid w:val="00FA74DB"/>
    <w:rsid w:val="00FA7AE0"/>
    <w:rsid w:val="00FB1572"/>
    <w:rsid w:val="00FC4D1E"/>
    <w:rsid w:val="00FD37FA"/>
    <w:rsid w:val="00FE202C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DFA27D"/>
  <w15:docId w15:val="{7C1C7940-108B-4031-BEC5-349947EAC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B87177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ind w:left="3545"/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0173CA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F58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58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58F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8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8F6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10"/>
    <w:pPr>
      <w:spacing w:after="0" w:line="240" w:lineRule="auto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B34B0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4B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3ACBE8C119B418483FC8FDC3CC8F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0A1F7-F5BD-4144-82F8-AC30B71596A6}"/>
      </w:docPartPr>
      <w:docPartBody>
        <w:p w:rsidR="00A979D0" w:rsidRDefault="00D02AF0" w:rsidP="00D02AF0">
          <w:pPr>
            <w:pStyle w:val="13ACBE8C119B418483FC8FDC3CC8FFEC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F919368CDE2D4193B387A170FF9DF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569AC-3A3D-4958-A802-FB3B70958221}"/>
      </w:docPartPr>
      <w:docPartBody>
        <w:p w:rsidR="00A979D0" w:rsidRDefault="00D02AF0" w:rsidP="00D02AF0">
          <w:pPr>
            <w:pStyle w:val="F919368CDE2D4193B387A170FF9DFDE5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F260DF0E552448B7A9014400182C0B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6E528-89C0-4712-BC5D-41EEAE697588}"/>
      </w:docPartPr>
      <w:docPartBody>
        <w:p w:rsidR="00A979D0" w:rsidRDefault="00D02AF0">
          <w:pPr>
            <w:pStyle w:val="F260DF0E552448B7A9014400182C0B4C"/>
          </w:pPr>
          <w:r>
            <w:t xml:space="preserve">Noteikumi </w:t>
          </w:r>
        </w:p>
      </w:docPartBody>
    </w:docPart>
    <w:docPart>
      <w:docPartPr>
        <w:name w:val="E62421987CC744939E08160B29301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FE01F6-4EFE-4477-B334-39BBB469054C}"/>
      </w:docPartPr>
      <w:docPartBody>
        <w:p w:rsidR="00A979D0" w:rsidRDefault="00D02AF0">
          <w:pPr>
            <w:pStyle w:val="E62421987CC744939E08160B293011CC"/>
          </w:pPr>
          <w:r>
            <w:t xml:space="preserve">Nr. </w:t>
          </w:r>
        </w:p>
      </w:docPartBody>
    </w:docPart>
    <w:docPart>
      <w:docPartPr>
        <w:name w:val="21A82A25B90947ECB457D57DEE8FB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17C3A-5421-4C5F-8C70-2F819E5E6163}"/>
      </w:docPartPr>
      <w:docPartBody>
        <w:p w:rsidR="00A979D0" w:rsidRDefault="00D02AF0">
          <w:pPr>
            <w:pStyle w:val="21A82A25B90947ECB457D57DEE8FB5DB"/>
          </w:pPr>
          <w:r>
            <w:t>_____</w:t>
          </w:r>
        </w:p>
      </w:docPartBody>
    </w:docPart>
    <w:docPart>
      <w:docPartPr>
        <w:name w:val="3F01D9EB19724F74A1E006E2E43A68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A408C-50E7-4CA9-9A56-40CF80725921}"/>
      </w:docPartPr>
      <w:docPartBody>
        <w:p w:rsidR="00A979D0" w:rsidRDefault="00D02AF0" w:rsidP="00D02AF0">
          <w:pPr>
            <w:pStyle w:val="3F01D9EB19724F74A1E006E2E43A68BC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1574F255F22345E983B2165B1D392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724BE7-0220-4D15-AFE2-E14CEBD4FD99}"/>
      </w:docPartPr>
      <w:docPartBody>
        <w:p w:rsidR="00A979D0" w:rsidRDefault="003C22E0">
          <w:pPr>
            <w:pStyle w:val="1574F255F22345E983B2165B1D392A0B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76A2A2F602D0440086E21C362455DD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B78C7A-C44D-43EC-9F75-E5828127CBCF}"/>
      </w:docPartPr>
      <w:docPartBody>
        <w:p w:rsidR="00A979D0" w:rsidRDefault="00D02AF0" w:rsidP="00D02AF0">
          <w:pPr>
            <w:pStyle w:val="76A2A2F602D0440086E21C362455DD6F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98504C0AB618413C9EC4BE47F5F78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A48695-4EC7-4744-8836-A9DF7E543D8E}"/>
      </w:docPartPr>
      <w:docPartBody>
        <w:p w:rsidR="00A979D0" w:rsidRDefault="00D02AF0" w:rsidP="00D02AF0">
          <w:pPr>
            <w:pStyle w:val="98504C0AB618413C9EC4BE47F5F78410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28124BB36BE14CD49C9428D8B18ACC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08EDC-8DD5-47EF-B33C-60DD98965B39}"/>
      </w:docPartPr>
      <w:docPartBody>
        <w:p w:rsidR="00A979D0" w:rsidRDefault="003C22E0">
          <w:pPr>
            <w:pStyle w:val="28124BB36BE14CD49C9428D8B18ACCB4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3F633EEFBAA7490D8C1716CF385A3D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32658E-0AA2-4581-BB33-3DDD20A5FCC0}"/>
      </w:docPartPr>
      <w:docPartBody>
        <w:p w:rsidR="00A979D0" w:rsidRDefault="003C22E0">
          <w:pPr>
            <w:pStyle w:val="3F633EEFBAA7490D8C1716CF385A3D93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077B63193B6F49C8A843408F184C0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627C5-6942-4D84-9E92-8FDBEB068A38}"/>
      </w:docPartPr>
      <w:docPartBody>
        <w:p w:rsidR="00A979D0" w:rsidRDefault="003C22E0">
          <w:pPr>
            <w:pStyle w:val="077B63193B6F49C8A843408F184C0C89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614A70C0F3084EC28015B7E81AA645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BA110F-3FC5-4452-A783-4FD694981CA1}"/>
      </w:docPartPr>
      <w:docPartBody>
        <w:p w:rsidR="00A979D0" w:rsidRDefault="003C22E0" w:rsidP="003C22E0">
          <w:pPr>
            <w:pStyle w:val="614A70C0F3084EC28015B7E81AA64511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FE0C72A17B7B4266A7059A50E57ED8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05DC1-3AF2-40F4-A3D9-B95A523AAF09}"/>
      </w:docPartPr>
      <w:docPartBody>
        <w:p w:rsidR="00A979D0" w:rsidRDefault="003C22E0" w:rsidP="003C22E0">
          <w:pPr>
            <w:pStyle w:val="FE0C72A17B7B4266A7059A50E57ED836"/>
          </w:pPr>
          <w:r>
            <w:rPr>
              <w:rFonts w:cs="Times New Roman"/>
              <w:szCs w:val="24"/>
            </w:rPr>
            <w:t>. panta</w:t>
          </w:r>
        </w:p>
      </w:docPartBody>
    </w:docPart>
    <w:docPart>
      <w:docPartPr>
        <w:name w:val="6429B675D1BC4F69A50D5A83C7D92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D7330A-63CB-44A1-B712-BE7059B91A4E}"/>
      </w:docPartPr>
      <w:docPartBody>
        <w:p w:rsidR="00A979D0" w:rsidRDefault="003C22E0" w:rsidP="003C22E0">
          <w:pPr>
            <w:pStyle w:val="6429B675D1BC4F69A50D5A83C7D92EED"/>
          </w:pPr>
          <w:r w:rsidRPr="00DB385B">
            <w:rPr>
              <w:rStyle w:val="PlaceholderText"/>
              <w:szCs w:val="24"/>
            </w:rPr>
            <w:t>[vārdiem]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E0"/>
    <w:rsid w:val="00310B53"/>
    <w:rsid w:val="003C22E0"/>
    <w:rsid w:val="00525F0F"/>
    <w:rsid w:val="00565FE6"/>
    <w:rsid w:val="00A979D0"/>
    <w:rsid w:val="00C15A91"/>
    <w:rsid w:val="00D02AF0"/>
    <w:rsid w:val="00F7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60DF0E552448B7A9014400182C0B4C">
    <w:name w:val="F260DF0E552448B7A9014400182C0B4C"/>
  </w:style>
  <w:style w:type="paragraph" w:customStyle="1" w:styleId="E62421987CC744939E08160B293011CC">
    <w:name w:val="E62421987CC744939E08160B293011CC"/>
  </w:style>
  <w:style w:type="paragraph" w:customStyle="1" w:styleId="21A82A25B90947ECB457D57DEE8FB5DB">
    <w:name w:val="21A82A25B90947ECB457D57DEE8FB5DB"/>
  </w:style>
  <w:style w:type="character" w:styleId="PlaceholderText">
    <w:name w:val="Placeholder Text"/>
    <w:basedOn w:val="DefaultParagraphFont"/>
    <w:uiPriority w:val="99"/>
    <w:semiHidden/>
    <w:rsid w:val="00D02AF0"/>
    <w:rPr>
      <w:color w:val="808080"/>
    </w:rPr>
  </w:style>
  <w:style w:type="paragraph" w:customStyle="1" w:styleId="1574F255F22345E983B2165B1D392A0B">
    <w:name w:val="1574F255F22345E983B2165B1D392A0B"/>
  </w:style>
  <w:style w:type="paragraph" w:customStyle="1" w:styleId="28124BB36BE14CD49C9428D8B18ACCB4">
    <w:name w:val="28124BB36BE14CD49C9428D8B18ACCB4"/>
  </w:style>
  <w:style w:type="paragraph" w:customStyle="1" w:styleId="3F633EEFBAA7490D8C1716CF385A3D93">
    <w:name w:val="3F633EEFBAA7490D8C1716CF385A3D93"/>
  </w:style>
  <w:style w:type="paragraph" w:customStyle="1" w:styleId="077B63193B6F49C8A843408F184C0C89">
    <w:name w:val="077B63193B6F49C8A843408F184C0C89"/>
  </w:style>
  <w:style w:type="paragraph" w:customStyle="1" w:styleId="614A70C0F3084EC28015B7E81AA64511">
    <w:name w:val="614A70C0F3084EC28015B7E81AA64511"/>
    <w:rsid w:val="003C22E0"/>
  </w:style>
  <w:style w:type="paragraph" w:customStyle="1" w:styleId="FE0C72A17B7B4266A7059A50E57ED836">
    <w:name w:val="FE0C72A17B7B4266A7059A50E57ED836"/>
    <w:rsid w:val="003C22E0"/>
  </w:style>
  <w:style w:type="paragraph" w:customStyle="1" w:styleId="6429B675D1BC4F69A50D5A83C7D92EED">
    <w:name w:val="6429B675D1BC4F69A50D5A83C7D92EED"/>
    <w:rsid w:val="003C22E0"/>
  </w:style>
  <w:style w:type="paragraph" w:customStyle="1" w:styleId="13ACBE8C119B418483FC8FDC3CC8FFEC">
    <w:name w:val="13ACBE8C119B418483FC8FDC3CC8FFEC"/>
    <w:rsid w:val="00D02AF0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F919368CDE2D4193B387A170FF9DFDE5">
    <w:name w:val="F919368CDE2D4193B387A170FF9DFDE5"/>
    <w:rsid w:val="00D02AF0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3F01D9EB19724F74A1E006E2E43A68BC">
    <w:name w:val="3F01D9EB19724F74A1E006E2E43A68BC"/>
    <w:rsid w:val="00D02AF0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76A2A2F602D0440086E21C362455DD6F">
    <w:name w:val="76A2A2F602D0440086E21C362455DD6F"/>
    <w:rsid w:val="00D02AF0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98504C0AB618413C9EC4BE47F5F78410">
    <w:name w:val="98504C0AB618413C9EC4BE47F5F78410"/>
    <w:rsid w:val="00D02AF0"/>
    <w:pPr>
      <w:spacing w:after="0" w:line="240" w:lineRule="auto"/>
    </w:pPr>
    <w:rPr>
      <w:rFonts w:ascii="Times New Roman" w:hAnsi="Times New Roman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4880</Words>
  <Characters>2783</Characters>
  <Application>Microsoft Office Word</Application>
  <DocSecurity>4</DocSecurity>
  <Lines>23</Lines>
  <Paragraphs>15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Jermoloviča</dc:creator>
  <cp:lastModifiedBy>Inga Jermoloviča</cp:lastModifiedBy>
  <cp:revision>2</cp:revision>
  <cp:lastPrinted>2023-05-19T08:33:00Z</cp:lastPrinted>
  <dcterms:created xsi:type="dcterms:W3CDTF">2023-08-03T11:22:00Z</dcterms:created>
  <dcterms:modified xsi:type="dcterms:W3CDTF">2023-08-03T11:22:00Z</dcterms:modified>
</cp:coreProperties>
</file>