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97D8F" w14:textId="41FA11EB" w:rsidR="003B481B" w:rsidRPr="004B54E5" w:rsidRDefault="00CA28AB" w:rsidP="00541C9A">
      <w:pPr>
        <w:spacing w:after="0" w:line="240" w:lineRule="auto"/>
        <w:jc w:val="center"/>
        <w:rPr>
          <w:rFonts w:ascii="Times New Roman" w:hAnsi="Times New Roman" w:cs="Times New Roman"/>
          <w:sz w:val="24"/>
          <w:szCs w:val="24"/>
        </w:rPr>
      </w:pPr>
      <w:r w:rsidRPr="004B54E5">
        <w:rPr>
          <w:rFonts w:ascii="Times New Roman" w:hAnsi="Times New Roman" w:cs="Times New Roman"/>
          <w:b/>
          <w:bCs/>
          <w:sz w:val="24"/>
          <w:szCs w:val="24"/>
        </w:rPr>
        <w:t xml:space="preserve">Latvijas Bankas noteikumu projekta </w:t>
      </w:r>
      <w:bookmarkStart w:id="0" w:name="_Hlk141168788"/>
      <w:r w:rsidR="004B54E5">
        <w:rPr>
          <w:rFonts w:ascii="Times New Roman" w:hAnsi="Times New Roman" w:cs="Times New Roman"/>
          <w:b/>
          <w:bCs/>
          <w:sz w:val="24"/>
          <w:szCs w:val="24"/>
        </w:rPr>
        <w:t xml:space="preserve">"Noteikumi </w:t>
      </w:r>
      <w:r w:rsidR="004B54E5" w:rsidRPr="004B54E5">
        <w:rPr>
          <w:rFonts w:ascii="Times New Roman" w:hAnsi="Times New Roman" w:cs="Times New Roman"/>
          <w:b/>
          <w:bCs/>
          <w:sz w:val="24"/>
          <w:szCs w:val="24"/>
        </w:rPr>
        <w:t>par Finanšu instrumentu tirgus likuma 60.</w:t>
      </w:r>
      <w:r w:rsidR="00AA27DE">
        <w:rPr>
          <w:rFonts w:ascii="Times New Roman" w:hAnsi="Times New Roman" w:cs="Times New Roman"/>
          <w:b/>
          <w:bCs/>
          <w:sz w:val="24"/>
          <w:szCs w:val="24"/>
        </w:rPr>
        <w:t> </w:t>
      </w:r>
      <w:r w:rsidR="004B54E5" w:rsidRPr="004B54E5">
        <w:rPr>
          <w:rFonts w:ascii="Times New Roman" w:hAnsi="Times New Roman" w:cs="Times New Roman"/>
          <w:b/>
          <w:bCs/>
          <w:sz w:val="24"/>
          <w:szCs w:val="24"/>
        </w:rPr>
        <w:t>panta pirmās daļas 3.</w:t>
      </w:r>
      <w:r w:rsidR="00AA27DE">
        <w:rPr>
          <w:rFonts w:ascii="Times New Roman" w:hAnsi="Times New Roman" w:cs="Times New Roman"/>
          <w:b/>
          <w:bCs/>
          <w:sz w:val="24"/>
          <w:szCs w:val="24"/>
        </w:rPr>
        <w:t> </w:t>
      </w:r>
      <w:r w:rsidR="004B54E5" w:rsidRPr="004B54E5">
        <w:rPr>
          <w:rFonts w:ascii="Times New Roman" w:hAnsi="Times New Roman" w:cs="Times New Roman"/>
          <w:b/>
          <w:bCs/>
          <w:sz w:val="24"/>
          <w:szCs w:val="24"/>
        </w:rPr>
        <w:t>punktā minēto finanšu instrumentu sarakstu</w:t>
      </w:r>
      <w:r w:rsidR="004B54E5">
        <w:rPr>
          <w:rFonts w:ascii="Times New Roman" w:hAnsi="Times New Roman" w:cs="Times New Roman"/>
          <w:b/>
          <w:bCs/>
          <w:sz w:val="24"/>
          <w:szCs w:val="24"/>
        </w:rPr>
        <w:t>"</w:t>
      </w:r>
      <w:bookmarkEnd w:id="0"/>
      <w:r w:rsidR="003B481B" w:rsidRPr="004B54E5">
        <w:rPr>
          <w:rFonts w:ascii="Times New Roman" w:hAnsi="Times New Roman" w:cs="Times New Roman"/>
          <w:b/>
          <w:bCs/>
          <w:sz w:val="24"/>
          <w:szCs w:val="24"/>
        </w:rPr>
        <w:t xml:space="preserve"> anotācija</w:t>
      </w:r>
    </w:p>
    <w:p w14:paraId="4CF2D308" w14:textId="77777777" w:rsidR="003B481B" w:rsidRPr="004B54E5" w:rsidRDefault="003B481B" w:rsidP="0049248A">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4B54E5" w14:paraId="5AF8613E" w14:textId="77777777" w:rsidTr="00E253DA">
        <w:trPr>
          <w:trHeight w:val="567"/>
        </w:trPr>
        <w:tc>
          <w:tcPr>
            <w:tcW w:w="1796" w:type="pct"/>
            <w:shd w:val="clear" w:color="auto" w:fill="auto"/>
            <w:hideMark/>
          </w:tcPr>
          <w:p w14:paraId="1A96ABF5" w14:textId="77777777" w:rsidR="00A42788" w:rsidRPr="004B54E5" w:rsidRDefault="00A42788" w:rsidP="000B4E0A">
            <w:pPr>
              <w:spacing w:after="0" w:line="240" w:lineRule="auto"/>
              <w:rPr>
                <w:rFonts w:ascii="Times New Roman" w:eastAsia="Times New Roman" w:hAnsi="Times New Roman" w:cs="Times New Roman"/>
                <w:b/>
                <w:bCs/>
                <w:sz w:val="24"/>
                <w:szCs w:val="24"/>
                <w:lang w:eastAsia="lv-LV"/>
              </w:rPr>
            </w:pPr>
            <w:r w:rsidRPr="004B54E5">
              <w:rPr>
                <w:rFonts w:ascii="Times New Roman" w:eastAsia="Times New Roman" w:hAnsi="Times New Roman" w:cs="Times New Roman"/>
                <w:b/>
                <w:bCs/>
                <w:sz w:val="24"/>
                <w:szCs w:val="24"/>
                <w:lang w:eastAsia="lv-LV"/>
              </w:rPr>
              <w:t>Nosaukums</w:t>
            </w:r>
          </w:p>
          <w:p w14:paraId="214F8583" w14:textId="77777777" w:rsidR="00CA28AB" w:rsidRPr="004B54E5"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2C1AC37" w14:textId="31455186" w:rsidR="00E53DE9" w:rsidRPr="004B54E5" w:rsidRDefault="00146E2C" w:rsidP="00BC6039">
            <w:pPr>
              <w:spacing w:after="0" w:line="240" w:lineRule="auto"/>
              <w:jc w:val="both"/>
              <w:rPr>
                <w:rFonts w:ascii="Times New Roman" w:eastAsia="Times New Roman" w:hAnsi="Times New Roman" w:cs="Times New Roman"/>
                <w:sz w:val="24"/>
                <w:szCs w:val="24"/>
                <w:lang w:eastAsia="lv-LV"/>
              </w:rPr>
            </w:pPr>
            <w:r w:rsidRPr="004B54E5">
              <w:rPr>
                <w:rFonts w:ascii="Times New Roman" w:eastAsia="Times New Roman" w:hAnsi="Times New Roman" w:cs="Times New Roman"/>
                <w:sz w:val="24"/>
                <w:szCs w:val="24"/>
                <w:lang w:eastAsia="lv-LV"/>
              </w:rPr>
              <w:t xml:space="preserve">Noteikumi par </w:t>
            </w:r>
            <w:r w:rsidR="00EE489E" w:rsidRPr="004B54E5">
              <w:rPr>
                <w:rFonts w:ascii="Times New Roman" w:eastAsia="Times New Roman" w:hAnsi="Times New Roman" w:cs="Times New Roman"/>
                <w:sz w:val="24"/>
                <w:szCs w:val="24"/>
                <w:lang w:eastAsia="lv-LV"/>
              </w:rPr>
              <w:t>Finanšu instrumentu tirgus likuma 60.</w:t>
            </w:r>
            <w:r w:rsidR="00AA27DE">
              <w:rPr>
                <w:rFonts w:ascii="Times New Roman" w:eastAsia="Times New Roman" w:hAnsi="Times New Roman" w:cs="Times New Roman"/>
                <w:sz w:val="24"/>
                <w:szCs w:val="24"/>
                <w:lang w:eastAsia="lv-LV"/>
              </w:rPr>
              <w:t> </w:t>
            </w:r>
            <w:r w:rsidR="00EE489E" w:rsidRPr="004B54E5">
              <w:rPr>
                <w:rFonts w:ascii="Times New Roman" w:eastAsia="Times New Roman" w:hAnsi="Times New Roman" w:cs="Times New Roman"/>
                <w:sz w:val="24"/>
                <w:szCs w:val="24"/>
                <w:lang w:eastAsia="lv-LV"/>
              </w:rPr>
              <w:t>panta pirmās daļas 3</w:t>
            </w:r>
            <w:r w:rsidR="00AA27DE" w:rsidRPr="004B54E5">
              <w:rPr>
                <w:rFonts w:ascii="Times New Roman" w:eastAsia="Times New Roman" w:hAnsi="Times New Roman" w:cs="Times New Roman"/>
                <w:sz w:val="24"/>
                <w:szCs w:val="24"/>
                <w:lang w:eastAsia="lv-LV"/>
              </w:rPr>
              <w:t>.</w:t>
            </w:r>
            <w:r w:rsidR="00AA27DE">
              <w:rPr>
                <w:rFonts w:ascii="Times New Roman" w:eastAsia="Times New Roman" w:hAnsi="Times New Roman" w:cs="Times New Roman"/>
                <w:sz w:val="24"/>
                <w:szCs w:val="24"/>
                <w:lang w:eastAsia="lv-LV"/>
              </w:rPr>
              <w:t> </w:t>
            </w:r>
            <w:r w:rsidR="00EE489E" w:rsidRPr="004B54E5">
              <w:rPr>
                <w:rFonts w:ascii="Times New Roman" w:eastAsia="Times New Roman" w:hAnsi="Times New Roman" w:cs="Times New Roman"/>
                <w:sz w:val="24"/>
                <w:szCs w:val="24"/>
                <w:lang w:eastAsia="lv-LV"/>
              </w:rPr>
              <w:t>punktā minēto finanšu instrumentu sarakstu</w:t>
            </w:r>
          </w:p>
        </w:tc>
      </w:tr>
      <w:tr w:rsidR="000B4E0A" w:rsidRPr="004B54E5" w14:paraId="40579981" w14:textId="77777777" w:rsidTr="00E253DA">
        <w:trPr>
          <w:trHeight w:val="567"/>
        </w:trPr>
        <w:tc>
          <w:tcPr>
            <w:tcW w:w="1796" w:type="pct"/>
            <w:shd w:val="clear" w:color="auto" w:fill="auto"/>
            <w:hideMark/>
          </w:tcPr>
          <w:p w14:paraId="6827898F" w14:textId="49241CE2" w:rsidR="00CA28AB" w:rsidRPr="004B54E5" w:rsidRDefault="00A42788" w:rsidP="005047C2">
            <w:pPr>
              <w:spacing w:after="0" w:line="240" w:lineRule="auto"/>
              <w:rPr>
                <w:rFonts w:ascii="Times New Roman" w:eastAsia="Times New Roman" w:hAnsi="Times New Roman" w:cs="Times New Roman"/>
                <w:b/>
                <w:bCs/>
                <w:sz w:val="24"/>
                <w:szCs w:val="24"/>
                <w:lang w:eastAsia="lv-LV"/>
              </w:rPr>
            </w:pPr>
            <w:r w:rsidRPr="004B54E5">
              <w:rPr>
                <w:rFonts w:ascii="Times New Roman" w:eastAsia="Times New Roman" w:hAnsi="Times New Roman" w:cs="Times New Roman"/>
                <w:b/>
                <w:bCs/>
                <w:sz w:val="24"/>
                <w:szCs w:val="24"/>
                <w:lang w:eastAsia="lv-LV"/>
              </w:rPr>
              <w:t>Dokumenta veids</w:t>
            </w:r>
          </w:p>
        </w:tc>
        <w:tc>
          <w:tcPr>
            <w:tcW w:w="3204" w:type="pct"/>
            <w:shd w:val="clear" w:color="auto" w:fill="auto"/>
          </w:tcPr>
          <w:p w14:paraId="4FD52E21" w14:textId="6A330F28" w:rsidR="00E53DE9" w:rsidRPr="004B54E5" w:rsidRDefault="004B27FC" w:rsidP="00BC6039">
            <w:pPr>
              <w:spacing w:after="0" w:line="240" w:lineRule="auto"/>
              <w:jc w:val="both"/>
              <w:rPr>
                <w:rFonts w:ascii="Times New Roman" w:eastAsia="Times New Roman" w:hAnsi="Times New Roman" w:cs="Times New Roman"/>
                <w:sz w:val="24"/>
                <w:szCs w:val="24"/>
                <w:lang w:eastAsia="lv-LV"/>
              </w:rPr>
            </w:pPr>
            <w:r w:rsidRPr="004B54E5">
              <w:rPr>
                <w:rFonts w:ascii="Times New Roman" w:eastAsia="Times New Roman" w:hAnsi="Times New Roman" w:cs="Times New Roman"/>
                <w:sz w:val="24"/>
                <w:szCs w:val="24"/>
                <w:lang w:eastAsia="lv-LV"/>
              </w:rPr>
              <w:t>Noteikumi</w:t>
            </w:r>
          </w:p>
        </w:tc>
      </w:tr>
      <w:tr w:rsidR="000B4E0A" w:rsidRPr="004B54E5" w14:paraId="100E5141" w14:textId="77777777" w:rsidTr="00E253DA">
        <w:trPr>
          <w:trHeight w:val="567"/>
        </w:trPr>
        <w:tc>
          <w:tcPr>
            <w:tcW w:w="1796" w:type="pct"/>
            <w:shd w:val="clear" w:color="auto" w:fill="auto"/>
            <w:hideMark/>
          </w:tcPr>
          <w:p w14:paraId="7BA8CAD1" w14:textId="77777777" w:rsidR="00A42788" w:rsidRPr="004B54E5" w:rsidRDefault="00A42788" w:rsidP="000B4E0A">
            <w:pPr>
              <w:spacing w:after="0" w:line="240" w:lineRule="auto"/>
              <w:rPr>
                <w:rFonts w:ascii="Times New Roman" w:eastAsia="Times New Roman" w:hAnsi="Times New Roman" w:cs="Times New Roman"/>
                <w:b/>
                <w:bCs/>
                <w:sz w:val="24"/>
                <w:szCs w:val="24"/>
                <w:lang w:eastAsia="lv-LV"/>
              </w:rPr>
            </w:pPr>
            <w:r w:rsidRPr="004B54E5">
              <w:rPr>
                <w:rFonts w:ascii="Times New Roman" w:eastAsia="Times New Roman" w:hAnsi="Times New Roman" w:cs="Times New Roman"/>
                <w:b/>
                <w:bCs/>
                <w:sz w:val="24"/>
                <w:szCs w:val="24"/>
                <w:lang w:eastAsia="lv-LV"/>
              </w:rPr>
              <w:t xml:space="preserve">Izdošanas pamatojums </w:t>
            </w:r>
          </w:p>
          <w:p w14:paraId="1579B5C8" w14:textId="77777777" w:rsidR="00CA28AB" w:rsidRPr="004B54E5"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93F64E3" w14:textId="2A374C19" w:rsidR="0088444E" w:rsidRPr="004B54E5" w:rsidRDefault="001C1305" w:rsidP="00C02116">
            <w:pPr>
              <w:spacing w:after="0" w:line="240" w:lineRule="auto"/>
              <w:jc w:val="both"/>
              <w:rPr>
                <w:rFonts w:ascii="Times New Roman" w:eastAsia="Times New Roman" w:hAnsi="Times New Roman" w:cs="Times New Roman"/>
                <w:sz w:val="24"/>
                <w:szCs w:val="24"/>
                <w:lang w:eastAsia="lv-LV"/>
              </w:rPr>
            </w:pPr>
            <w:r w:rsidRPr="004B54E5">
              <w:rPr>
                <w:rFonts w:ascii="Times New Roman" w:eastAsia="Times New Roman" w:hAnsi="Times New Roman" w:cs="Times New Roman"/>
                <w:sz w:val="24"/>
                <w:szCs w:val="24"/>
                <w:lang w:eastAsia="lv-LV"/>
              </w:rPr>
              <w:t>Atbilstoši Finanšu instrumentu tirgus likuma (turpmāk</w:t>
            </w:r>
            <w:r w:rsidR="00072882">
              <w:rPr>
                <w:rFonts w:ascii="Times New Roman" w:eastAsia="Times New Roman" w:hAnsi="Times New Roman" w:cs="Times New Roman"/>
                <w:sz w:val="24"/>
                <w:szCs w:val="24"/>
                <w:lang w:eastAsia="lv-LV"/>
              </w:rPr>
              <w:t> </w:t>
            </w:r>
            <w:r w:rsidRPr="004B54E5">
              <w:rPr>
                <w:rFonts w:ascii="Times New Roman" w:eastAsia="Times New Roman" w:hAnsi="Times New Roman" w:cs="Times New Roman"/>
                <w:sz w:val="24"/>
                <w:szCs w:val="24"/>
                <w:lang w:eastAsia="lv-LV"/>
              </w:rPr>
              <w:t xml:space="preserve">– Likums) </w:t>
            </w:r>
            <w:r w:rsidR="00EE489E" w:rsidRPr="004B54E5">
              <w:rPr>
                <w:rFonts w:ascii="Times New Roman" w:eastAsia="Times New Roman" w:hAnsi="Times New Roman" w:cs="Times New Roman"/>
                <w:sz w:val="24"/>
                <w:szCs w:val="24"/>
                <w:lang w:eastAsia="lv-LV"/>
              </w:rPr>
              <w:t>60.</w:t>
            </w:r>
            <w:r w:rsidR="0058131A">
              <w:rPr>
                <w:rFonts w:ascii="Times New Roman" w:eastAsia="Times New Roman" w:hAnsi="Times New Roman" w:cs="Times New Roman"/>
                <w:sz w:val="24"/>
                <w:szCs w:val="24"/>
                <w:lang w:eastAsia="lv-LV"/>
              </w:rPr>
              <w:t> </w:t>
            </w:r>
            <w:r w:rsidR="00EE489E" w:rsidRPr="004B54E5">
              <w:rPr>
                <w:rFonts w:ascii="Times New Roman" w:eastAsia="Times New Roman" w:hAnsi="Times New Roman" w:cs="Times New Roman"/>
                <w:sz w:val="24"/>
                <w:szCs w:val="24"/>
                <w:lang w:eastAsia="lv-LV"/>
              </w:rPr>
              <w:t>panta sestajai daļai</w:t>
            </w:r>
            <w:r w:rsidR="00072882">
              <w:rPr>
                <w:rFonts w:ascii="Times New Roman" w:eastAsia="Times New Roman" w:hAnsi="Times New Roman" w:cs="Times New Roman"/>
                <w:sz w:val="24"/>
                <w:szCs w:val="24"/>
                <w:lang w:eastAsia="lv-LV"/>
              </w:rPr>
              <w:t xml:space="preserve"> </w:t>
            </w:r>
            <w:r w:rsidR="00EE489E" w:rsidRPr="004B54E5">
              <w:rPr>
                <w:rFonts w:ascii="Times New Roman" w:eastAsia="Times New Roman" w:hAnsi="Times New Roman" w:cs="Times New Roman"/>
                <w:sz w:val="24"/>
                <w:szCs w:val="24"/>
                <w:lang w:eastAsia="lv-LV"/>
              </w:rPr>
              <w:t>Likuma 60.</w:t>
            </w:r>
            <w:r w:rsidR="00072882">
              <w:rPr>
                <w:rFonts w:ascii="Times New Roman" w:eastAsia="Times New Roman" w:hAnsi="Times New Roman" w:cs="Times New Roman"/>
                <w:sz w:val="24"/>
                <w:szCs w:val="24"/>
                <w:lang w:eastAsia="lv-LV"/>
              </w:rPr>
              <w:t> </w:t>
            </w:r>
            <w:r w:rsidR="00EE489E" w:rsidRPr="004B54E5">
              <w:rPr>
                <w:rFonts w:ascii="Times New Roman" w:eastAsia="Times New Roman" w:hAnsi="Times New Roman" w:cs="Times New Roman"/>
                <w:sz w:val="24"/>
                <w:szCs w:val="24"/>
                <w:lang w:eastAsia="lv-LV"/>
              </w:rPr>
              <w:t>panta pirmās daļas 3.</w:t>
            </w:r>
            <w:r w:rsidR="00072882">
              <w:rPr>
                <w:rFonts w:ascii="Times New Roman" w:eastAsia="Times New Roman" w:hAnsi="Times New Roman" w:cs="Times New Roman"/>
                <w:sz w:val="24"/>
                <w:szCs w:val="24"/>
                <w:lang w:eastAsia="lv-LV"/>
              </w:rPr>
              <w:t> </w:t>
            </w:r>
            <w:r w:rsidR="00EE489E" w:rsidRPr="004B54E5">
              <w:rPr>
                <w:rFonts w:ascii="Times New Roman" w:eastAsia="Times New Roman" w:hAnsi="Times New Roman" w:cs="Times New Roman"/>
                <w:sz w:val="24"/>
                <w:szCs w:val="24"/>
                <w:lang w:eastAsia="lv-LV"/>
              </w:rPr>
              <w:t xml:space="preserve">punktā minēto finanšu instrumentu sarakstu nosaka Latvijas Bankas noteikumi. </w:t>
            </w:r>
            <w:r w:rsidRPr="004B54E5">
              <w:rPr>
                <w:rFonts w:ascii="Times New Roman" w:eastAsia="Times New Roman" w:hAnsi="Times New Roman" w:cs="Times New Roman"/>
                <w:sz w:val="24"/>
                <w:szCs w:val="24"/>
                <w:lang w:eastAsia="lv-LV"/>
              </w:rPr>
              <w:t xml:space="preserve">Līdz ar to noteikumu projekts ir izstrādāts uz </w:t>
            </w:r>
            <w:r w:rsidR="008F4029">
              <w:rPr>
                <w:rFonts w:ascii="Times New Roman" w:eastAsia="Times New Roman" w:hAnsi="Times New Roman" w:cs="Times New Roman"/>
                <w:sz w:val="24"/>
                <w:szCs w:val="24"/>
                <w:lang w:eastAsia="lv-LV"/>
              </w:rPr>
              <w:t>L</w:t>
            </w:r>
            <w:r w:rsidRPr="004B54E5">
              <w:rPr>
                <w:rFonts w:ascii="Times New Roman" w:eastAsia="Times New Roman" w:hAnsi="Times New Roman" w:cs="Times New Roman"/>
                <w:sz w:val="24"/>
                <w:szCs w:val="24"/>
                <w:lang w:eastAsia="lv-LV"/>
              </w:rPr>
              <w:t>ikumā noteiktā deleģējuma pamata.</w:t>
            </w:r>
          </w:p>
        </w:tc>
      </w:tr>
      <w:tr w:rsidR="000B4E0A" w:rsidRPr="004B54E5" w14:paraId="646435C5" w14:textId="77777777" w:rsidTr="00E253DA">
        <w:trPr>
          <w:trHeight w:val="567"/>
        </w:trPr>
        <w:tc>
          <w:tcPr>
            <w:tcW w:w="1796" w:type="pct"/>
            <w:shd w:val="clear" w:color="auto" w:fill="auto"/>
            <w:hideMark/>
          </w:tcPr>
          <w:p w14:paraId="104FD699" w14:textId="77777777" w:rsidR="00A42788" w:rsidRPr="004B54E5" w:rsidRDefault="00A42788" w:rsidP="000B4E0A">
            <w:pPr>
              <w:spacing w:after="0" w:line="240" w:lineRule="auto"/>
              <w:rPr>
                <w:rFonts w:ascii="Times New Roman" w:eastAsia="Times New Roman" w:hAnsi="Times New Roman" w:cs="Times New Roman"/>
                <w:b/>
                <w:bCs/>
                <w:sz w:val="24"/>
                <w:szCs w:val="24"/>
                <w:lang w:eastAsia="lv-LV"/>
              </w:rPr>
            </w:pPr>
            <w:r w:rsidRPr="004B54E5">
              <w:rPr>
                <w:rFonts w:ascii="Times New Roman" w:eastAsia="Times New Roman" w:hAnsi="Times New Roman" w:cs="Times New Roman"/>
                <w:b/>
                <w:bCs/>
                <w:sz w:val="24"/>
                <w:szCs w:val="24"/>
                <w:lang w:eastAsia="lv-LV"/>
              </w:rPr>
              <w:t>Mērķis un būtība</w:t>
            </w:r>
          </w:p>
          <w:p w14:paraId="61E876F5" w14:textId="77777777" w:rsidR="00CA28AB" w:rsidRPr="004B54E5"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65CCB4C" w14:textId="0F973520" w:rsidR="00B146DD" w:rsidRDefault="00B146DD" w:rsidP="00B146DD">
            <w:pPr>
              <w:spacing w:after="0" w:line="240" w:lineRule="auto"/>
              <w:jc w:val="both"/>
              <w:rPr>
                <w:rFonts w:ascii="Times New Roman" w:eastAsia="Times New Roman" w:hAnsi="Times New Roman" w:cs="Times New Roman"/>
                <w:sz w:val="24"/>
                <w:szCs w:val="24"/>
                <w:lang w:eastAsia="lv-LV"/>
              </w:rPr>
            </w:pPr>
            <w:r w:rsidRPr="004B54E5">
              <w:rPr>
                <w:rFonts w:ascii="Times New Roman" w:eastAsia="Times New Roman" w:hAnsi="Times New Roman" w:cs="Times New Roman"/>
                <w:sz w:val="24"/>
                <w:szCs w:val="24"/>
                <w:lang w:eastAsia="lv-LV"/>
              </w:rPr>
              <w:t>Likuma 60.</w:t>
            </w:r>
            <w:r w:rsidR="00AA27DE">
              <w:rPr>
                <w:rFonts w:ascii="Times New Roman" w:eastAsia="Times New Roman" w:hAnsi="Times New Roman" w:cs="Times New Roman"/>
                <w:sz w:val="24"/>
                <w:szCs w:val="24"/>
                <w:lang w:eastAsia="lv-LV"/>
              </w:rPr>
              <w:t> </w:t>
            </w:r>
            <w:r w:rsidRPr="004B54E5">
              <w:rPr>
                <w:rFonts w:ascii="Times New Roman" w:eastAsia="Times New Roman" w:hAnsi="Times New Roman" w:cs="Times New Roman"/>
                <w:sz w:val="24"/>
                <w:szCs w:val="24"/>
                <w:lang w:eastAsia="lv-LV"/>
              </w:rPr>
              <w:t>panta pirmās daļas 3.</w:t>
            </w:r>
            <w:r w:rsidR="00AA27DE">
              <w:rPr>
                <w:rFonts w:ascii="Times New Roman" w:eastAsia="Times New Roman" w:hAnsi="Times New Roman" w:cs="Times New Roman"/>
                <w:sz w:val="24"/>
                <w:szCs w:val="24"/>
                <w:lang w:eastAsia="lv-LV"/>
              </w:rPr>
              <w:t> </w:t>
            </w:r>
            <w:r w:rsidRPr="004B54E5">
              <w:rPr>
                <w:rFonts w:ascii="Times New Roman" w:eastAsia="Times New Roman" w:hAnsi="Times New Roman" w:cs="Times New Roman"/>
                <w:sz w:val="24"/>
                <w:szCs w:val="24"/>
                <w:lang w:eastAsia="lv-LV"/>
              </w:rPr>
              <w:t>punkts paredz, ka pienākums paziņot par nozīmīgas līdzdalības iegūšanu vai zaudēšanu attiecas arī uz personām, kuras iegūst vai atsavina finanšu instrumentus, kuri no šiem finanšu instrumentiem izrietošo tiesību izpildes dienā dod personai tiesības saskaņā ar oficiālu vienošanos iegūt emitenta balsstiesīgās akcijas tādā akciju sabiedrībā, kuras akcijas iekļautas regulētajā tirgū Latvijas Republikā.</w:t>
            </w:r>
          </w:p>
          <w:p w14:paraId="46A0E1B6" w14:textId="77777777" w:rsidR="00E0268A" w:rsidRDefault="00E0268A" w:rsidP="00B146DD">
            <w:pPr>
              <w:spacing w:after="0" w:line="240" w:lineRule="auto"/>
              <w:jc w:val="both"/>
              <w:rPr>
                <w:rFonts w:ascii="Times New Roman" w:eastAsia="Times New Roman" w:hAnsi="Times New Roman" w:cs="Times New Roman"/>
                <w:sz w:val="24"/>
                <w:szCs w:val="24"/>
                <w:lang w:eastAsia="lv-LV"/>
              </w:rPr>
            </w:pPr>
          </w:p>
          <w:p w14:paraId="52365367" w14:textId="7D7F3557" w:rsidR="00E0268A" w:rsidRDefault="00E0268A" w:rsidP="00B146D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Saskaņā ar Likuma 60. panta ceturto daļu Likuma IV</w:t>
            </w:r>
            <w:r w:rsidR="0058131A">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nodaļas</w:t>
            </w:r>
            <w:r w:rsidRPr="00E0268A">
              <w:rPr>
                <w:rFonts w:ascii="Times New Roman" w:eastAsia="Times New Roman" w:hAnsi="Times New Roman" w:cs="Times New Roman"/>
                <w:sz w:val="24"/>
                <w:szCs w:val="24"/>
                <w:lang w:eastAsia="lv-LV"/>
              </w:rPr>
              <w:t xml:space="preserve"> prasības attiecas arī uz personām, kurām pieder </w:t>
            </w:r>
            <w:r>
              <w:rPr>
                <w:rFonts w:ascii="Times New Roman" w:eastAsia="Times New Roman" w:hAnsi="Times New Roman" w:cs="Times New Roman"/>
                <w:sz w:val="24"/>
                <w:szCs w:val="24"/>
                <w:lang w:eastAsia="lv-LV"/>
              </w:rPr>
              <w:t>Likuma</w:t>
            </w:r>
            <w:r w:rsidRPr="00E0268A">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60. </w:t>
            </w:r>
            <w:r w:rsidRPr="00E0268A">
              <w:rPr>
                <w:rFonts w:ascii="Times New Roman" w:eastAsia="Times New Roman" w:hAnsi="Times New Roman" w:cs="Times New Roman"/>
                <w:sz w:val="24"/>
                <w:szCs w:val="24"/>
                <w:lang w:eastAsia="lv-LV"/>
              </w:rPr>
              <w:t>panta pirmās daļas 3.</w:t>
            </w:r>
            <w:r>
              <w:rPr>
                <w:rFonts w:ascii="Times New Roman" w:eastAsia="Times New Roman" w:hAnsi="Times New Roman" w:cs="Times New Roman"/>
                <w:sz w:val="24"/>
                <w:szCs w:val="24"/>
                <w:lang w:eastAsia="lv-LV"/>
              </w:rPr>
              <w:t> </w:t>
            </w:r>
            <w:r w:rsidRPr="00E0268A">
              <w:rPr>
                <w:rFonts w:ascii="Times New Roman" w:eastAsia="Times New Roman" w:hAnsi="Times New Roman" w:cs="Times New Roman"/>
                <w:sz w:val="24"/>
                <w:szCs w:val="24"/>
                <w:lang w:eastAsia="lv-LV"/>
              </w:rPr>
              <w:t>punktā minētie finanšu instrumenti, ievērojot nosacījumu, ka tām saskaņā ar oficiālo vienošanos noteiktajā termiņā ir neierobežotas tiesības iegūt attiecīgās akcijas vai arī izvēles tiesības pēc saviem ieskatiem tās iegūt vai neiegūt.</w:t>
            </w:r>
          </w:p>
          <w:p w14:paraId="68756B85" w14:textId="77777777" w:rsidR="0058131A" w:rsidRDefault="0058131A" w:rsidP="00B146DD">
            <w:pPr>
              <w:spacing w:after="0" w:line="240" w:lineRule="auto"/>
              <w:jc w:val="both"/>
              <w:rPr>
                <w:rFonts w:ascii="Times New Roman" w:eastAsia="Times New Roman" w:hAnsi="Times New Roman" w:cs="Times New Roman"/>
                <w:sz w:val="24"/>
                <w:szCs w:val="24"/>
                <w:lang w:eastAsia="lv-LV"/>
              </w:rPr>
            </w:pPr>
          </w:p>
          <w:p w14:paraId="5908BD25" w14:textId="318E342C" w:rsidR="00E0268A" w:rsidRPr="004B54E5" w:rsidRDefault="00064C2D" w:rsidP="00B146D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Likuma 60.</w:t>
            </w:r>
            <w:r w:rsidR="00E0268A">
              <w:rPr>
                <w:rFonts w:ascii="Times New Roman" w:eastAsia="Times New Roman" w:hAnsi="Times New Roman" w:cs="Times New Roman"/>
                <w:sz w:val="24"/>
                <w:szCs w:val="24"/>
                <w:lang w:eastAsia="lv-LV"/>
              </w:rPr>
              <w:t xml:space="preserve"> panta piektā daļa noteic, ka Likuma 60. panta</w:t>
            </w:r>
            <w:r w:rsidR="00E0268A" w:rsidRPr="00E0268A">
              <w:rPr>
                <w:rFonts w:ascii="Times New Roman" w:eastAsia="Times New Roman" w:hAnsi="Times New Roman" w:cs="Times New Roman"/>
                <w:sz w:val="24"/>
                <w:szCs w:val="24"/>
                <w:lang w:eastAsia="lv-LV"/>
              </w:rPr>
              <w:t xml:space="preserve"> pirmās daļas 3.</w:t>
            </w:r>
            <w:r w:rsidR="00E0268A">
              <w:rPr>
                <w:rFonts w:ascii="Times New Roman" w:eastAsia="Times New Roman" w:hAnsi="Times New Roman" w:cs="Times New Roman"/>
                <w:sz w:val="24"/>
                <w:szCs w:val="24"/>
                <w:lang w:eastAsia="lv-LV"/>
              </w:rPr>
              <w:t> </w:t>
            </w:r>
            <w:r w:rsidR="00E0268A" w:rsidRPr="00E0268A">
              <w:rPr>
                <w:rFonts w:ascii="Times New Roman" w:eastAsia="Times New Roman" w:hAnsi="Times New Roman" w:cs="Times New Roman"/>
                <w:sz w:val="24"/>
                <w:szCs w:val="24"/>
                <w:lang w:eastAsia="lv-LV"/>
              </w:rPr>
              <w:t xml:space="preserve">punktā minētie finanšu instrumenti ir arī tādi finanšu instrumenti, attiecībā uz kuriem nav </w:t>
            </w:r>
            <w:r w:rsidR="00193480">
              <w:rPr>
                <w:rFonts w:ascii="Times New Roman" w:eastAsia="Times New Roman" w:hAnsi="Times New Roman" w:cs="Times New Roman"/>
                <w:sz w:val="24"/>
                <w:szCs w:val="24"/>
                <w:lang w:eastAsia="lv-LV"/>
              </w:rPr>
              <w:t>Likuma 60.</w:t>
            </w:r>
            <w:r w:rsidR="007D3932">
              <w:rPr>
                <w:rFonts w:ascii="Times New Roman" w:eastAsia="Times New Roman" w:hAnsi="Times New Roman" w:cs="Times New Roman"/>
                <w:sz w:val="24"/>
                <w:szCs w:val="24"/>
                <w:lang w:eastAsia="lv-LV"/>
              </w:rPr>
              <w:t> </w:t>
            </w:r>
            <w:r w:rsidR="00193480">
              <w:rPr>
                <w:rFonts w:ascii="Times New Roman" w:eastAsia="Times New Roman" w:hAnsi="Times New Roman" w:cs="Times New Roman"/>
                <w:sz w:val="24"/>
                <w:szCs w:val="24"/>
                <w:lang w:eastAsia="lv-LV"/>
              </w:rPr>
              <w:t>panta</w:t>
            </w:r>
            <w:r w:rsidR="00E0268A" w:rsidRPr="00E0268A">
              <w:rPr>
                <w:rFonts w:ascii="Times New Roman" w:eastAsia="Times New Roman" w:hAnsi="Times New Roman" w:cs="Times New Roman"/>
                <w:sz w:val="24"/>
                <w:szCs w:val="24"/>
                <w:lang w:eastAsia="lv-LV"/>
              </w:rPr>
              <w:t xml:space="preserve"> ceturtajā daļā minēto nosacījumu, bet kuri ir saistīti ar emitenta, kura pārvedami vērtspapīri ir iekļauti regulētajā tirgū, balsstiesīgajām akcijām vai potenciāli iegūstamajām balsstiesībām, kuru ekonomiskā ietekme ir līdzīga, neatkarīgi no tā, vai šie finanšu instrumenti piešķir vai nepiešķir tiesības veikt norēķinus finanšu instrumentos.</w:t>
            </w:r>
          </w:p>
          <w:p w14:paraId="25113BDE" w14:textId="77777777" w:rsidR="00CD7019" w:rsidRPr="004B54E5" w:rsidRDefault="00CD7019" w:rsidP="00B146DD">
            <w:pPr>
              <w:spacing w:after="0" w:line="240" w:lineRule="auto"/>
              <w:jc w:val="both"/>
              <w:rPr>
                <w:rFonts w:ascii="Times New Roman" w:eastAsia="Times New Roman" w:hAnsi="Times New Roman" w:cs="Times New Roman"/>
                <w:sz w:val="24"/>
                <w:szCs w:val="24"/>
                <w:lang w:eastAsia="lv-LV"/>
              </w:rPr>
            </w:pPr>
          </w:p>
          <w:p w14:paraId="560747A8" w14:textId="031EA77D" w:rsidR="00B146DD" w:rsidRDefault="00B146DD" w:rsidP="00B146DD">
            <w:pPr>
              <w:spacing w:after="0" w:line="240" w:lineRule="auto"/>
              <w:jc w:val="both"/>
              <w:rPr>
                <w:rFonts w:ascii="Times New Roman" w:eastAsia="Times New Roman" w:hAnsi="Times New Roman" w:cs="Times New Roman"/>
                <w:sz w:val="24"/>
                <w:szCs w:val="24"/>
                <w:lang w:eastAsia="lv-LV"/>
              </w:rPr>
            </w:pPr>
            <w:r w:rsidRPr="004B54E5">
              <w:rPr>
                <w:rFonts w:ascii="Times New Roman" w:eastAsia="Times New Roman" w:hAnsi="Times New Roman" w:cs="Times New Roman"/>
                <w:sz w:val="24"/>
                <w:szCs w:val="24"/>
                <w:lang w:eastAsia="lv-LV"/>
              </w:rPr>
              <w:t>Eiropas Parlamenta un Padomes 2004.</w:t>
            </w:r>
            <w:r w:rsidR="00AA27DE">
              <w:rPr>
                <w:rFonts w:ascii="Times New Roman" w:eastAsia="Times New Roman" w:hAnsi="Times New Roman" w:cs="Times New Roman"/>
                <w:sz w:val="24"/>
                <w:szCs w:val="24"/>
                <w:lang w:eastAsia="lv-LV"/>
              </w:rPr>
              <w:t> </w:t>
            </w:r>
            <w:r w:rsidRPr="004B54E5">
              <w:rPr>
                <w:rFonts w:ascii="Times New Roman" w:eastAsia="Times New Roman" w:hAnsi="Times New Roman" w:cs="Times New Roman"/>
                <w:sz w:val="24"/>
                <w:szCs w:val="24"/>
                <w:lang w:eastAsia="lv-LV"/>
              </w:rPr>
              <w:t>gada 15.</w:t>
            </w:r>
            <w:r w:rsidR="00AA27DE">
              <w:rPr>
                <w:rFonts w:ascii="Times New Roman" w:eastAsia="Times New Roman" w:hAnsi="Times New Roman" w:cs="Times New Roman"/>
                <w:sz w:val="24"/>
                <w:szCs w:val="24"/>
                <w:lang w:eastAsia="lv-LV"/>
              </w:rPr>
              <w:t> </w:t>
            </w:r>
            <w:r w:rsidRPr="004B54E5">
              <w:rPr>
                <w:rFonts w:ascii="Times New Roman" w:eastAsia="Times New Roman" w:hAnsi="Times New Roman" w:cs="Times New Roman"/>
                <w:sz w:val="24"/>
                <w:szCs w:val="24"/>
                <w:lang w:eastAsia="lv-LV"/>
              </w:rPr>
              <w:t xml:space="preserve">decembra </w:t>
            </w:r>
            <w:r w:rsidR="00844CF3">
              <w:rPr>
                <w:rFonts w:ascii="Times New Roman" w:eastAsia="Times New Roman" w:hAnsi="Times New Roman" w:cs="Times New Roman"/>
                <w:sz w:val="24"/>
                <w:szCs w:val="24"/>
                <w:lang w:eastAsia="lv-LV"/>
              </w:rPr>
              <w:t>d</w:t>
            </w:r>
            <w:r w:rsidRPr="004B54E5">
              <w:rPr>
                <w:rFonts w:ascii="Times New Roman" w:eastAsia="Times New Roman" w:hAnsi="Times New Roman" w:cs="Times New Roman"/>
                <w:sz w:val="24"/>
                <w:szCs w:val="24"/>
                <w:lang w:eastAsia="lv-LV"/>
              </w:rPr>
              <w:t>irektīva</w:t>
            </w:r>
            <w:r w:rsidR="00E0268A">
              <w:rPr>
                <w:rFonts w:ascii="Times New Roman" w:eastAsia="Times New Roman" w:hAnsi="Times New Roman" w:cs="Times New Roman"/>
                <w:sz w:val="24"/>
                <w:szCs w:val="24"/>
                <w:lang w:eastAsia="lv-LV"/>
              </w:rPr>
              <w:t>s</w:t>
            </w:r>
            <w:r w:rsidRPr="004B54E5">
              <w:rPr>
                <w:rFonts w:ascii="Times New Roman" w:eastAsia="Times New Roman" w:hAnsi="Times New Roman" w:cs="Times New Roman"/>
                <w:sz w:val="24"/>
                <w:szCs w:val="24"/>
                <w:lang w:eastAsia="lv-LV"/>
              </w:rPr>
              <w:t xml:space="preserve"> 2004/109/EK par atklātības prasību saskaņošanu attiecībā uz informāciju par emitentiem, kuru vērtspapīrus atļauts tirgot regulētā tirgū, un par </w:t>
            </w:r>
            <w:r w:rsidRPr="00F64DF5">
              <w:rPr>
                <w:rFonts w:ascii="Times New Roman" w:eastAsia="Times New Roman" w:hAnsi="Times New Roman" w:cs="Times New Roman"/>
                <w:sz w:val="24"/>
                <w:szCs w:val="24"/>
                <w:lang w:eastAsia="lv-LV"/>
              </w:rPr>
              <w:t>grozījumiem direktīvā 2001/34/EK</w:t>
            </w:r>
            <w:r w:rsidR="002C350E" w:rsidRPr="00F64DF5">
              <w:rPr>
                <w:rFonts w:ascii="Times New Roman" w:eastAsia="Times New Roman" w:hAnsi="Times New Roman" w:cs="Times New Roman"/>
                <w:sz w:val="24"/>
                <w:szCs w:val="24"/>
                <w:lang w:eastAsia="lv-LV"/>
              </w:rPr>
              <w:t xml:space="preserve"> </w:t>
            </w:r>
            <w:r w:rsidR="00A56572" w:rsidRPr="00F64DF5">
              <w:rPr>
                <w:rFonts w:ascii="Times New Roman" w:eastAsia="Times New Roman" w:hAnsi="Times New Roman" w:cs="Times New Roman"/>
                <w:sz w:val="24"/>
                <w:szCs w:val="24"/>
                <w:lang w:eastAsia="lv-LV"/>
              </w:rPr>
              <w:t>(turpmāk – Direktīva</w:t>
            </w:r>
            <w:r w:rsidR="003800D5" w:rsidRPr="00F64DF5">
              <w:rPr>
                <w:rFonts w:ascii="Times New Roman" w:eastAsia="Times New Roman" w:hAnsi="Times New Roman" w:cs="Times New Roman"/>
                <w:sz w:val="24"/>
                <w:szCs w:val="24"/>
                <w:lang w:eastAsia="lv-LV"/>
              </w:rPr>
              <w:t> </w:t>
            </w:r>
            <w:r w:rsidR="00A56572" w:rsidRPr="00F64DF5">
              <w:rPr>
                <w:rFonts w:ascii="Times New Roman" w:eastAsia="Times New Roman" w:hAnsi="Times New Roman" w:cs="Times New Roman"/>
                <w:sz w:val="24"/>
                <w:szCs w:val="24"/>
                <w:lang w:eastAsia="lv-LV"/>
              </w:rPr>
              <w:t>2004/109)</w:t>
            </w:r>
            <w:r w:rsidR="00844CF3" w:rsidRPr="00F64DF5">
              <w:rPr>
                <w:rFonts w:ascii="Times New Roman" w:eastAsia="Times New Roman" w:hAnsi="Times New Roman" w:cs="Times New Roman"/>
                <w:sz w:val="24"/>
                <w:szCs w:val="24"/>
                <w:lang w:eastAsia="lv-LV"/>
              </w:rPr>
              <w:t xml:space="preserve"> </w:t>
            </w:r>
            <w:r w:rsidR="002C350E" w:rsidRPr="00F64DF5">
              <w:rPr>
                <w:rFonts w:ascii="Times New Roman" w:eastAsia="Times New Roman" w:hAnsi="Times New Roman" w:cs="Times New Roman"/>
                <w:sz w:val="24"/>
                <w:szCs w:val="24"/>
                <w:lang w:eastAsia="lv-LV"/>
              </w:rPr>
              <w:t>13. panta 1</w:t>
            </w:r>
            <w:r w:rsidR="00064C2D" w:rsidRPr="00F64DF5">
              <w:rPr>
                <w:rFonts w:ascii="Times New Roman" w:eastAsia="Times New Roman" w:hAnsi="Times New Roman" w:cs="Times New Roman"/>
                <w:sz w:val="24"/>
                <w:szCs w:val="24"/>
                <w:lang w:eastAsia="lv-LV"/>
              </w:rPr>
              <w:t>.</w:t>
            </w:r>
            <w:r w:rsidR="002C350E" w:rsidRPr="00F64DF5">
              <w:rPr>
                <w:rFonts w:ascii="Times New Roman" w:eastAsia="Times New Roman" w:hAnsi="Times New Roman" w:cs="Times New Roman"/>
                <w:sz w:val="24"/>
                <w:szCs w:val="24"/>
                <w:lang w:eastAsia="lv-LV"/>
              </w:rPr>
              <w:t>b punktā noteikti finanšu instrumenti, kas jāņem vērā</w:t>
            </w:r>
            <w:r w:rsidR="00064C2D" w:rsidRPr="00F64DF5">
              <w:rPr>
                <w:rFonts w:ascii="Times New Roman" w:eastAsia="Times New Roman" w:hAnsi="Times New Roman" w:cs="Times New Roman"/>
                <w:sz w:val="24"/>
                <w:szCs w:val="24"/>
                <w:lang w:eastAsia="lv-LV"/>
              </w:rPr>
              <w:t>,</w:t>
            </w:r>
            <w:r w:rsidR="002C350E" w:rsidRPr="00F64DF5">
              <w:rPr>
                <w:rFonts w:ascii="Times New Roman" w:eastAsia="Times New Roman" w:hAnsi="Times New Roman" w:cs="Times New Roman"/>
                <w:sz w:val="24"/>
                <w:szCs w:val="24"/>
                <w:lang w:eastAsia="lv-LV"/>
              </w:rPr>
              <w:t xml:space="preserve"> aprēķinot līdzdalības apmēru</w:t>
            </w:r>
            <w:r w:rsidR="00064C2D" w:rsidRPr="00F64DF5">
              <w:rPr>
                <w:rFonts w:ascii="Times New Roman" w:eastAsia="Times New Roman" w:hAnsi="Times New Roman" w:cs="Times New Roman"/>
                <w:sz w:val="24"/>
                <w:szCs w:val="24"/>
                <w:lang w:eastAsia="lv-LV"/>
              </w:rPr>
              <w:t>,</w:t>
            </w:r>
            <w:r w:rsidR="002C350E" w:rsidRPr="00F64DF5">
              <w:rPr>
                <w:rFonts w:ascii="Times New Roman" w:eastAsia="Times New Roman" w:hAnsi="Times New Roman" w:cs="Times New Roman"/>
                <w:sz w:val="24"/>
                <w:szCs w:val="24"/>
                <w:lang w:eastAsia="lv-LV"/>
              </w:rPr>
              <w:t xml:space="preserve"> un</w:t>
            </w:r>
            <w:r w:rsidRPr="00F64DF5">
              <w:rPr>
                <w:rFonts w:ascii="Times New Roman" w:eastAsia="Times New Roman" w:hAnsi="Times New Roman" w:cs="Times New Roman"/>
                <w:sz w:val="24"/>
                <w:szCs w:val="24"/>
                <w:lang w:eastAsia="lv-LV"/>
              </w:rPr>
              <w:t xml:space="preserve"> cita starpā paredz</w:t>
            </w:r>
            <w:r w:rsidR="00064C2D" w:rsidRPr="00F64DF5">
              <w:rPr>
                <w:rFonts w:ascii="Times New Roman" w:eastAsia="Times New Roman" w:hAnsi="Times New Roman" w:cs="Times New Roman"/>
                <w:sz w:val="24"/>
                <w:szCs w:val="24"/>
                <w:lang w:eastAsia="lv-LV"/>
              </w:rPr>
              <w:t>ēts</w:t>
            </w:r>
            <w:r w:rsidRPr="00F64DF5">
              <w:rPr>
                <w:rFonts w:ascii="Times New Roman" w:eastAsia="Times New Roman" w:hAnsi="Times New Roman" w:cs="Times New Roman"/>
                <w:sz w:val="24"/>
                <w:szCs w:val="24"/>
                <w:lang w:eastAsia="lv-LV"/>
              </w:rPr>
              <w:t>, ka</w:t>
            </w:r>
            <w:r w:rsidRPr="004B54E5">
              <w:rPr>
                <w:rFonts w:ascii="Times New Roman" w:eastAsia="Times New Roman" w:hAnsi="Times New Roman" w:cs="Times New Roman"/>
                <w:sz w:val="24"/>
                <w:szCs w:val="24"/>
                <w:lang w:eastAsia="lv-LV"/>
              </w:rPr>
              <w:t xml:space="preserve"> Eiropas Vērtspapīru un tirgu iestāde izstrādā un periodiski atjaunina to finanšu </w:t>
            </w:r>
            <w:r w:rsidRPr="004B54E5">
              <w:rPr>
                <w:rFonts w:ascii="Times New Roman" w:eastAsia="Times New Roman" w:hAnsi="Times New Roman" w:cs="Times New Roman"/>
                <w:sz w:val="24"/>
                <w:szCs w:val="24"/>
                <w:lang w:eastAsia="lv-LV"/>
              </w:rPr>
              <w:lastRenderedPageBreak/>
              <w:t xml:space="preserve">instrumentu </w:t>
            </w:r>
            <w:r w:rsidR="00E023F3" w:rsidRPr="004B54E5">
              <w:rPr>
                <w:rFonts w:ascii="Times New Roman" w:eastAsia="Times New Roman" w:hAnsi="Times New Roman" w:cs="Times New Roman"/>
                <w:sz w:val="24"/>
                <w:szCs w:val="24"/>
                <w:lang w:eastAsia="lv-LV"/>
              </w:rPr>
              <w:t xml:space="preserve">orientējošu </w:t>
            </w:r>
            <w:r w:rsidRPr="004B54E5">
              <w:rPr>
                <w:rFonts w:ascii="Times New Roman" w:eastAsia="Times New Roman" w:hAnsi="Times New Roman" w:cs="Times New Roman"/>
                <w:sz w:val="24"/>
                <w:szCs w:val="24"/>
                <w:lang w:eastAsia="lv-LV"/>
              </w:rPr>
              <w:t>sarakstu, uz kuriem attiecas paziņošanas prasības par nozīmīgas līdzdalības iegūšanu vai zaudēšanu</w:t>
            </w:r>
            <w:r w:rsidR="008F4029">
              <w:rPr>
                <w:rFonts w:ascii="Times New Roman" w:eastAsia="Times New Roman" w:hAnsi="Times New Roman" w:cs="Times New Roman"/>
                <w:sz w:val="24"/>
                <w:szCs w:val="24"/>
                <w:lang w:eastAsia="lv-LV"/>
              </w:rPr>
              <w:t xml:space="preserve">, ņemot vērā </w:t>
            </w:r>
            <w:r w:rsidR="00064C2D">
              <w:rPr>
                <w:rFonts w:ascii="Times New Roman" w:eastAsia="Times New Roman" w:hAnsi="Times New Roman" w:cs="Times New Roman"/>
                <w:sz w:val="24"/>
                <w:szCs w:val="24"/>
                <w:lang w:eastAsia="lv-LV"/>
              </w:rPr>
              <w:t xml:space="preserve">finanšu tirgu </w:t>
            </w:r>
            <w:r w:rsidR="008F4029">
              <w:rPr>
                <w:rFonts w:ascii="Times New Roman" w:eastAsia="Times New Roman" w:hAnsi="Times New Roman" w:cs="Times New Roman"/>
                <w:sz w:val="24"/>
                <w:szCs w:val="24"/>
                <w:lang w:eastAsia="lv-LV"/>
              </w:rPr>
              <w:t>tehnisko attīstību.</w:t>
            </w:r>
          </w:p>
          <w:p w14:paraId="0E12984A" w14:textId="77777777" w:rsidR="008F48C2" w:rsidRDefault="008F48C2" w:rsidP="00B146DD">
            <w:pPr>
              <w:spacing w:after="0" w:line="240" w:lineRule="auto"/>
              <w:jc w:val="both"/>
              <w:rPr>
                <w:rFonts w:ascii="Times New Roman" w:eastAsia="Times New Roman" w:hAnsi="Times New Roman" w:cs="Times New Roman"/>
                <w:sz w:val="24"/>
                <w:szCs w:val="24"/>
                <w:lang w:eastAsia="lv-LV"/>
              </w:rPr>
            </w:pPr>
          </w:p>
          <w:p w14:paraId="7054EA12" w14:textId="271AE9B2" w:rsidR="00B146DD" w:rsidRDefault="00E0268A" w:rsidP="00B146D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Direktīv</w:t>
            </w:r>
            <w:r w:rsidR="00311F36">
              <w:rPr>
                <w:rFonts w:ascii="Times New Roman" w:eastAsia="Times New Roman" w:hAnsi="Times New Roman" w:cs="Times New Roman"/>
                <w:sz w:val="24"/>
                <w:szCs w:val="24"/>
                <w:lang w:eastAsia="lv-LV"/>
              </w:rPr>
              <w:t>as</w:t>
            </w:r>
            <w:r w:rsidR="00064C2D">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2004/109 13.</w:t>
            </w:r>
            <w:r w:rsidR="0019348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pant</w:t>
            </w:r>
            <w:r w:rsidR="00311F36">
              <w:rPr>
                <w:rFonts w:ascii="Times New Roman" w:eastAsia="Times New Roman" w:hAnsi="Times New Roman" w:cs="Times New Roman"/>
                <w:sz w:val="24"/>
                <w:szCs w:val="24"/>
                <w:lang w:eastAsia="lv-LV"/>
              </w:rPr>
              <w:t>ā</w:t>
            </w:r>
            <w:r>
              <w:rPr>
                <w:rFonts w:ascii="Times New Roman" w:eastAsia="Times New Roman" w:hAnsi="Times New Roman" w:cs="Times New Roman"/>
                <w:sz w:val="24"/>
                <w:szCs w:val="24"/>
                <w:lang w:eastAsia="lv-LV"/>
              </w:rPr>
              <w:t xml:space="preserve"> 1.b</w:t>
            </w:r>
            <w:r w:rsidR="0019348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punkts iekļauts ar </w:t>
            </w:r>
            <w:bookmarkStart w:id="1" w:name="_Hlk141424657"/>
            <w:r w:rsidRPr="00E0268A">
              <w:rPr>
                <w:rFonts w:ascii="Times New Roman" w:eastAsia="Times New Roman" w:hAnsi="Times New Roman" w:cs="Times New Roman"/>
                <w:sz w:val="24"/>
                <w:szCs w:val="24"/>
                <w:lang w:eastAsia="lv-LV"/>
              </w:rPr>
              <w:t>Eiropas Parlamenta un Padomes 2013.</w:t>
            </w:r>
            <w:r w:rsidR="00193480">
              <w:rPr>
                <w:rFonts w:ascii="Times New Roman" w:eastAsia="Times New Roman" w:hAnsi="Times New Roman" w:cs="Times New Roman"/>
                <w:sz w:val="24"/>
                <w:szCs w:val="24"/>
                <w:lang w:eastAsia="lv-LV"/>
              </w:rPr>
              <w:t> </w:t>
            </w:r>
            <w:r w:rsidRPr="00E0268A">
              <w:rPr>
                <w:rFonts w:ascii="Times New Roman" w:eastAsia="Times New Roman" w:hAnsi="Times New Roman" w:cs="Times New Roman"/>
                <w:sz w:val="24"/>
                <w:szCs w:val="24"/>
                <w:lang w:eastAsia="lv-LV"/>
              </w:rPr>
              <w:t>gada 22.</w:t>
            </w:r>
            <w:r w:rsidR="00193480">
              <w:rPr>
                <w:rFonts w:ascii="Times New Roman" w:eastAsia="Times New Roman" w:hAnsi="Times New Roman" w:cs="Times New Roman"/>
                <w:sz w:val="24"/>
                <w:szCs w:val="24"/>
                <w:lang w:eastAsia="lv-LV"/>
              </w:rPr>
              <w:t> </w:t>
            </w:r>
            <w:r w:rsidRPr="00E0268A">
              <w:rPr>
                <w:rFonts w:ascii="Times New Roman" w:eastAsia="Times New Roman" w:hAnsi="Times New Roman" w:cs="Times New Roman"/>
                <w:sz w:val="24"/>
                <w:szCs w:val="24"/>
                <w:lang w:eastAsia="lv-LV"/>
              </w:rPr>
              <w:t>oktobra direktīvas</w:t>
            </w:r>
            <w:r w:rsidR="00064C2D">
              <w:rPr>
                <w:rFonts w:ascii="Times New Roman" w:eastAsia="Times New Roman" w:hAnsi="Times New Roman" w:cs="Times New Roman"/>
                <w:sz w:val="24"/>
                <w:szCs w:val="24"/>
                <w:lang w:eastAsia="lv-LV"/>
              </w:rPr>
              <w:t> </w:t>
            </w:r>
            <w:r w:rsidRPr="00E0268A">
              <w:rPr>
                <w:rFonts w:ascii="Times New Roman" w:eastAsia="Times New Roman" w:hAnsi="Times New Roman" w:cs="Times New Roman"/>
                <w:sz w:val="24"/>
                <w:szCs w:val="24"/>
                <w:lang w:eastAsia="lv-LV"/>
              </w:rPr>
              <w:t xml:space="preserve">2013/50/ES, ar kuru groza Eiropas Parlamenta un Padomes </w:t>
            </w:r>
            <w:r w:rsidR="00064C2D">
              <w:rPr>
                <w:rFonts w:ascii="Times New Roman" w:eastAsia="Times New Roman" w:hAnsi="Times New Roman" w:cs="Times New Roman"/>
                <w:sz w:val="24"/>
                <w:szCs w:val="24"/>
                <w:lang w:eastAsia="lv-LV"/>
              </w:rPr>
              <w:t>d</w:t>
            </w:r>
            <w:r w:rsidRPr="00E0268A">
              <w:rPr>
                <w:rFonts w:ascii="Times New Roman" w:eastAsia="Times New Roman" w:hAnsi="Times New Roman" w:cs="Times New Roman"/>
                <w:sz w:val="24"/>
                <w:szCs w:val="24"/>
                <w:lang w:eastAsia="lv-LV"/>
              </w:rPr>
              <w:t>irektīvu</w:t>
            </w:r>
            <w:r w:rsidR="00064C2D">
              <w:rPr>
                <w:rFonts w:ascii="Times New Roman" w:eastAsia="Times New Roman" w:hAnsi="Times New Roman" w:cs="Times New Roman"/>
                <w:sz w:val="24"/>
                <w:szCs w:val="24"/>
                <w:lang w:eastAsia="lv-LV"/>
              </w:rPr>
              <w:t> </w:t>
            </w:r>
            <w:r w:rsidRPr="00E0268A">
              <w:rPr>
                <w:rFonts w:ascii="Times New Roman" w:eastAsia="Times New Roman" w:hAnsi="Times New Roman" w:cs="Times New Roman"/>
                <w:sz w:val="24"/>
                <w:szCs w:val="24"/>
                <w:lang w:eastAsia="lv-LV"/>
              </w:rPr>
              <w:t xml:space="preserve">2004/109/EK par atklātības prasību saskaņošanu attiecībā uz informāciju par emitentiem, kuru vērtspapīrus atļauts tirgot regulētā tirgū, Eiropas Parlamenta un Padomes </w:t>
            </w:r>
            <w:r w:rsidR="00064C2D">
              <w:rPr>
                <w:rFonts w:ascii="Times New Roman" w:eastAsia="Times New Roman" w:hAnsi="Times New Roman" w:cs="Times New Roman"/>
                <w:sz w:val="24"/>
                <w:szCs w:val="24"/>
                <w:lang w:eastAsia="lv-LV"/>
              </w:rPr>
              <w:t>d</w:t>
            </w:r>
            <w:r w:rsidRPr="00E0268A">
              <w:rPr>
                <w:rFonts w:ascii="Times New Roman" w:eastAsia="Times New Roman" w:hAnsi="Times New Roman" w:cs="Times New Roman"/>
                <w:sz w:val="24"/>
                <w:szCs w:val="24"/>
                <w:lang w:eastAsia="lv-LV"/>
              </w:rPr>
              <w:t>irektīvu</w:t>
            </w:r>
            <w:r w:rsidR="00064C2D">
              <w:rPr>
                <w:rFonts w:ascii="Times New Roman" w:eastAsia="Times New Roman" w:hAnsi="Times New Roman" w:cs="Times New Roman"/>
                <w:sz w:val="24"/>
                <w:szCs w:val="24"/>
                <w:lang w:eastAsia="lv-LV"/>
              </w:rPr>
              <w:t> </w:t>
            </w:r>
            <w:r w:rsidRPr="00E0268A">
              <w:rPr>
                <w:rFonts w:ascii="Times New Roman" w:eastAsia="Times New Roman" w:hAnsi="Times New Roman" w:cs="Times New Roman"/>
                <w:sz w:val="24"/>
                <w:szCs w:val="24"/>
                <w:lang w:eastAsia="lv-LV"/>
              </w:rPr>
              <w:t xml:space="preserve">2003/71/EK par prospektu, kurš jāpublicē, publiski piedāvājot vērtspapīrus vai atļaujot to tirdzniecību, un Komisijas </w:t>
            </w:r>
            <w:r w:rsidR="00064C2D">
              <w:rPr>
                <w:rFonts w:ascii="Times New Roman" w:eastAsia="Times New Roman" w:hAnsi="Times New Roman" w:cs="Times New Roman"/>
                <w:sz w:val="24"/>
                <w:szCs w:val="24"/>
                <w:lang w:eastAsia="lv-LV"/>
              </w:rPr>
              <w:t>d</w:t>
            </w:r>
            <w:r w:rsidRPr="00E0268A">
              <w:rPr>
                <w:rFonts w:ascii="Times New Roman" w:eastAsia="Times New Roman" w:hAnsi="Times New Roman" w:cs="Times New Roman"/>
                <w:sz w:val="24"/>
                <w:szCs w:val="24"/>
                <w:lang w:eastAsia="lv-LV"/>
              </w:rPr>
              <w:t>irektīvu</w:t>
            </w:r>
            <w:r w:rsidR="003800D5">
              <w:rPr>
                <w:rFonts w:ascii="Times New Roman" w:eastAsia="Times New Roman" w:hAnsi="Times New Roman" w:cs="Times New Roman"/>
                <w:sz w:val="24"/>
                <w:szCs w:val="24"/>
                <w:lang w:eastAsia="lv-LV"/>
              </w:rPr>
              <w:t> </w:t>
            </w:r>
            <w:r w:rsidRPr="00E0268A">
              <w:rPr>
                <w:rFonts w:ascii="Times New Roman" w:eastAsia="Times New Roman" w:hAnsi="Times New Roman" w:cs="Times New Roman"/>
                <w:sz w:val="24"/>
                <w:szCs w:val="24"/>
                <w:lang w:eastAsia="lv-LV"/>
              </w:rPr>
              <w:t xml:space="preserve">2007/14/EK, ar ko nosaka sīki izstrādātus noteikumus </w:t>
            </w:r>
            <w:r w:rsidR="00064C2D">
              <w:rPr>
                <w:rFonts w:ascii="Times New Roman" w:eastAsia="Times New Roman" w:hAnsi="Times New Roman" w:cs="Times New Roman"/>
                <w:sz w:val="24"/>
                <w:szCs w:val="24"/>
                <w:lang w:eastAsia="lv-LV"/>
              </w:rPr>
              <w:t>d</w:t>
            </w:r>
            <w:r w:rsidRPr="00E0268A">
              <w:rPr>
                <w:rFonts w:ascii="Times New Roman" w:eastAsia="Times New Roman" w:hAnsi="Times New Roman" w:cs="Times New Roman"/>
                <w:sz w:val="24"/>
                <w:szCs w:val="24"/>
                <w:lang w:eastAsia="lv-LV"/>
              </w:rPr>
              <w:t>irektīvas 2004/109/EK atsevišķu noteikumu īstenošanai</w:t>
            </w:r>
            <w:r>
              <w:rPr>
                <w:rFonts w:ascii="Times New Roman" w:eastAsia="Times New Roman" w:hAnsi="Times New Roman" w:cs="Times New Roman"/>
                <w:sz w:val="24"/>
                <w:szCs w:val="24"/>
                <w:lang w:eastAsia="lv-LV"/>
              </w:rPr>
              <w:t xml:space="preserve"> </w:t>
            </w:r>
            <w:bookmarkEnd w:id="1"/>
            <w:r>
              <w:rPr>
                <w:rFonts w:ascii="Times New Roman" w:eastAsia="Times New Roman" w:hAnsi="Times New Roman" w:cs="Times New Roman"/>
                <w:sz w:val="24"/>
                <w:szCs w:val="24"/>
                <w:lang w:eastAsia="lv-LV"/>
              </w:rPr>
              <w:t xml:space="preserve">(turpmāk </w:t>
            </w:r>
            <w:r w:rsidR="00404763">
              <w:rPr>
                <w:rFonts w:ascii="Times New Roman" w:eastAsia="Times New Roman" w:hAnsi="Times New Roman" w:cs="Times New Roman"/>
                <w:sz w:val="24"/>
                <w:szCs w:val="24"/>
                <w:lang w:eastAsia="lv-LV"/>
              </w:rPr>
              <w:t xml:space="preserve">arī </w:t>
            </w:r>
            <w:r>
              <w:rPr>
                <w:rFonts w:ascii="Times New Roman" w:eastAsia="Times New Roman" w:hAnsi="Times New Roman" w:cs="Times New Roman"/>
                <w:sz w:val="24"/>
                <w:szCs w:val="24"/>
                <w:lang w:eastAsia="lv-LV"/>
              </w:rPr>
              <w:t xml:space="preserve">– </w:t>
            </w:r>
            <w:r w:rsidR="00193480">
              <w:rPr>
                <w:rFonts w:ascii="Times New Roman" w:eastAsia="Times New Roman" w:hAnsi="Times New Roman" w:cs="Times New Roman"/>
                <w:sz w:val="24"/>
                <w:szCs w:val="24"/>
                <w:lang w:eastAsia="lv-LV"/>
              </w:rPr>
              <w:t>D</w:t>
            </w:r>
            <w:r w:rsidR="00404763">
              <w:rPr>
                <w:rFonts w:ascii="Times New Roman" w:eastAsia="Times New Roman" w:hAnsi="Times New Roman" w:cs="Times New Roman"/>
                <w:sz w:val="24"/>
                <w:szCs w:val="24"/>
                <w:lang w:eastAsia="lv-LV"/>
              </w:rPr>
              <w:t>irektīva</w:t>
            </w:r>
            <w:r w:rsidR="006D59D5">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2013/50/ES) 1.</w:t>
            </w:r>
            <w:r w:rsidR="0019348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panta 9.</w:t>
            </w:r>
            <w:r w:rsidR="0019348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punkta </w:t>
            </w:r>
            <w:r w:rsidR="00064C2D">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b</w:t>
            </w:r>
            <w:r w:rsidR="00064C2D">
              <w:rPr>
                <w:rFonts w:ascii="Times New Roman" w:eastAsia="Times New Roman" w:hAnsi="Times New Roman" w:cs="Times New Roman"/>
                <w:sz w:val="24"/>
                <w:szCs w:val="24"/>
                <w:lang w:eastAsia="lv-LV"/>
              </w:rPr>
              <w:t>"</w:t>
            </w:r>
            <w:r w:rsidR="0019348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apakšpunktu.</w:t>
            </w:r>
          </w:p>
          <w:p w14:paraId="474C5EFD" w14:textId="77777777" w:rsidR="00064C2D" w:rsidRDefault="00064C2D" w:rsidP="00B146DD">
            <w:pPr>
              <w:spacing w:after="0" w:line="240" w:lineRule="auto"/>
              <w:jc w:val="both"/>
              <w:rPr>
                <w:rFonts w:ascii="Times New Roman" w:eastAsia="Times New Roman" w:hAnsi="Times New Roman" w:cs="Times New Roman"/>
                <w:sz w:val="24"/>
                <w:szCs w:val="24"/>
                <w:lang w:eastAsia="lv-LV"/>
              </w:rPr>
            </w:pPr>
          </w:p>
          <w:p w14:paraId="2D9E5F46" w14:textId="3AFC79C9" w:rsidR="00E0268A" w:rsidRDefault="00404763" w:rsidP="00B146D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Tiesību normas, kas izriet no Direktīvas</w:t>
            </w:r>
            <w:r w:rsidR="00064C2D">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2004/109 un </w:t>
            </w:r>
            <w:r w:rsidR="00193480">
              <w:rPr>
                <w:rFonts w:ascii="Times New Roman" w:eastAsia="Times New Roman" w:hAnsi="Times New Roman" w:cs="Times New Roman"/>
                <w:sz w:val="24"/>
                <w:szCs w:val="24"/>
                <w:lang w:eastAsia="lv-LV"/>
              </w:rPr>
              <w:t>D</w:t>
            </w:r>
            <w:r>
              <w:rPr>
                <w:rFonts w:ascii="Times New Roman" w:eastAsia="Times New Roman" w:hAnsi="Times New Roman" w:cs="Times New Roman"/>
                <w:sz w:val="24"/>
                <w:szCs w:val="24"/>
                <w:lang w:eastAsia="lv-LV"/>
              </w:rPr>
              <w:t>irektīvas</w:t>
            </w:r>
            <w:r w:rsidR="00064C2D">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2013/50/ES</w:t>
            </w:r>
            <w:r w:rsidR="00064C2D">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kopumā ir pārņemtas Likumā</w:t>
            </w:r>
            <w:r w:rsidR="00193480">
              <w:rPr>
                <w:rFonts w:ascii="Times New Roman" w:eastAsia="Times New Roman" w:hAnsi="Times New Roman" w:cs="Times New Roman"/>
                <w:sz w:val="24"/>
                <w:szCs w:val="24"/>
                <w:lang w:eastAsia="lv-LV"/>
              </w:rPr>
              <w:t>.</w:t>
            </w:r>
          </w:p>
          <w:p w14:paraId="512A336D" w14:textId="77777777" w:rsidR="00064C2D" w:rsidRDefault="00064C2D" w:rsidP="00B146DD">
            <w:pPr>
              <w:spacing w:after="0" w:line="240" w:lineRule="auto"/>
              <w:jc w:val="both"/>
              <w:rPr>
                <w:rFonts w:ascii="Times New Roman" w:eastAsia="Times New Roman" w:hAnsi="Times New Roman" w:cs="Times New Roman"/>
                <w:sz w:val="24"/>
                <w:szCs w:val="24"/>
                <w:lang w:eastAsia="lv-LV"/>
              </w:rPr>
            </w:pPr>
          </w:p>
          <w:p w14:paraId="25E76595" w14:textId="53A34B33" w:rsidR="00CD7019" w:rsidRDefault="00CD7019" w:rsidP="00B146DD">
            <w:pPr>
              <w:spacing w:after="0" w:line="240" w:lineRule="auto"/>
              <w:jc w:val="both"/>
              <w:rPr>
                <w:rFonts w:ascii="Times New Roman" w:eastAsia="Times New Roman" w:hAnsi="Times New Roman" w:cs="Times New Roman"/>
                <w:sz w:val="24"/>
                <w:szCs w:val="24"/>
                <w:lang w:eastAsia="lv-LV"/>
              </w:rPr>
            </w:pPr>
            <w:r w:rsidRPr="004B54E5">
              <w:rPr>
                <w:rFonts w:ascii="Times New Roman" w:eastAsia="Times New Roman" w:hAnsi="Times New Roman" w:cs="Times New Roman"/>
                <w:sz w:val="24"/>
                <w:szCs w:val="24"/>
                <w:lang w:eastAsia="lv-LV"/>
              </w:rPr>
              <w:t xml:space="preserve">Eiropas Vērtspapīru un tirgu iestāde </w:t>
            </w:r>
            <w:r>
              <w:rPr>
                <w:rFonts w:ascii="Times New Roman" w:eastAsia="Times New Roman" w:hAnsi="Times New Roman" w:cs="Times New Roman"/>
                <w:sz w:val="24"/>
                <w:szCs w:val="24"/>
                <w:lang w:eastAsia="lv-LV"/>
              </w:rPr>
              <w:t xml:space="preserve">ir </w:t>
            </w:r>
            <w:r w:rsidRPr="004B54E5">
              <w:rPr>
                <w:rFonts w:ascii="Times New Roman" w:eastAsia="Times New Roman" w:hAnsi="Times New Roman" w:cs="Times New Roman"/>
                <w:sz w:val="24"/>
                <w:szCs w:val="24"/>
                <w:lang w:eastAsia="lv-LV"/>
              </w:rPr>
              <w:t>izstrādā</w:t>
            </w:r>
            <w:r>
              <w:rPr>
                <w:rFonts w:ascii="Times New Roman" w:eastAsia="Times New Roman" w:hAnsi="Times New Roman" w:cs="Times New Roman"/>
                <w:sz w:val="24"/>
                <w:szCs w:val="24"/>
                <w:lang w:eastAsia="lv-LV"/>
              </w:rPr>
              <w:t xml:space="preserve">jusi attiecīgu </w:t>
            </w:r>
            <w:r w:rsidR="00A56572" w:rsidRPr="004B54E5">
              <w:rPr>
                <w:rFonts w:ascii="Times New Roman" w:eastAsia="Times New Roman" w:hAnsi="Times New Roman" w:cs="Times New Roman"/>
                <w:sz w:val="24"/>
                <w:szCs w:val="24"/>
                <w:lang w:eastAsia="lv-LV"/>
              </w:rPr>
              <w:t>finanšu instrumentu orientējoš</w:t>
            </w:r>
            <w:r w:rsidR="003800D5">
              <w:rPr>
                <w:rFonts w:ascii="Times New Roman" w:eastAsia="Times New Roman" w:hAnsi="Times New Roman" w:cs="Times New Roman"/>
                <w:sz w:val="24"/>
                <w:szCs w:val="24"/>
                <w:lang w:eastAsia="lv-LV"/>
              </w:rPr>
              <w:t>o</w:t>
            </w:r>
            <w:r w:rsidR="00A56572">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sarakstu, kas pieejams </w:t>
            </w:r>
            <w:r w:rsidRPr="004B54E5">
              <w:rPr>
                <w:rFonts w:ascii="Times New Roman" w:eastAsia="Times New Roman" w:hAnsi="Times New Roman" w:cs="Times New Roman"/>
                <w:sz w:val="24"/>
                <w:szCs w:val="24"/>
                <w:lang w:eastAsia="lv-LV"/>
              </w:rPr>
              <w:t>Eiropas Vērtspapīru un tirgu iestāde</w:t>
            </w:r>
            <w:r>
              <w:rPr>
                <w:rFonts w:ascii="Times New Roman" w:eastAsia="Times New Roman" w:hAnsi="Times New Roman" w:cs="Times New Roman"/>
                <w:sz w:val="24"/>
                <w:szCs w:val="24"/>
                <w:lang w:eastAsia="lv-LV"/>
              </w:rPr>
              <w:t xml:space="preserve">s </w:t>
            </w:r>
            <w:hyperlink r:id="rId10" w:history="1">
              <w:r w:rsidRPr="00CD7019">
                <w:rPr>
                  <w:rStyle w:val="Hyperlink"/>
                  <w:rFonts w:ascii="Times New Roman" w:eastAsia="Times New Roman" w:hAnsi="Times New Roman" w:cs="Times New Roman"/>
                  <w:sz w:val="24"/>
                  <w:szCs w:val="24"/>
                  <w:lang w:eastAsia="lv-LV"/>
                </w:rPr>
                <w:t>tīmekļvietnē</w:t>
              </w:r>
            </w:hyperlink>
            <w:r>
              <w:rPr>
                <w:rFonts w:ascii="Times New Roman" w:eastAsia="Times New Roman" w:hAnsi="Times New Roman" w:cs="Times New Roman"/>
                <w:sz w:val="24"/>
                <w:szCs w:val="24"/>
                <w:lang w:eastAsia="lv-LV"/>
              </w:rPr>
              <w:t>.</w:t>
            </w:r>
          </w:p>
          <w:p w14:paraId="215CD37C" w14:textId="77777777" w:rsidR="00CD7019" w:rsidRPr="004B54E5" w:rsidRDefault="00CD7019" w:rsidP="00B146DD">
            <w:pPr>
              <w:spacing w:after="0" w:line="240" w:lineRule="auto"/>
              <w:jc w:val="both"/>
              <w:rPr>
                <w:rFonts w:ascii="Times New Roman" w:eastAsia="Times New Roman" w:hAnsi="Times New Roman" w:cs="Times New Roman"/>
                <w:sz w:val="24"/>
                <w:szCs w:val="24"/>
                <w:lang w:eastAsia="lv-LV"/>
              </w:rPr>
            </w:pPr>
          </w:p>
          <w:p w14:paraId="04A49FEA" w14:textId="3A88D8F1" w:rsidR="00B146DD" w:rsidRPr="004B54E5" w:rsidRDefault="00B146DD" w:rsidP="00B146DD">
            <w:pPr>
              <w:spacing w:after="0" w:line="240" w:lineRule="auto"/>
              <w:jc w:val="both"/>
              <w:rPr>
                <w:rFonts w:ascii="Times New Roman" w:eastAsia="Times New Roman" w:hAnsi="Times New Roman" w:cs="Times New Roman"/>
                <w:sz w:val="24"/>
                <w:szCs w:val="24"/>
                <w:lang w:eastAsia="lv-LV"/>
              </w:rPr>
            </w:pPr>
            <w:r w:rsidRPr="004B54E5">
              <w:rPr>
                <w:rFonts w:ascii="Times New Roman" w:eastAsia="Times New Roman" w:hAnsi="Times New Roman" w:cs="Times New Roman"/>
                <w:sz w:val="24"/>
                <w:szCs w:val="24"/>
                <w:lang w:eastAsia="lv-LV"/>
              </w:rPr>
              <w:t>Lai nodrošinātu vienādu Eiropas Savienības tiesību aktu prasību piemērošanu</w:t>
            </w:r>
            <w:r w:rsidR="00A56572">
              <w:rPr>
                <w:rFonts w:ascii="Times New Roman" w:eastAsia="Times New Roman" w:hAnsi="Times New Roman" w:cs="Times New Roman"/>
                <w:sz w:val="24"/>
                <w:szCs w:val="24"/>
                <w:lang w:eastAsia="lv-LV"/>
              </w:rPr>
              <w:t xml:space="preserve">, tai skaitā Direktīvas </w:t>
            </w:r>
            <w:r w:rsidR="00E0268A">
              <w:rPr>
                <w:rFonts w:ascii="Times New Roman" w:eastAsia="Times New Roman" w:hAnsi="Times New Roman" w:cs="Times New Roman"/>
                <w:sz w:val="24"/>
                <w:szCs w:val="24"/>
                <w:lang w:eastAsia="lv-LV"/>
              </w:rPr>
              <w:t>2013/50/ES</w:t>
            </w:r>
            <w:r w:rsidR="00E0268A" w:rsidRPr="00A56572" w:rsidDel="00E0268A">
              <w:rPr>
                <w:rFonts w:ascii="Times New Roman" w:eastAsia="Times New Roman" w:hAnsi="Times New Roman" w:cs="Times New Roman"/>
                <w:sz w:val="24"/>
                <w:szCs w:val="24"/>
                <w:lang w:eastAsia="lv-LV"/>
              </w:rPr>
              <w:t xml:space="preserve"> </w:t>
            </w:r>
            <w:r w:rsidR="00E0268A">
              <w:rPr>
                <w:rFonts w:ascii="Times New Roman" w:eastAsia="Times New Roman" w:hAnsi="Times New Roman" w:cs="Times New Roman"/>
                <w:sz w:val="24"/>
                <w:szCs w:val="24"/>
                <w:lang w:eastAsia="lv-LV"/>
              </w:rPr>
              <w:t>1.</w:t>
            </w:r>
            <w:r w:rsidR="00193480">
              <w:rPr>
                <w:rFonts w:ascii="Times New Roman" w:eastAsia="Times New Roman" w:hAnsi="Times New Roman" w:cs="Times New Roman"/>
                <w:sz w:val="24"/>
                <w:szCs w:val="24"/>
                <w:lang w:eastAsia="lv-LV"/>
              </w:rPr>
              <w:t> </w:t>
            </w:r>
            <w:r w:rsidR="00E0268A">
              <w:rPr>
                <w:rFonts w:ascii="Times New Roman" w:eastAsia="Times New Roman" w:hAnsi="Times New Roman" w:cs="Times New Roman"/>
                <w:sz w:val="24"/>
                <w:szCs w:val="24"/>
                <w:lang w:eastAsia="lv-LV"/>
              </w:rPr>
              <w:t>panta 9.</w:t>
            </w:r>
            <w:r w:rsidR="00193480">
              <w:rPr>
                <w:rFonts w:ascii="Times New Roman" w:eastAsia="Times New Roman" w:hAnsi="Times New Roman" w:cs="Times New Roman"/>
                <w:sz w:val="24"/>
                <w:szCs w:val="24"/>
                <w:lang w:eastAsia="lv-LV"/>
              </w:rPr>
              <w:t> </w:t>
            </w:r>
            <w:r w:rsidR="00E0268A">
              <w:rPr>
                <w:rFonts w:ascii="Times New Roman" w:eastAsia="Times New Roman" w:hAnsi="Times New Roman" w:cs="Times New Roman"/>
                <w:sz w:val="24"/>
                <w:szCs w:val="24"/>
                <w:lang w:eastAsia="lv-LV"/>
              </w:rPr>
              <w:t xml:space="preserve">punkta </w:t>
            </w:r>
            <w:r w:rsidR="00064C2D">
              <w:rPr>
                <w:rFonts w:ascii="Times New Roman" w:eastAsia="Times New Roman" w:hAnsi="Times New Roman" w:cs="Times New Roman"/>
                <w:sz w:val="24"/>
                <w:szCs w:val="24"/>
                <w:lang w:eastAsia="lv-LV"/>
              </w:rPr>
              <w:t>"</w:t>
            </w:r>
            <w:r w:rsidR="00E0268A">
              <w:rPr>
                <w:rFonts w:ascii="Times New Roman" w:eastAsia="Times New Roman" w:hAnsi="Times New Roman" w:cs="Times New Roman"/>
                <w:sz w:val="24"/>
                <w:szCs w:val="24"/>
                <w:lang w:eastAsia="lv-LV"/>
              </w:rPr>
              <w:t>b</w:t>
            </w:r>
            <w:r w:rsidR="00064C2D">
              <w:rPr>
                <w:rFonts w:ascii="Times New Roman" w:eastAsia="Times New Roman" w:hAnsi="Times New Roman" w:cs="Times New Roman"/>
                <w:sz w:val="24"/>
                <w:szCs w:val="24"/>
                <w:lang w:eastAsia="lv-LV"/>
              </w:rPr>
              <w:t>"</w:t>
            </w:r>
            <w:r w:rsidR="00193480">
              <w:rPr>
                <w:rFonts w:ascii="Times New Roman" w:eastAsia="Times New Roman" w:hAnsi="Times New Roman" w:cs="Times New Roman"/>
                <w:sz w:val="24"/>
                <w:szCs w:val="24"/>
                <w:lang w:eastAsia="lv-LV"/>
              </w:rPr>
              <w:t> </w:t>
            </w:r>
            <w:r w:rsidR="00E0268A">
              <w:rPr>
                <w:rFonts w:ascii="Times New Roman" w:eastAsia="Times New Roman" w:hAnsi="Times New Roman" w:cs="Times New Roman"/>
                <w:sz w:val="24"/>
                <w:szCs w:val="24"/>
                <w:lang w:eastAsia="lv-LV"/>
              </w:rPr>
              <w:t>apakšpunkta</w:t>
            </w:r>
            <w:r w:rsidR="00E0268A" w:rsidRPr="00A56572" w:rsidDel="00E0268A">
              <w:rPr>
                <w:rFonts w:ascii="Times New Roman" w:eastAsia="Times New Roman" w:hAnsi="Times New Roman" w:cs="Times New Roman"/>
                <w:sz w:val="24"/>
                <w:szCs w:val="24"/>
                <w:lang w:eastAsia="lv-LV"/>
              </w:rPr>
              <w:t xml:space="preserve"> </w:t>
            </w:r>
            <w:r w:rsidR="00A56572">
              <w:rPr>
                <w:rFonts w:ascii="Times New Roman" w:eastAsia="Times New Roman" w:hAnsi="Times New Roman" w:cs="Times New Roman"/>
                <w:sz w:val="24"/>
                <w:szCs w:val="24"/>
                <w:lang w:eastAsia="lv-LV"/>
              </w:rPr>
              <w:t>prasību pārņemšanu</w:t>
            </w:r>
            <w:r w:rsidR="00193480">
              <w:rPr>
                <w:rFonts w:ascii="Times New Roman" w:eastAsia="Times New Roman" w:hAnsi="Times New Roman" w:cs="Times New Roman"/>
                <w:sz w:val="24"/>
                <w:szCs w:val="24"/>
                <w:lang w:eastAsia="lv-LV"/>
              </w:rPr>
              <w:t xml:space="preserve"> (sk. anotācijas pielikumu)</w:t>
            </w:r>
            <w:r w:rsidR="00A56572">
              <w:rPr>
                <w:rFonts w:ascii="Times New Roman" w:eastAsia="Times New Roman" w:hAnsi="Times New Roman" w:cs="Times New Roman"/>
                <w:sz w:val="24"/>
                <w:szCs w:val="24"/>
                <w:lang w:eastAsia="lv-LV"/>
              </w:rPr>
              <w:t xml:space="preserve">, </w:t>
            </w:r>
            <w:r w:rsidRPr="004B54E5">
              <w:rPr>
                <w:rFonts w:ascii="Times New Roman" w:eastAsia="Times New Roman" w:hAnsi="Times New Roman" w:cs="Times New Roman"/>
                <w:sz w:val="24"/>
                <w:szCs w:val="24"/>
                <w:lang w:eastAsia="lv-LV"/>
              </w:rPr>
              <w:t xml:space="preserve">un Eiropas Vērtspapīru un tirgu iestādes izstrādāto finanšu instrumentu </w:t>
            </w:r>
            <w:r w:rsidR="00E023F3" w:rsidRPr="004B54E5">
              <w:rPr>
                <w:rFonts w:ascii="Times New Roman" w:eastAsia="Times New Roman" w:hAnsi="Times New Roman" w:cs="Times New Roman"/>
                <w:sz w:val="24"/>
                <w:szCs w:val="24"/>
                <w:lang w:eastAsia="lv-LV"/>
              </w:rPr>
              <w:t xml:space="preserve">orientējošo </w:t>
            </w:r>
            <w:r w:rsidRPr="004B54E5">
              <w:rPr>
                <w:rFonts w:ascii="Times New Roman" w:eastAsia="Times New Roman" w:hAnsi="Times New Roman" w:cs="Times New Roman"/>
                <w:sz w:val="24"/>
                <w:szCs w:val="24"/>
                <w:lang w:eastAsia="lv-LV"/>
              </w:rPr>
              <w:t xml:space="preserve">sarakstu padarītu saistošu </w:t>
            </w:r>
            <w:r w:rsidRPr="005A210B">
              <w:rPr>
                <w:rFonts w:ascii="Times New Roman" w:eastAsia="Times New Roman" w:hAnsi="Times New Roman" w:cs="Times New Roman"/>
                <w:sz w:val="24"/>
                <w:szCs w:val="24"/>
                <w:lang w:eastAsia="lv-LV"/>
              </w:rPr>
              <w:t xml:space="preserve">Latvijas finanšu </w:t>
            </w:r>
            <w:r w:rsidR="005A210B" w:rsidRPr="005A210B">
              <w:rPr>
                <w:rFonts w:ascii="Times New Roman" w:eastAsia="Times New Roman" w:hAnsi="Times New Roman" w:cs="Times New Roman"/>
                <w:sz w:val="24"/>
                <w:szCs w:val="24"/>
                <w:lang w:eastAsia="lv-LV"/>
              </w:rPr>
              <w:t>instrumentu</w:t>
            </w:r>
            <w:r w:rsidRPr="005A210B">
              <w:rPr>
                <w:rFonts w:ascii="Times New Roman" w:eastAsia="Times New Roman" w:hAnsi="Times New Roman" w:cs="Times New Roman"/>
                <w:sz w:val="24"/>
                <w:szCs w:val="24"/>
                <w:lang w:eastAsia="lv-LV"/>
              </w:rPr>
              <w:t xml:space="preserve"> tirgus dalībniekiem</w:t>
            </w:r>
            <w:r w:rsidRPr="004B54E5">
              <w:rPr>
                <w:rFonts w:ascii="Times New Roman" w:eastAsia="Times New Roman" w:hAnsi="Times New Roman" w:cs="Times New Roman"/>
                <w:sz w:val="24"/>
                <w:szCs w:val="24"/>
                <w:lang w:eastAsia="lv-LV"/>
              </w:rPr>
              <w:t xml:space="preserve">, </w:t>
            </w:r>
            <w:r w:rsidR="00E023F3" w:rsidRPr="004B54E5">
              <w:rPr>
                <w:rFonts w:ascii="Times New Roman" w:eastAsia="Times New Roman" w:hAnsi="Times New Roman" w:cs="Times New Roman"/>
                <w:sz w:val="24"/>
                <w:szCs w:val="24"/>
                <w:lang w:eastAsia="lv-LV"/>
              </w:rPr>
              <w:t xml:space="preserve">Likuma </w:t>
            </w:r>
            <w:r w:rsidRPr="004B54E5">
              <w:rPr>
                <w:rFonts w:ascii="Times New Roman" w:eastAsia="Times New Roman" w:hAnsi="Times New Roman" w:cs="Times New Roman"/>
                <w:sz w:val="24"/>
                <w:szCs w:val="24"/>
                <w:lang w:eastAsia="lv-LV"/>
              </w:rPr>
              <w:t>60.</w:t>
            </w:r>
            <w:r w:rsidR="00AA27DE">
              <w:rPr>
                <w:rFonts w:ascii="Times New Roman" w:eastAsia="Times New Roman" w:hAnsi="Times New Roman" w:cs="Times New Roman"/>
                <w:sz w:val="24"/>
                <w:szCs w:val="24"/>
                <w:lang w:eastAsia="lv-LV"/>
              </w:rPr>
              <w:t> </w:t>
            </w:r>
            <w:r w:rsidRPr="004B54E5">
              <w:rPr>
                <w:rFonts w:ascii="Times New Roman" w:eastAsia="Times New Roman" w:hAnsi="Times New Roman" w:cs="Times New Roman"/>
                <w:sz w:val="24"/>
                <w:szCs w:val="24"/>
                <w:lang w:eastAsia="lv-LV"/>
              </w:rPr>
              <w:t xml:space="preserve">panta sestajā daļā ir dots deleģējums </w:t>
            </w:r>
            <w:r w:rsidR="00E023F3" w:rsidRPr="004B54E5">
              <w:rPr>
                <w:rFonts w:ascii="Times New Roman" w:eastAsia="Times New Roman" w:hAnsi="Times New Roman" w:cs="Times New Roman"/>
                <w:sz w:val="24"/>
                <w:szCs w:val="24"/>
                <w:lang w:eastAsia="lv-LV"/>
              </w:rPr>
              <w:t xml:space="preserve">Latvijas Bankai </w:t>
            </w:r>
            <w:r w:rsidRPr="004B54E5">
              <w:rPr>
                <w:rFonts w:ascii="Times New Roman" w:eastAsia="Times New Roman" w:hAnsi="Times New Roman" w:cs="Times New Roman"/>
                <w:sz w:val="24"/>
                <w:szCs w:val="24"/>
                <w:lang w:eastAsia="lv-LV"/>
              </w:rPr>
              <w:t xml:space="preserve">noteikt </w:t>
            </w:r>
            <w:r w:rsidR="00BE50CC" w:rsidRPr="004B54E5">
              <w:rPr>
                <w:rFonts w:ascii="Times New Roman" w:eastAsia="Times New Roman" w:hAnsi="Times New Roman" w:cs="Times New Roman"/>
                <w:sz w:val="24"/>
                <w:szCs w:val="24"/>
                <w:lang w:eastAsia="lv-LV"/>
              </w:rPr>
              <w:t xml:space="preserve">Likuma </w:t>
            </w:r>
            <w:r w:rsidRPr="004B54E5">
              <w:rPr>
                <w:rFonts w:ascii="Times New Roman" w:eastAsia="Times New Roman" w:hAnsi="Times New Roman" w:cs="Times New Roman"/>
                <w:sz w:val="24"/>
                <w:szCs w:val="24"/>
                <w:lang w:eastAsia="lv-LV"/>
              </w:rPr>
              <w:t>60.</w:t>
            </w:r>
            <w:r w:rsidR="00AA27DE">
              <w:rPr>
                <w:rFonts w:ascii="Times New Roman" w:eastAsia="Times New Roman" w:hAnsi="Times New Roman" w:cs="Times New Roman"/>
                <w:sz w:val="24"/>
                <w:szCs w:val="24"/>
                <w:lang w:eastAsia="lv-LV"/>
              </w:rPr>
              <w:t> </w:t>
            </w:r>
            <w:r w:rsidRPr="004B54E5">
              <w:rPr>
                <w:rFonts w:ascii="Times New Roman" w:eastAsia="Times New Roman" w:hAnsi="Times New Roman" w:cs="Times New Roman"/>
                <w:sz w:val="24"/>
                <w:szCs w:val="24"/>
                <w:lang w:eastAsia="lv-LV"/>
              </w:rPr>
              <w:t>panta pirmās daļas 3.</w:t>
            </w:r>
            <w:r w:rsidR="00AA27DE">
              <w:rPr>
                <w:rFonts w:ascii="Times New Roman" w:eastAsia="Times New Roman" w:hAnsi="Times New Roman" w:cs="Times New Roman"/>
                <w:sz w:val="24"/>
                <w:szCs w:val="24"/>
                <w:lang w:eastAsia="lv-LV"/>
              </w:rPr>
              <w:t> </w:t>
            </w:r>
            <w:r w:rsidRPr="004B54E5">
              <w:rPr>
                <w:rFonts w:ascii="Times New Roman" w:eastAsia="Times New Roman" w:hAnsi="Times New Roman" w:cs="Times New Roman"/>
                <w:sz w:val="24"/>
                <w:szCs w:val="24"/>
                <w:lang w:eastAsia="lv-LV"/>
              </w:rPr>
              <w:t>punktā minēto finanšu instrumentu sarakstu</w:t>
            </w:r>
            <w:r w:rsidR="00A56572">
              <w:rPr>
                <w:rFonts w:ascii="Times New Roman" w:eastAsia="Times New Roman" w:hAnsi="Times New Roman" w:cs="Times New Roman"/>
                <w:sz w:val="24"/>
                <w:szCs w:val="24"/>
                <w:lang w:eastAsia="lv-LV"/>
              </w:rPr>
              <w:t xml:space="preserve">. </w:t>
            </w:r>
          </w:p>
          <w:p w14:paraId="3A9792B9" w14:textId="77777777" w:rsidR="00B146DD" w:rsidRPr="004B54E5" w:rsidRDefault="00B146DD" w:rsidP="00B146DD">
            <w:pPr>
              <w:spacing w:after="0" w:line="240" w:lineRule="auto"/>
              <w:jc w:val="both"/>
              <w:rPr>
                <w:rFonts w:ascii="Times New Roman" w:eastAsia="Times New Roman" w:hAnsi="Times New Roman" w:cs="Times New Roman"/>
                <w:sz w:val="24"/>
                <w:szCs w:val="24"/>
                <w:lang w:eastAsia="lv-LV"/>
              </w:rPr>
            </w:pPr>
          </w:p>
          <w:p w14:paraId="2E288ADE" w14:textId="75618604" w:rsidR="003D1BDB" w:rsidRPr="004B54E5" w:rsidRDefault="00B146DD" w:rsidP="00E023F3">
            <w:pPr>
              <w:spacing w:after="0" w:line="240" w:lineRule="auto"/>
              <w:jc w:val="both"/>
              <w:rPr>
                <w:rFonts w:ascii="Times New Roman" w:eastAsia="Times New Roman" w:hAnsi="Times New Roman" w:cs="Times New Roman"/>
                <w:sz w:val="24"/>
                <w:szCs w:val="24"/>
                <w:lang w:eastAsia="lv-LV"/>
              </w:rPr>
            </w:pPr>
            <w:r w:rsidRPr="004B54E5">
              <w:rPr>
                <w:rFonts w:ascii="Times New Roman" w:eastAsia="Times New Roman" w:hAnsi="Times New Roman" w:cs="Times New Roman"/>
                <w:sz w:val="24"/>
                <w:szCs w:val="24"/>
                <w:lang w:eastAsia="lv-LV"/>
              </w:rPr>
              <w:t xml:space="preserve">Ņemot vērā minēto, ir sagatavots </w:t>
            </w:r>
            <w:r w:rsidR="002F2E2A">
              <w:rPr>
                <w:rFonts w:ascii="Times New Roman" w:eastAsia="Times New Roman" w:hAnsi="Times New Roman" w:cs="Times New Roman"/>
                <w:sz w:val="24"/>
                <w:szCs w:val="24"/>
                <w:lang w:eastAsia="lv-LV"/>
              </w:rPr>
              <w:t>n</w:t>
            </w:r>
            <w:r w:rsidRPr="004B54E5">
              <w:rPr>
                <w:rFonts w:ascii="Times New Roman" w:eastAsia="Times New Roman" w:hAnsi="Times New Roman" w:cs="Times New Roman"/>
                <w:sz w:val="24"/>
                <w:szCs w:val="24"/>
                <w:lang w:eastAsia="lv-LV"/>
              </w:rPr>
              <w:t>oteikumu projekts.</w:t>
            </w:r>
          </w:p>
        </w:tc>
      </w:tr>
      <w:tr w:rsidR="000B4E0A" w:rsidRPr="004B54E5" w14:paraId="3E6CB1B9" w14:textId="77777777" w:rsidTr="00E253DA">
        <w:trPr>
          <w:trHeight w:val="567"/>
        </w:trPr>
        <w:tc>
          <w:tcPr>
            <w:tcW w:w="1796" w:type="pct"/>
            <w:shd w:val="clear" w:color="auto" w:fill="auto"/>
            <w:hideMark/>
          </w:tcPr>
          <w:p w14:paraId="736FBF93" w14:textId="77777777" w:rsidR="00A42788" w:rsidRPr="004B54E5" w:rsidRDefault="00A42788" w:rsidP="000B4E0A">
            <w:pPr>
              <w:spacing w:after="0" w:line="240" w:lineRule="auto"/>
              <w:rPr>
                <w:rFonts w:ascii="Times New Roman" w:eastAsia="Times New Roman" w:hAnsi="Times New Roman" w:cs="Times New Roman"/>
                <w:b/>
                <w:bCs/>
                <w:sz w:val="24"/>
                <w:szCs w:val="24"/>
                <w:lang w:eastAsia="lv-LV"/>
              </w:rPr>
            </w:pPr>
            <w:r w:rsidRPr="004B54E5">
              <w:rPr>
                <w:rFonts w:ascii="Times New Roman" w:eastAsia="Times New Roman" w:hAnsi="Times New Roman" w:cs="Times New Roman"/>
                <w:b/>
                <w:bCs/>
                <w:sz w:val="24"/>
                <w:szCs w:val="24"/>
                <w:lang w:eastAsia="lv-LV"/>
              </w:rPr>
              <w:lastRenderedPageBreak/>
              <w:t>Leģitīmais mērķis</w:t>
            </w:r>
          </w:p>
          <w:p w14:paraId="211551A8" w14:textId="77777777" w:rsidR="00CA28AB" w:rsidRPr="004B54E5"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C575D11" w14:textId="067C9D38" w:rsidR="00E023F3" w:rsidRPr="004B54E5" w:rsidRDefault="001C1305" w:rsidP="00E023F3">
            <w:pPr>
              <w:spacing w:after="0" w:line="240" w:lineRule="auto"/>
              <w:jc w:val="both"/>
              <w:rPr>
                <w:rFonts w:ascii="Times New Roman" w:eastAsia="Times New Roman" w:hAnsi="Times New Roman" w:cs="Times New Roman"/>
                <w:sz w:val="24"/>
                <w:szCs w:val="24"/>
                <w:lang w:eastAsia="lv-LV"/>
              </w:rPr>
            </w:pPr>
            <w:r w:rsidRPr="004B54E5">
              <w:rPr>
                <w:rFonts w:ascii="Times New Roman" w:eastAsia="Times New Roman" w:hAnsi="Times New Roman" w:cs="Times New Roman"/>
                <w:sz w:val="24"/>
                <w:szCs w:val="24"/>
                <w:lang w:eastAsia="lv-LV"/>
              </w:rPr>
              <w:t xml:space="preserve">Noteikumu projekts izstrādāts, lai </w:t>
            </w:r>
            <w:r w:rsidR="00E023F3" w:rsidRPr="004B54E5">
              <w:rPr>
                <w:rFonts w:ascii="Times New Roman" w:eastAsia="Times New Roman" w:hAnsi="Times New Roman" w:cs="Times New Roman"/>
                <w:sz w:val="24"/>
                <w:szCs w:val="24"/>
                <w:lang w:eastAsia="lv-LV"/>
              </w:rPr>
              <w:t xml:space="preserve">nodrošinātu vienādu Eiropas Savienības tiesību aktu prasību piemērošanu un Eiropas Vērtspapīru un tirgu iestādes izstrādāto finanšu instrumentu </w:t>
            </w:r>
            <w:r w:rsidR="00E023F3" w:rsidRPr="005A210B">
              <w:rPr>
                <w:rFonts w:ascii="Times New Roman" w:eastAsia="Times New Roman" w:hAnsi="Times New Roman" w:cs="Times New Roman"/>
                <w:sz w:val="24"/>
                <w:szCs w:val="24"/>
                <w:lang w:eastAsia="lv-LV"/>
              </w:rPr>
              <w:t xml:space="preserve">orientējošo sarakstu padarītu saistošu Latvijas finanšu </w:t>
            </w:r>
            <w:r w:rsidR="005A210B" w:rsidRPr="005A210B">
              <w:rPr>
                <w:rFonts w:ascii="Times New Roman" w:eastAsia="Times New Roman" w:hAnsi="Times New Roman" w:cs="Times New Roman"/>
                <w:sz w:val="24"/>
                <w:szCs w:val="24"/>
                <w:lang w:eastAsia="lv-LV"/>
              </w:rPr>
              <w:t xml:space="preserve">instrumentu </w:t>
            </w:r>
            <w:r w:rsidR="00E023F3" w:rsidRPr="005A210B">
              <w:rPr>
                <w:rFonts w:ascii="Times New Roman" w:eastAsia="Times New Roman" w:hAnsi="Times New Roman" w:cs="Times New Roman"/>
                <w:sz w:val="24"/>
                <w:szCs w:val="24"/>
                <w:lang w:eastAsia="lv-LV"/>
              </w:rPr>
              <w:t>tirgus dalībniekiem.</w:t>
            </w:r>
          </w:p>
          <w:p w14:paraId="0EF5496C" w14:textId="6E9A4CC2" w:rsidR="00E023F3" w:rsidRPr="004B54E5" w:rsidRDefault="00E023F3" w:rsidP="00BC6039">
            <w:pPr>
              <w:spacing w:after="0" w:line="240" w:lineRule="auto"/>
              <w:jc w:val="both"/>
              <w:rPr>
                <w:rFonts w:ascii="Times New Roman" w:eastAsia="Times New Roman" w:hAnsi="Times New Roman" w:cs="Times New Roman"/>
                <w:sz w:val="24"/>
                <w:szCs w:val="24"/>
                <w:lang w:eastAsia="lv-LV"/>
              </w:rPr>
            </w:pPr>
          </w:p>
          <w:p w14:paraId="49EA5932" w14:textId="66CC51BD" w:rsidR="001A7A26" w:rsidRPr="004B54E5" w:rsidRDefault="001C1305" w:rsidP="00BE50CC">
            <w:pPr>
              <w:spacing w:after="0" w:line="240" w:lineRule="auto"/>
              <w:jc w:val="both"/>
              <w:rPr>
                <w:rFonts w:ascii="Times New Roman" w:eastAsia="Times New Roman" w:hAnsi="Times New Roman" w:cs="Times New Roman"/>
                <w:sz w:val="24"/>
                <w:szCs w:val="24"/>
                <w:lang w:eastAsia="lv-LV"/>
              </w:rPr>
            </w:pPr>
            <w:r w:rsidRPr="004B54E5">
              <w:rPr>
                <w:rFonts w:ascii="Times New Roman" w:eastAsia="Times New Roman" w:hAnsi="Times New Roman" w:cs="Times New Roman"/>
                <w:sz w:val="24"/>
                <w:szCs w:val="24"/>
                <w:lang w:eastAsia="lv-LV"/>
              </w:rPr>
              <w:t xml:space="preserve">Noteikumu projekts ir nepieciešams, lai </w:t>
            </w:r>
            <w:r w:rsidR="00BE50CC" w:rsidRPr="004B54E5">
              <w:rPr>
                <w:rFonts w:ascii="Times New Roman" w:eastAsia="Times New Roman" w:hAnsi="Times New Roman" w:cs="Times New Roman"/>
                <w:sz w:val="24"/>
                <w:szCs w:val="24"/>
                <w:lang w:eastAsia="lv-LV"/>
              </w:rPr>
              <w:t>būtu noteikts, kādi Likum</w:t>
            </w:r>
            <w:r w:rsidR="00064C2D">
              <w:rPr>
                <w:rFonts w:ascii="Times New Roman" w:eastAsia="Times New Roman" w:hAnsi="Times New Roman" w:cs="Times New Roman"/>
                <w:sz w:val="24"/>
                <w:szCs w:val="24"/>
                <w:lang w:eastAsia="lv-LV"/>
              </w:rPr>
              <w:t>a</w:t>
            </w:r>
            <w:r w:rsidR="00BE50CC" w:rsidRPr="004B54E5">
              <w:rPr>
                <w:rFonts w:ascii="Times New Roman" w:eastAsia="Times New Roman" w:hAnsi="Times New Roman" w:cs="Times New Roman"/>
                <w:sz w:val="24"/>
                <w:szCs w:val="24"/>
                <w:lang w:eastAsia="lv-LV"/>
              </w:rPr>
              <w:t xml:space="preserve"> 60.</w:t>
            </w:r>
            <w:r w:rsidR="00AA27DE">
              <w:rPr>
                <w:rFonts w:ascii="Times New Roman" w:eastAsia="Times New Roman" w:hAnsi="Times New Roman" w:cs="Times New Roman"/>
                <w:sz w:val="24"/>
                <w:szCs w:val="24"/>
                <w:lang w:eastAsia="lv-LV"/>
              </w:rPr>
              <w:t> </w:t>
            </w:r>
            <w:r w:rsidR="00BE50CC" w:rsidRPr="004B54E5">
              <w:rPr>
                <w:rFonts w:ascii="Times New Roman" w:eastAsia="Times New Roman" w:hAnsi="Times New Roman" w:cs="Times New Roman"/>
                <w:sz w:val="24"/>
                <w:szCs w:val="24"/>
                <w:lang w:eastAsia="lv-LV"/>
              </w:rPr>
              <w:t>panta pirmās daļas 3.</w:t>
            </w:r>
            <w:r w:rsidR="00AA27DE">
              <w:rPr>
                <w:rFonts w:ascii="Times New Roman" w:eastAsia="Times New Roman" w:hAnsi="Times New Roman" w:cs="Times New Roman"/>
                <w:sz w:val="24"/>
                <w:szCs w:val="24"/>
                <w:lang w:eastAsia="lv-LV"/>
              </w:rPr>
              <w:t> </w:t>
            </w:r>
            <w:r w:rsidR="00BE50CC" w:rsidRPr="004B54E5">
              <w:rPr>
                <w:rFonts w:ascii="Times New Roman" w:eastAsia="Times New Roman" w:hAnsi="Times New Roman" w:cs="Times New Roman"/>
                <w:sz w:val="24"/>
                <w:szCs w:val="24"/>
                <w:lang w:eastAsia="lv-LV"/>
              </w:rPr>
              <w:t xml:space="preserve">punktā minētie finanšu instrumenti </w:t>
            </w:r>
            <w:r w:rsidR="003800D5" w:rsidRPr="004B54E5">
              <w:rPr>
                <w:rFonts w:ascii="Times New Roman" w:eastAsia="Times New Roman" w:hAnsi="Times New Roman" w:cs="Times New Roman"/>
                <w:sz w:val="24"/>
                <w:szCs w:val="24"/>
                <w:lang w:eastAsia="lv-LV"/>
              </w:rPr>
              <w:t xml:space="preserve">personai </w:t>
            </w:r>
            <w:r w:rsidR="00BE50CC" w:rsidRPr="004B54E5">
              <w:rPr>
                <w:rFonts w:ascii="Times New Roman" w:eastAsia="Times New Roman" w:hAnsi="Times New Roman" w:cs="Times New Roman"/>
                <w:sz w:val="24"/>
                <w:szCs w:val="24"/>
                <w:lang w:eastAsia="lv-LV"/>
              </w:rPr>
              <w:t xml:space="preserve">ir jāņem vērā, aprēķinot </w:t>
            </w:r>
            <w:r w:rsidR="008F4029">
              <w:rPr>
                <w:rFonts w:ascii="Times New Roman" w:eastAsia="Times New Roman" w:hAnsi="Times New Roman" w:cs="Times New Roman"/>
                <w:sz w:val="24"/>
                <w:szCs w:val="24"/>
                <w:lang w:eastAsia="lv-LV"/>
              </w:rPr>
              <w:t xml:space="preserve">nozīmīgas </w:t>
            </w:r>
            <w:r w:rsidR="00BE50CC" w:rsidRPr="004B54E5">
              <w:rPr>
                <w:rFonts w:ascii="Times New Roman" w:eastAsia="Times New Roman" w:hAnsi="Times New Roman" w:cs="Times New Roman"/>
                <w:sz w:val="24"/>
                <w:szCs w:val="24"/>
                <w:lang w:eastAsia="lv-LV"/>
              </w:rPr>
              <w:t>līdzdalības apmēru.</w:t>
            </w:r>
          </w:p>
        </w:tc>
      </w:tr>
      <w:tr w:rsidR="000B4E0A" w:rsidRPr="004B54E5" w14:paraId="2ADDF3C3" w14:textId="77777777" w:rsidTr="00E253DA">
        <w:trPr>
          <w:trHeight w:val="567"/>
        </w:trPr>
        <w:tc>
          <w:tcPr>
            <w:tcW w:w="1796" w:type="pct"/>
            <w:shd w:val="clear" w:color="auto" w:fill="auto"/>
            <w:hideMark/>
          </w:tcPr>
          <w:p w14:paraId="6AEAE8E3" w14:textId="77777777" w:rsidR="00A42788" w:rsidRPr="004B54E5" w:rsidRDefault="00A42788" w:rsidP="000B4E0A">
            <w:pPr>
              <w:spacing w:after="0" w:line="240" w:lineRule="auto"/>
              <w:rPr>
                <w:rFonts w:ascii="Times New Roman" w:eastAsia="Times New Roman" w:hAnsi="Times New Roman" w:cs="Times New Roman"/>
                <w:b/>
                <w:bCs/>
                <w:sz w:val="24"/>
                <w:szCs w:val="24"/>
                <w:lang w:eastAsia="lv-LV"/>
              </w:rPr>
            </w:pPr>
            <w:r w:rsidRPr="004B54E5">
              <w:rPr>
                <w:rFonts w:ascii="Times New Roman" w:eastAsia="Times New Roman" w:hAnsi="Times New Roman" w:cs="Times New Roman"/>
                <w:b/>
                <w:bCs/>
                <w:sz w:val="24"/>
                <w:szCs w:val="24"/>
                <w:lang w:eastAsia="lv-LV"/>
              </w:rPr>
              <w:t>Samērīgums</w:t>
            </w:r>
          </w:p>
          <w:p w14:paraId="50F52EC5" w14:textId="77777777" w:rsidR="00CA28AB" w:rsidRPr="004B54E5"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9102164" w14:textId="4768A57D" w:rsidR="001D3CCF" w:rsidRPr="004B54E5" w:rsidRDefault="00BF57EB" w:rsidP="00AA4032">
            <w:pPr>
              <w:spacing w:after="0" w:line="240" w:lineRule="auto"/>
              <w:jc w:val="both"/>
              <w:rPr>
                <w:rFonts w:ascii="Times New Roman" w:eastAsia="Times New Roman" w:hAnsi="Times New Roman" w:cs="Times New Roman"/>
                <w:sz w:val="24"/>
                <w:szCs w:val="24"/>
                <w:lang w:eastAsia="lv-LV"/>
              </w:rPr>
            </w:pPr>
            <w:r w:rsidRPr="004B54E5">
              <w:rPr>
                <w:rFonts w:ascii="Times New Roman" w:eastAsia="Times New Roman" w:hAnsi="Times New Roman" w:cs="Times New Roman"/>
                <w:sz w:val="24"/>
                <w:szCs w:val="24"/>
                <w:lang w:eastAsia="lv-LV"/>
              </w:rPr>
              <w:t>N</w:t>
            </w:r>
            <w:r w:rsidR="002156E9" w:rsidRPr="004B54E5">
              <w:rPr>
                <w:rFonts w:ascii="Times New Roman" w:eastAsia="Times New Roman" w:hAnsi="Times New Roman" w:cs="Times New Roman"/>
                <w:sz w:val="24"/>
                <w:szCs w:val="24"/>
                <w:lang w:eastAsia="lv-LV"/>
              </w:rPr>
              <w:t>oteikum</w:t>
            </w:r>
            <w:r w:rsidR="005047C2">
              <w:rPr>
                <w:rFonts w:ascii="Times New Roman" w:eastAsia="Times New Roman" w:hAnsi="Times New Roman" w:cs="Times New Roman"/>
                <w:sz w:val="24"/>
                <w:szCs w:val="24"/>
                <w:lang w:eastAsia="lv-LV"/>
              </w:rPr>
              <w:t xml:space="preserve">u projekts neparedz </w:t>
            </w:r>
            <w:r w:rsidR="00917891" w:rsidRPr="004B54E5">
              <w:rPr>
                <w:rFonts w:ascii="Times New Roman" w:eastAsia="Times New Roman" w:hAnsi="Times New Roman" w:cs="Times New Roman"/>
                <w:sz w:val="24"/>
                <w:szCs w:val="24"/>
                <w:lang w:eastAsia="lv-LV"/>
              </w:rPr>
              <w:t xml:space="preserve">papildu prasības, bet paskaidro Likuma piemērošanu, tādējādi </w:t>
            </w:r>
            <w:r w:rsidR="00B2669C" w:rsidRPr="004B54E5">
              <w:rPr>
                <w:rFonts w:ascii="Times New Roman" w:eastAsia="Times New Roman" w:hAnsi="Times New Roman" w:cs="Times New Roman"/>
                <w:sz w:val="24"/>
                <w:szCs w:val="24"/>
                <w:lang w:eastAsia="lv-LV"/>
              </w:rPr>
              <w:t>nodrošin</w:t>
            </w:r>
            <w:r w:rsidR="00B2669C">
              <w:rPr>
                <w:rFonts w:ascii="Times New Roman" w:eastAsia="Times New Roman" w:hAnsi="Times New Roman" w:cs="Times New Roman"/>
                <w:sz w:val="24"/>
                <w:szCs w:val="24"/>
                <w:lang w:eastAsia="lv-LV"/>
              </w:rPr>
              <w:t>ot</w:t>
            </w:r>
            <w:r w:rsidR="00B2669C" w:rsidRPr="004B54E5">
              <w:rPr>
                <w:rFonts w:ascii="Times New Roman" w:eastAsia="Times New Roman" w:hAnsi="Times New Roman" w:cs="Times New Roman"/>
                <w:sz w:val="24"/>
                <w:szCs w:val="24"/>
                <w:lang w:eastAsia="lv-LV"/>
              </w:rPr>
              <w:t xml:space="preserve"> </w:t>
            </w:r>
            <w:r w:rsidR="004F0BF6">
              <w:rPr>
                <w:rFonts w:ascii="Times New Roman" w:eastAsia="Times New Roman" w:hAnsi="Times New Roman" w:cs="Times New Roman"/>
                <w:sz w:val="24"/>
                <w:szCs w:val="24"/>
                <w:lang w:eastAsia="lv-LV"/>
              </w:rPr>
              <w:t xml:space="preserve">finanšu instrumentu </w:t>
            </w:r>
            <w:r w:rsidR="002156E9" w:rsidRPr="004B54E5">
              <w:rPr>
                <w:rFonts w:ascii="Times New Roman" w:eastAsia="Times New Roman" w:hAnsi="Times New Roman" w:cs="Times New Roman"/>
                <w:sz w:val="24"/>
                <w:szCs w:val="24"/>
                <w:lang w:eastAsia="lv-LV"/>
              </w:rPr>
              <w:t xml:space="preserve">tirgus dalībnieku konsekventu pieeju un </w:t>
            </w:r>
            <w:r w:rsidR="004B54E5" w:rsidRPr="004B54E5">
              <w:rPr>
                <w:rFonts w:ascii="Times New Roman" w:eastAsia="Times New Roman" w:hAnsi="Times New Roman" w:cs="Times New Roman"/>
                <w:sz w:val="24"/>
                <w:szCs w:val="24"/>
                <w:lang w:eastAsia="lv-LV"/>
              </w:rPr>
              <w:t>atvieglo</w:t>
            </w:r>
            <w:r w:rsidR="004362D9">
              <w:rPr>
                <w:rFonts w:ascii="Times New Roman" w:eastAsia="Times New Roman" w:hAnsi="Times New Roman" w:cs="Times New Roman"/>
                <w:sz w:val="24"/>
                <w:szCs w:val="24"/>
                <w:lang w:eastAsia="lv-LV"/>
              </w:rPr>
              <w:t>jot</w:t>
            </w:r>
            <w:r w:rsidR="004B54E5" w:rsidRPr="004B54E5">
              <w:rPr>
                <w:rFonts w:ascii="Times New Roman" w:eastAsia="Times New Roman" w:hAnsi="Times New Roman" w:cs="Times New Roman"/>
                <w:sz w:val="24"/>
                <w:szCs w:val="24"/>
                <w:lang w:eastAsia="lv-LV"/>
              </w:rPr>
              <w:t xml:space="preserve"> </w:t>
            </w:r>
            <w:r w:rsidR="00BE50CC" w:rsidRPr="004B54E5">
              <w:rPr>
                <w:rFonts w:ascii="Times New Roman" w:eastAsia="Times New Roman" w:hAnsi="Times New Roman" w:cs="Times New Roman"/>
                <w:sz w:val="24"/>
                <w:szCs w:val="24"/>
                <w:lang w:eastAsia="lv-LV"/>
              </w:rPr>
              <w:t>L</w:t>
            </w:r>
            <w:r w:rsidR="002156E9" w:rsidRPr="004B54E5">
              <w:rPr>
                <w:rFonts w:ascii="Times New Roman" w:eastAsia="Times New Roman" w:hAnsi="Times New Roman" w:cs="Times New Roman"/>
                <w:sz w:val="24"/>
                <w:szCs w:val="24"/>
                <w:lang w:eastAsia="lv-LV"/>
              </w:rPr>
              <w:t>ikuma prasību interpretācij</w:t>
            </w:r>
            <w:r w:rsidR="004B54E5" w:rsidRPr="004B54E5">
              <w:rPr>
                <w:rFonts w:ascii="Times New Roman" w:eastAsia="Times New Roman" w:hAnsi="Times New Roman" w:cs="Times New Roman"/>
                <w:sz w:val="24"/>
                <w:szCs w:val="24"/>
                <w:lang w:eastAsia="lv-LV"/>
              </w:rPr>
              <w:t xml:space="preserve">u un </w:t>
            </w:r>
            <w:r w:rsidR="004B54E5" w:rsidRPr="004B54E5">
              <w:rPr>
                <w:rFonts w:ascii="Times New Roman" w:eastAsia="Times New Roman" w:hAnsi="Times New Roman" w:cs="Times New Roman"/>
                <w:sz w:val="24"/>
                <w:szCs w:val="24"/>
                <w:lang w:eastAsia="lv-LV"/>
              </w:rPr>
              <w:lastRenderedPageBreak/>
              <w:t>piemērošanu</w:t>
            </w:r>
            <w:r w:rsidR="002156E9" w:rsidRPr="004B54E5">
              <w:rPr>
                <w:rFonts w:ascii="Times New Roman" w:eastAsia="Times New Roman" w:hAnsi="Times New Roman" w:cs="Times New Roman"/>
                <w:sz w:val="24"/>
                <w:szCs w:val="24"/>
                <w:lang w:eastAsia="lv-LV"/>
              </w:rPr>
              <w:t>.</w:t>
            </w:r>
            <w:r w:rsidR="00917891" w:rsidRPr="004B54E5">
              <w:rPr>
                <w:rFonts w:ascii="Times New Roman" w:eastAsia="Times New Roman" w:hAnsi="Times New Roman" w:cs="Times New Roman"/>
                <w:sz w:val="24"/>
                <w:szCs w:val="24"/>
                <w:lang w:eastAsia="lv-LV"/>
              </w:rPr>
              <w:t xml:space="preserve"> Prasības</w:t>
            </w:r>
            <w:r w:rsidR="00B2669C">
              <w:rPr>
                <w:rFonts w:ascii="Times New Roman" w:eastAsia="Times New Roman" w:hAnsi="Times New Roman" w:cs="Times New Roman"/>
                <w:sz w:val="24"/>
                <w:szCs w:val="24"/>
                <w:lang w:eastAsia="lv-LV"/>
              </w:rPr>
              <w:t>, kas noteiktas</w:t>
            </w:r>
            <w:r w:rsidR="00917891" w:rsidRPr="004B54E5">
              <w:rPr>
                <w:rFonts w:ascii="Times New Roman" w:eastAsia="Times New Roman" w:hAnsi="Times New Roman" w:cs="Times New Roman"/>
                <w:sz w:val="24"/>
                <w:szCs w:val="24"/>
                <w:lang w:eastAsia="lv-LV"/>
              </w:rPr>
              <w:t xml:space="preserve"> </w:t>
            </w:r>
            <w:r w:rsidR="002156E9" w:rsidRPr="004B54E5">
              <w:rPr>
                <w:rFonts w:ascii="Times New Roman" w:eastAsia="Times New Roman" w:hAnsi="Times New Roman" w:cs="Times New Roman"/>
                <w:sz w:val="24"/>
                <w:szCs w:val="24"/>
                <w:lang w:eastAsia="lv-LV"/>
              </w:rPr>
              <w:t xml:space="preserve">Latvijas </w:t>
            </w:r>
            <w:r w:rsidR="004F0BF6">
              <w:rPr>
                <w:rFonts w:ascii="Times New Roman" w:eastAsia="Times New Roman" w:hAnsi="Times New Roman" w:cs="Times New Roman"/>
                <w:sz w:val="24"/>
                <w:szCs w:val="24"/>
                <w:lang w:eastAsia="lv-LV"/>
              </w:rPr>
              <w:t xml:space="preserve">finanšu instrumentu </w:t>
            </w:r>
            <w:r w:rsidR="00917891" w:rsidRPr="004B54E5">
              <w:rPr>
                <w:rFonts w:ascii="Times New Roman" w:eastAsia="Times New Roman" w:hAnsi="Times New Roman" w:cs="Times New Roman"/>
                <w:sz w:val="24"/>
                <w:szCs w:val="24"/>
                <w:lang w:eastAsia="lv-LV"/>
              </w:rPr>
              <w:t>tirgus dalībniekiem</w:t>
            </w:r>
            <w:r w:rsidR="00064C2D">
              <w:rPr>
                <w:rFonts w:ascii="Times New Roman" w:eastAsia="Times New Roman" w:hAnsi="Times New Roman" w:cs="Times New Roman"/>
                <w:sz w:val="24"/>
                <w:szCs w:val="24"/>
                <w:lang w:eastAsia="lv-LV"/>
              </w:rPr>
              <w:t>,</w:t>
            </w:r>
            <w:r w:rsidR="00917891" w:rsidRPr="004B54E5">
              <w:rPr>
                <w:rFonts w:ascii="Times New Roman" w:eastAsia="Times New Roman" w:hAnsi="Times New Roman" w:cs="Times New Roman"/>
                <w:sz w:val="24"/>
                <w:szCs w:val="24"/>
                <w:lang w:eastAsia="lv-LV"/>
              </w:rPr>
              <w:t xml:space="preserve"> </w:t>
            </w:r>
            <w:r w:rsidR="002156E9" w:rsidRPr="004B54E5">
              <w:rPr>
                <w:rFonts w:ascii="Times New Roman" w:eastAsia="Times New Roman" w:hAnsi="Times New Roman" w:cs="Times New Roman"/>
                <w:sz w:val="24"/>
                <w:szCs w:val="24"/>
                <w:lang w:eastAsia="lv-LV"/>
              </w:rPr>
              <w:t>būs atbilstoša</w:t>
            </w:r>
            <w:r w:rsidR="00917891" w:rsidRPr="004B54E5">
              <w:rPr>
                <w:rFonts w:ascii="Times New Roman" w:eastAsia="Times New Roman" w:hAnsi="Times New Roman" w:cs="Times New Roman"/>
                <w:sz w:val="24"/>
                <w:szCs w:val="24"/>
                <w:lang w:eastAsia="lv-LV"/>
              </w:rPr>
              <w:t>s</w:t>
            </w:r>
            <w:r w:rsidR="002156E9" w:rsidRPr="004B54E5">
              <w:rPr>
                <w:rFonts w:ascii="Times New Roman" w:eastAsia="Times New Roman" w:hAnsi="Times New Roman" w:cs="Times New Roman"/>
                <w:sz w:val="24"/>
                <w:szCs w:val="24"/>
                <w:lang w:eastAsia="lv-LV"/>
              </w:rPr>
              <w:t xml:space="preserve"> citu dalībvalstu </w:t>
            </w:r>
            <w:r w:rsidR="004F0BF6">
              <w:rPr>
                <w:rFonts w:ascii="Times New Roman" w:eastAsia="Times New Roman" w:hAnsi="Times New Roman" w:cs="Times New Roman"/>
                <w:sz w:val="24"/>
                <w:szCs w:val="24"/>
                <w:lang w:eastAsia="lv-LV"/>
              </w:rPr>
              <w:t xml:space="preserve">finanšu instrumentu </w:t>
            </w:r>
            <w:r w:rsidR="002156E9" w:rsidRPr="004B54E5">
              <w:rPr>
                <w:rFonts w:ascii="Times New Roman" w:eastAsia="Times New Roman" w:hAnsi="Times New Roman" w:cs="Times New Roman"/>
                <w:sz w:val="24"/>
                <w:szCs w:val="24"/>
                <w:lang w:eastAsia="lv-LV"/>
              </w:rPr>
              <w:t>tirgus dalībniek</w:t>
            </w:r>
            <w:r w:rsidR="003800D5">
              <w:rPr>
                <w:rFonts w:ascii="Times New Roman" w:eastAsia="Times New Roman" w:hAnsi="Times New Roman" w:cs="Times New Roman"/>
                <w:sz w:val="24"/>
                <w:szCs w:val="24"/>
                <w:lang w:eastAsia="lv-LV"/>
              </w:rPr>
              <w:t>iem noteiktajām</w:t>
            </w:r>
            <w:r w:rsidR="002156E9" w:rsidRPr="004B54E5">
              <w:rPr>
                <w:rFonts w:ascii="Times New Roman" w:eastAsia="Times New Roman" w:hAnsi="Times New Roman" w:cs="Times New Roman"/>
                <w:sz w:val="24"/>
                <w:szCs w:val="24"/>
                <w:lang w:eastAsia="lv-LV"/>
              </w:rPr>
              <w:t xml:space="preserve"> p</w:t>
            </w:r>
            <w:r w:rsidR="00917891" w:rsidRPr="004B54E5">
              <w:rPr>
                <w:rFonts w:ascii="Times New Roman" w:eastAsia="Times New Roman" w:hAnsi="Times New Roman" w:cs="Times New Roman"/>
                <w:sz w:val="24"/>
                <w:szCs w:val="24"/>
                <w:lang w:eastAsia="lv-LV"/>
              </w:rPr>
              <w:t>rasībām</w:t>
            </w:r>
            <w:r w:rsidR="002156E9" w:rsidRPr="004B54E5">
              <w:rPr>
                <w:rFonts w:ascii="Times New Roman" w:eastAsia="Times New Roman" w:hAnsi="Times New Roman" w:cs="Times New Roman"/>
                <w:sz w:val="24"/>
                <w:szCs w:val="24"/>
                <w:lang w:eastAsia="lv-LV"/>
              </w:rPr>
              <w:t xml:space="preserve">, jo ar </w:t>
            </w:r>
            <w:r w:rsidR="00B2669C" w:rsidRPr="004B54E5">
              <w:rPr>
                <w:rFonts w:ascii="Times New Roman" w:eastAsia="Times New Roman" w:hAnsi="Times New Roman" w:cs="Times New Roman"/>
                <w:sz w:val="24"/>
                <w:szCs w:val="24"/>
                <w:lang w:eastAsia="lv-LV"/>
              </w:rPr>
              <w:t>noteikum</w:t>
            </w:r>
            <w:r w:rsidR="00B2669C">
              <w:rPr>
                <w:rFonts w:ascii="Times New Roman" w:eastAsia="Times New Roman" w:hAnsi="Times New Roman" w:cs="Times New Roman"/>
                <w:sz w:val="24"/>
                <w:szCs w:val="24"/>
                <w:lang w:eastAsia="lv-LV"/>
              </w:rPr>
              <w:t>u projektu</w:t>
            </w:r>
            <w:r w:rsidR="00B2669C" w:rsidRPr="004B54E5">
              <w:rPr>
                <w:rFonts w:ascii="Times New Roman" w:eastAsia="Times New Roman" w:hAnsi="Times New Roman" w:cs="Times New Roman"/>
                <w:sz w:val="24"/>
                <w:szCs w:val="24"/>
                <w:lang w:eastAsia="lv-LV"/>
              </w:rPr>
              <w:t xml:space="preserve"> </w:t>
            </w:r>
            <w:r w:rsidR="002156E9" w:rsidRPr="004B54E5">
              <w:rPr>
                <w:rFonts w:ascii="Times New Roman" w:eastAsia="Times New Roman" w:hAnsi="Times New Roman" w:cs="Times New Roman"/>
                <w:sz w:val="24"/>
                <w:szCs w:val="24"/>
                <w:lang w:eastAsia="lv-LV"/>
              </w:rPr>
              <w:t xml:space="preserve">tiks ieviests Eiropas Vērtspapīru un tirgu iestādes </w:t>
            </w:r>
            <w:r w:rsidR="00917891" w:rsidRPr="004B54E5">
              <w:rPr>
                <w:rFonts w:ascii="Times New Roman" w:eastAsia="Times New Roman" w:hAnsi="Times New Roman" w:cs="Times New Roman"/>
                <w:sz w:val="24"/>
                <w:szCs w:val="24"/>
                <w:lang w:eastAsia="lv-LV"/>
              </w:rPr>
              <w:t>izstrādātais finanšu instrumentu orientējošais saraksts.</w:t>
            </w:r>
          </w:p>
        </w:tc>
      </w:tr>
      <w:tr w:rsidR="000B4E0A" w:rsidRPr="004B54E5" w14:paraId="2591F751" w14:textId="77777777" w:rsidTr="00E253DA">
        <w:trPr>
          <w:trHeight w:val="567"/>
        </w:trPr>
        <w:tc>
          <w:tcPr>
            <w:tcW w:w="1796" w:type="pct"/>
            <w:shd w:val="clear" w:color="auto" w:fill="auto"/>
            <w:hideMark/>
          </w:tcPr>
          <w:p w14:paraId="1FDD520A" w14:textId="77777777" w:rsidR="00A42788" w:rsidRPr="004B54E5" w:rsidRDefault="00A42788" w:rsidP="000B4E0A">
            <w:pPr>
              <w:spacing w:after="0" w:line="240" w:lineRule="auto"/>
              <w:rPr>
                <w:rFonts w:ascii="Times New Roman" w:eastAsia="Times New Roman" w:hAnsi="Times New Roman" w:cs="Times New Roman"/>
                <w:b/>
                <w:bCs/>
                <w:sz w:val="24"/>
                <w:szCs w:val="24"/>
                <w:lang w:eastAsia="lv-LV"/>
              </w:rPr>
            </w:pPr>
            <w:r w:rsidRPr="004B54E5">
              <w:rPr>
                <w:rFonts w:ascii="Times New Roman" w:eastAsia="Times New Roman" w:hAnsi="Times New Roman" w:cs="Times New Roman"/>
                <w:b/>
                <w:bCs/>
                <w:sz w:val="24"/>
                <w:szCs w:val="24"/>
                <w:lang w:eastAsia="lv-LV"/>
              </w:rPr>
              <w:lastRenderedPageBreak/>
              <w:t>Spēkā stāšanās</w:t>
            </w:r>
          </w:p>
          <w:p w14:paraId="08A10714" w14:textId="77777777" w:rsidR="00CA28AB" w:rsidRPr="004B54E5"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4993BA5" w14:textId="3315B8F2" w:rsidR="00332F41" w:rsidRPr="004B54E5" w:rsidRDefault="00C978E9" w:rsidP="00BC6039">
            <w:pPr>
              <w:spacing w:after="0" w:line="240" w:lineRule="auto"/>
              <w:jc w:val="both"/>
              <w:rPr>
                <w:rFonts w:ascii="Times New Roman" w:eastAsia="Times New Roman" w:hAnsi="Times New Roman" w:cs="Times New Roman"/>
                <w:sz w:val="24"/>
                <w:szCs w:val="24"/>
                <w:lang w:eastAsia="lv-LV"/>
              </w:rPr>
            </w:pPr>
            <w:r w:rsidRPr="004B54E5">
              <w:rPr>
                <w:rFonts w:ascii="Times New Roman" w:eastAsia="Times New Roman" w:hAnsi="Times New Roman" w:cs="Times New Roman"/>
                <w:sz w:val="24"/>
                <w:szCs w:val="24"/>
                <w:lang w:eastAsia="lv-LV"/>
              </w:rPr>
              <w:t>Nākamajā dienā pēc publicēšanas oficiālajā izdevumā "Latvijas Vēstnesis".</w:t>
            </w:r>
          </w:p>
        </w:tc>
      </w:tr>
      <w:tr w:rsidR="000B4E0A" w:rsidRPr="004B54E5" w14:paraId="12865487" w14:textId="77777777" w:rsidTr="00E253DA">
        <w:trPr>
          <w:trHeight w:val="567"/>
        </w:trPr>
        <w:tc>
          <w:tcPr>
            <w:tcW w:w="1796" w:type="pct"/>
            <w:shd w:val="clear" w:color="auto" w:fill="auto"/>
            <w:hideMark/>
          </w:tcPr>
          <w:p w14:paraId="6BC9B81D" w14:textId="77777777" w:rsidR="00A42788" w:rsidRPr="004B54E5" w:rsidRDefault="00A42788" w:rsidP="000B4E0A">
            <w:pPr>
              <w:spacing w:after="0" w:line="240" w:lineRule="auto"/>
              <w:rPr>
                <w:rFonts w:ascii="Times New Roman" w:eastAsia="Times New Roman" w:hAnsi="Times New Roman" w:cs="Times New Roman"/>
                <w:b/>
                <w:bCs/>
                <w:sz w:val="24"/>
                <w:szCs w:val="24"/>
                <w:lang w:eastAsia="lv-LV"/>
              </w:rPr>
            </w:pPr>
            <w:r w:rsidRPr="004B54E5">
              <w:rPr>
                <w:rFonts w:ascii="Times New Roman" w:eastAsia="Times New Roman" w:hAnsi="Times New Roman" w:cs="Times New Roman"/>
                <w:b/>
                <w:bCs/>
                <w:sz w:val="24"/>
                <w:szCs w:val="24"/>
                <w:lang w:eastAsia="lv-LV"/>
              </w:rPr>
              <w:t>Ietekme uz Latvijas Bankas budžetu</w:t>
            </w:r>
          </w:p>
          <w:p w14:paraId="34A91AA2" w14:textId="77777777" w:rsidR="00CA28AB" w:rsidRPr="004B54E5"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66F9A7B" w14:textId="3EFA5A4D" w:rsidR="00E53DE9" w:rsidRPr="004B54E5" w:rsidRDefault="004B27FC" w:rsidP="00BC6039">
            <w:pPr>
              <w:spacing w:after="0" w:line="240" w:lineRule="auto"/>
              <w:jc w:val="both"/>
              <w:rPr>
                <w:rFonts w:ascii="Times New Roman" w:eastAsia="Times New Roman" w:hAnsi="Times New Roman" w:cs="Times New Roman"/>
                <w:sz w:val="24"/>
                <w:szCs w:val="24"/>
                <w:lang w:eastAsia="lv-LV"/>
              </w:rPr>
            </w:pPr>
            <w:r w:rsidRPr="004B54E5">
              <w:rPr>
                <w:rFonts w:ascii="Times New Roman" w:eastAsia="Times New Roman" w:hAnsi="Times New Roman" w:cs="Times New Roman"/>
                <w:sz w:val="24"/>
                <w:szCs w:val="24"/>
                <w:lang w:eastAsia="lv-LV"/>
              </w:rPr>
              <w:t>Nav</w:t>
            </w:r>
            <w:r w:rsidR="00064C2D">
              <w:rPr>
                <w:rFonts w:ascii="Times New Roman" w:eastAsia="Times New Roman" w:hAnsi="Times New Roman" w:cs="Times New Roman"/>
                <w:sz w:val="24"/>
                <w:szCs w:val="24"/>
                <w:lang w:eastAsia="lv-LV"/>
              </w:rPr>
              <w:t>.</w:t>
            </w:r>
          </w:p>
        </w:tc>
      </w:tr>
      <w:tr w:rsidR="00542E89" w:rsidRPr="004B54E5" w14:paraId="6139ED23" w14:textId="77777777" w:rsidTr="00E253DA">
        <w:trPr>
          <w:trHeight w:val="567"/>
        </w:trPr>
        <w:tc>
          <w:tcPr>
            <w:tcW w:w="1796" w:type="pct"/>
            <w:shd w:val="clear" w:color="auto" w:fill="auto"/>
            <w:hideMark/>
          </w:tcPr>
          <w:p w14:paraId="46656B7A" w14:textId="77777777" w:rsidR="00542E89" w:rsidRPr="004B54E5" w:rsidRDefault="00542E89" w:rsidP="00542E89">
            <w:pPr>
              <w:spacing w:after="0" w:line="240" w:lineRule="auto"/>
              <w:rPr>
                <w:rFonts w:ascii="Times New Roman" w:eastAsia="Times New Roman" w:hAnsi="Times New Roman" w:cs="Times New Roman"/>
                <w:b/>
                <w:bCs/>
                <w:sz w:val="24"/>
                <w:szCs w:val="24"/>
                <w:lang w:eastAsia="lv-LV"/>
              </w:rPr>
            </w:pPr>
            <w:r w:rsidRPr="004B54E5">
              <w:rPr>
                <w:rFonts w:ascii="Times New Roman" w:eastAsia="Times New Roman" w:hAnsi="Times New Roman" w:cs="Times New Roman"/>
                <w:b/>
                <w:bCs/>
                <w:sz w:val="24"/>
                <w:szCs w:val="24"/>
                <w:lang w:eastAsia="lv-LV"/>
              </w:rPr>
              <w:t>Administratīvā sloga un izmaksu novērtējums (tirgus dalībniekiem)</w:t>
            </w:r>
          </w:p>
          <w:p w14:paraId="3BD8F625" w14:textId="77777777" w:rsidR="00542E89" w:rsidRPr="004B54E5" w:rsidRDefault="00542E89" w:rsidP="00542E89">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D67C695" w14:textId="68839E0E" w:rsidR="00542E89" w:rsidRPr="004B54E5" w:rsidRDefault="00622C1C" w:rsidP="00542E89">
            <w:pPr>
              <w:spacing w:after="0" w:line="240" w:lineRule="auto"/>
              <w:jc w:val="both"/>
              <w:rPr>
                <w:rFonts w:ascii="Times New Roman" w:eastAsia="Times New Roman" w:hAnsi="Times New Roman" w:cs="Times New Roman"/>
                <w:sz w:val="24"/>
                <w:szCs w:val="24"/>
                <w:lang w:eastAsia="lv-LV"/>
              </w:rPr>
            </w:pPr>
            <w:r w:rsidRPr="004B54E5">
              <w:rPr>
                <w:rFonts w:ascii="Times New Roman" w:eastAsia="Times New Roman" w:hAnsi="Times New Roman" w:cs="Times New Roman"/>
                <w:sz w:val="24"/>
                <w:szCs w:val="24"/>
                <w:lang w:eastAsia="lv-LV"/>
              </w:rPr>
              <w:t xml:space="preserve">Salīdzinot ar spēkā esošajiem Finanšu un kapitāla tirgus komisijas 2020. gada </w:t>
            </w:r>
            <w:r w:rsidR="00EE489E" w:rsidRPr="004B54E5">
              <w:rPr>
                <w:rFonts w:ascii="Times New Roman" w:eastAsia="Times New Roman" w:hAnsi="Times New Roman" w:cs="Times New Roman"/>
                <w:sz w:val="24"/>
                <w:szCs w:val="24"/>
                <w:lang w:eastAsia="lv-LV"/>
              </w:rPr>
              <w:t>6</w:t>
            </w:r>
            <w:r w:rsidRPr="004B54E5">
              <w:rPr>
                <w:rFonts w:ascii="Times New Roman" w:eastAsia="Times New Roman" w:hAnsi="Times New Roman" w:cs="Times New Roman"/>
                <w:sz w:val="24"/>
                <w:szCs w:val="24"/>
                <w:lang w:eastAsia="lv-LV"/>
              </w:rPr>
              <w:t>. </w:t>
            </w:r>
            <w:r w:rsidR="00EE489E" w:rsidRPr="004B54E5">
              <w:rPr>
                <w:rFonts w:ascii="Times New Roman" w:eastAsia="Times New Roman" w:hAnsi="Times New Roman" w:cs="Times New Roman"/>
                <w:sz w:val="24"/>
                <w:szCs w:val="24"/>
                <w:lang w:eastAsia="lv-LV"/>
              </w:rPr>
              <w:t>oktobra</w:t>
            </w:r>
            <w:r w:rsidRPr="004B54E5">
              <w:rPr>
                <w:rFonts w:ascii="Times New Roman" w:eastAsia="Times New Roman" w:hAnsi="Times New Roman" w:cs="Times New Roman"/>
                <w:sz w:val="24"/>
                <w:szCs w:val="24"/>
                <w:lang w:eastAsia="lv-LV"/>
              </w:rPr>
              <w:t xml:space="preserve"> normatīvajiem noteikumiem Nr. 1</w:t>
            </w:r>
            <w:r w:rsidR="00EE489E" w:rsidRPr="004B54E5">
              <w:rPr>
                <w:rFonts w:ascii="Times New Roman" w:eastAsia="Times New Roman" w:hAnsi="Times New Roman" w:cs="Times New Roman"/>
                <w:sz w:val="24"/>
                <w:szCs w:val="24"/>
                <w:lang w:eastAsia="lv-LV"/>
              </w:rPr>
              <w:t>85</w:t>
            </w:r>
            <w:r w:rsidRPr="004B54E5">
              <w:rPr>
                <w:rFonts w:ascii="Times New Roman" w:eastAsia="Times New Roman" w:hAnsi="Times New Roman" w:cs="Times New Roman"/>
                <w:sz w:val="24"/>
                <w:szCs w:val="24"/>
                <w:lang w:eastAsia="lv-LV"/>
              </w:rPr>
              <w:t xml:space="preserve"> "</w:t>
            </w:r>
            <w:r w:rsidR="00EE489E" w:rsidRPr="004B54E5">
              <w:rPr>
                <w:rFonts w:ascii="Times New Roman" w:eastAsia="Times New Roman" w:hAnsi="Times New Roman" w:cs="Times New Roman"/>
                <w:sz w:val="24"/>
                <w:szCs w:val="24"/>
                <w:lang w:eastAsia="lv-LV"/>
              </w:rPr>
              <w:t>Normatīvie noteikumi par Finanšu instrumentu tirgus likuma 60.</w:t>
            </w:r>
            <w:r w:rsidR="00AA27DE">
              <w:rPr>
                <w:rFonts w:ascii="Times New Roman" w:eastAsia="Times New Roman" w:hAnsi="Times New Roman" w:cs="Times New Roman"/>
                <w:sz w:val="24"/>
                <w:szCs w:val="24"/>
                <w:lang w:eastAsia="lv-LV"/>
              </w:rPr>
              <w:t> </w:t>
            </w:r>
            <w:r w:rsidR="00EE489E" w:rsidRPr="004B54E5">
              <w:rPr>
                <w:rFonts w:ascii="Times New Roman" w:eastAsia="Times New Roman" w:hAnsi="Times New Roman" w:cs="Times New Roman"/>
                <w:sz w:val="24"/>
                <w:szCs w:val="24"/>
                <w:lang w:eastAsia="lv-LV"/>
              </w:rPr>
              <w:t>panta pirmās daļas 3.</w:t>
            </w:r>
            <w:r w:rsidR="00AA27DE">
              <w:rPr>
                <w:rFonts w:ascii="Times New Roman" w:eastAsia="Times New Roman" w:hAnsi="Times New Roman" w:cs="Times New Roman"/>
                <w:sz w:val="24"/>
                <w:szCs w:val="24"/>
                <w:lang w:eastAsia="lv-LV"/>
              </w:rPr>
              <w:t> </w:t>
            </w:r>
            <w:r w:rsidR="00EE489E" w:rsidRPr="004B54E5">
              <w:rPr>
                <w:rFonts w:ascii="Times New Roman" w:eastAsia="Times New Roman" w:hAnsi="Times New Roman" w:cs="Times New Roman"/>
                <w:sz w:val="24"/>
                <w:szCs w:val="24"/>
                <w:lang w:eastAsia="lv-LV"/>
              </w:rPr>
              <w:t>punktā minēto finanšu instrumentu sarakstu</w:t>
            </w:r>
            <w:r w:rsidRPr="004B54E5">
              <w:rPr>
                <w:rFonts w:ascii="Times New Roman" w:eastAsia="Times New Roman" w:hAnsi="Times New Roman" w:cs="Times New Roman"/>
                <w:sz w:val="24"/>
                <w:szCs w:val="24"/>
                <w:lang w:eastAsia="lv-LV"/>
              </w:rPr>
              <w:t xml:space="preserve">", noteikumu projekts nerada </w:t>
            </w:r>
            <w:r w:rsidR="008F4029" w:rsidRPr="004B54E5">
              <w:rPr>
                <w:rFonts w:ascii="Times New Roman" w:eastAsia="Times New Roman" w:hAnsi="Times New Roman" w:cs="Times New Roman"/>
                <w:sz w:val="24"/>
                <w:szCs w:val="24"/>
                <w:lang w:eastAsia="lv-LV"/>
              </w:rPr>
              <w:t>jaun</w:t>
            </w:r>
            <w:r w:rsidR="008F4029">
              <w:rPr>
                <w:rFonts w:ascii="Times New Roman" w:eastAsia="Times New Roman" w:hAnsi="Times New Roman" w:cs="Times New Roman"/>
                <w:sz w:val="24"/>
                <w:szCs w:val="24"/>
                <w:lang w:eastAsia="lv-LV"/>
              </w:rPr>
              <w:t>u</w:t>
            </w:r>
            <w:r w:rsidR="008F4029" w:rsidRPr="004B54E5">
              <w:rPr>
                <w:rFonts w:ascii="Times New Roman" w:eastAsia="Times New Roman" w:hAnsi="Times New Roman" w:cs="Times New Roman"/>
                <w:sz w:val="24"/>
                <w:szCs w:val="24"/>
                <w:lang w:eastAsia="lv-LV"/>
              </w:rPr>
              <w:t xml:space="preserve"> administratīv</w:t>
            </w:r>
            <w:r w:rsidR="008F4029">
              <w:rPr>
                <w:rFonts w:ascii="Times New Roman" w:eastAsia="Times New Roman" w:hAnsi="Times New Roman" w:cs="Times New Roman"/>
                <w:sz w:val="24"/>
                <w:szCs w:val="24"/>
                <w:lang w:eastAsia="lv-LV"/>
              </w:rPr>
              <w:t>o slogu vai administratīvās izmaksas</w:t>
            </w:r>
            <w:r w:rsidRPr="004B54E5">
              <w:rPr>
                <w:rFonts w:ascii="Times New Roman" w:eastAsia="Times New Roman" w:hAnsi="Times New Roman" w:cs="Times New Roman"/>
                <w:sz w:val="24"/>
                <w:szCs w:val="24"/>
                <w:lang w:eastAsia="lv-LV"/>
              </w:rPr>
              <w:t xml:space="preserve"> </w:t>
            </w:r>
            <w:r w:rsidR="00EE489E" w:rsidRPr="00762097">
              <w:rPr>
                <w:rFonts w:ascii="Times New Roman" w:eastAsia="Times New Roman" w:hAnsi="Times New Roman" w:cs="Times New Roman"/>
                <w:sz w:val="24"/>
                <w:szCs w:val="24"/>
                <w:lang w:eastAsia="lv-LV"/>
              </w:rPr>
              <w:t xml:space="preserve">finanšu instrumentu </w:t>
            </w:r>
            <w:r w:rsidR="00AF4D1D" w:rsidRPr="00762097">
              <w:rPr>
                <w:rFonts w:ascii="Times New Roman" w:eastAsia="Times New Roman" w:hAnsi="Times New Roman" w:cs="Times New Roman"/>
                <w:sz w:val="24"/>
                <w:szCs w:val="24"/>
                <w:lang w:eastAsia="lv-LV"/>
              </w:rPr>
              <w:t>tirgus dalībniekiem</w:t>
            </w:r>
            <w:r w:rsidRPr="004B54E5">
              <w:rPr>
                <w:rFonts w:ascii="Times New Roman" w:eastAsia="Times New Roman" w:hAnsi="Times New Roman" w:cs="Times New Roman"/>
                <w:sz w:val="24"/>
                <w:szCs w:val="24"/>
                <w:lang w:eastAsia="lv-LV"/>
              </w:rPr>
              <w:t>.</w:t>
            </w:r>
          </w:p>
        </w:tc>
      </w:tr>
      <w:tr w:rsidR="00542E89" w:rsidRPr="004B54E5" w14:paraId="6E581E8B" w14:textId="77777777" w:rsidTr="00E253DA">
        <w:trPr>
          <w:trHeight w:val="567"/>
        </w:trPr>
        <w:tc>
          <w:tcPr>
            <w:tcW w:w="1796" w:type="pct"/>
            <w:shd w:val="clear" w:color="auto" w:fill="auto"/>
            <w:hideMark/>
          </w:tcPr>
          <w:p w14:paraId="064B3B99" w14:textId="77777777" w:rsidR="00542E89" w:rsidRPr="004B54E5" w:rsidRDefault="00542E89" w:rsidP="00542E89">
            <w:pPr>
              <w:spacing w:after="0" w:line="240" w:lineRule="auto"/>
              <w:rPr>
                <w:rFonts w:ascii="Times New Roman" w:eastAsia="Times New Roman" w:hAnsi="Times New Roman" w:cs="Times New Roman"/>
                <w:b/>
                <w:bCs/>
                <w:sz w:val="24"/>
                <w:szCs w:val="24"/>
                <w:lang w:eastAsia="lv-LV"/>
              </w:rPr>
            </w:pPr>
            <w:r w:rsidRPr="004B54E5">
              <w:rPr>
                <w:rFonts w:ascii="Times New Roman" w:eastAsia="Times New Roman" w:hAnsi="Times New Roman" w:cs="Times New Roman"/>
                <w:b/>
                <w:bCs/>
                <w:sz w:val="24"/>
                <w:szCs w:val="24"/>
                <w:lang w:eastAsia="lv-LV"/>
              </w:rPr>
              <w:t>Saistītie dokumenti</w:t>
            </w:r>
          </w:p>
          <w:p w14:paraId="0F3A14EE" w14:textId="77777777" w:rsidR="00542E89" w:rsidRPr="004B54E5" w:rsidRDefault="00542E89" w:rsidP="00542E89">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FA44BBB" w14:textId="1945DB93" w:rsidR="00064C2D" w:rsidRDefault="00064C2D" w:rsidP="00542E8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Ar noteikumu projektu saistītie dokumenti:</w:t>
            </w:r>
          </w:p>
          <w:p w14:paraId="5DC45360" w14:textId="14A1807C" w:rsidR="00542E89" w:rsidRDefault="00542E89" w:rsidP="00542E89">
            <w:pPr>
              <w:spacing w:after="0" w:line="240" w:lineRule="auto"/>
              <w:jc w:val="both"/>
              <w:rPr>
                <w:rFonts w:ascii="Times New Roman" w:eastAsia="Times New Roman" w:hAnsi="Times New Roman" w:cs="Times New Roman"/>
                <w:sz w:val="24"/>
                <w:szCs w:val="24"/>
                <w:lang w:eastAsia="lv-LV"/>
              </w:rPr>
            </w:pPr>
            <w:r w:rsidRPr="004B54E5">
              <w:rPr>
                <w:rFonts w:ascii="Times New Roman" w:eastAsia="Times New Roman" w:hAnsi="Times New Roman" w:cs="Times New Roman"/>
                <w:sz w:val="24"/>
                <w:szCs w:val="24"/>
                <w:lang w:eastAsia="lv-LV"/>
              </w:rPr>
              <w:t>1</w:t>
            </w:r>
            <w:r w:rsidR="00064C2D">
              <w:rPr>
                <w:rFonts w:ascii="Times New Roman" w:eastAsia="Times New Roman" w:hAnsi="Times New Roman" w:cs="Times New Roman"/>
                <w:sz w:val="24"/>
                <w:szCs w:val="24"/>
                <w:lang w:eastAsia="lv-LV"/>
              </w:rPr>
              <w:t>)</w:t>
            </w:r>
            <w:r w:rsidR="00AA27DE">
              <w:rPr>
                <w:rFonts w:ascii="Times New Roman" w:eastAsia="Times New Roman" w:hAnsi="Times New Roman" w:cs="Times New Roman"/>
                <w:sz w:val="24"/>
                <w:szCs w:val="24"/>
                <w:lang w:eastAsia="lv-LV"/>
              </w:rPr>
              <w:t> </w:t>
            </w:r>
            <w:r w:rsidR="00404763">
              <w:rPr>
                <w:rFonts w:ascii="Times New Roman" w:eastAsia="Times New Roman" w:hAnsi="Times New Roman" w:cs="Times New Roman"/>
                <w:sz w:val="24"/>
                <w:szCs w:val="24"/>
                <w:lang w:eastAsia="lv-LV"/>
              </w:rPr>
              <w:t>Direktīva 2004/109</w:t>
            </w:r>
            <w:r w:rsidRPr="004B54E5">
              <w:rPr>
                <w:rFonts w:ascii="Times New Roman" w:eastAsia="Times New Roman" w:hAnsi="Times New Roman" w:cs="Times New Roman"/>
                <w:sz w:val="24"/>
                <w:szCs w:val="24"/>
                <w:lang w:eastAsia="lv-LV"/>
              </w:rPr>
              <w:t>;</w:t>
            </w:r>
          </w:p>
          <w:p w14:paraId="2A3BB142" w14:textId="12CAC0E2" w:rsidR="00404763" w:rsidRPr="004B54E5" w:rsidRDefault="00404763" w:rsidP="00542E8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00064C2D">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Direktīva 2013/50/ES;</w:t>
            </w:r>
          </w:p>
          <w:p w14:paraId="5AA7E5BD" w14:textId="2FE6ED94" w:rsidR="00542E89" w:rsidRPr="004B54E5" w:rsidRDefault="00226059" w:rsidP="00542E8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w:t>
            </w:r>
            <w:r w:rsidR="00064C2D">
              <w:rPr>
                <w:rFonts w:ascii="Times New Roman" w:eastAsia="Times New Roman" w:hAnsi="Times New Roman" w:cs="Times New Roman"/>
                <w:sz w:val="24"/>
                <w:szCs w:val="24"/>
                <w:lang w:eastAsia="lv-LV"/>
              </w:rPr>
              <w:t>)</w:t>
            </w:r>
            <w:r w:rsidR="00AA27DE">
              <w:rPr>
                <w:rFonts w:ascii="Times New Roman" w:eastAsia="Times New Roman" w:hAnsi="Times New Roman" w:cs="Times New Roman"/>
                <w:sz w:val="24"/>
                <w:szCs w:val="24"/>
                <w:lang w:eastAsia="lv-LV"/>
              </w:rPr>
              <w:t> </w:t>
            </w:r>
            <w:r w:rsidR="00542E89" w:rsidRPr="004B54E5">
              <w:rPr>
                <w:rFonts w:ascii="Times New Roman" w:eastAsia="Times New Roman" w:hAnsi="Times New Roman" w:cs="Times New Roman"/>
                <w:sz w:val="24"/>
                <w:szCs w:val="24"/>
                <w:lang w:eastAsia="lv-LV"/>
              </w:rPr>
              <w:t xml:space="preserve">Eiropas Vērtspapīru un tirgu iestādes </w:t>
            </w:r>
            <w:r w:rsidR="00E0455E" w:rsidRPr="004B54E5">
              <w:rPr>
                <w:rFonts w:ascii="Times New Roman" w:eastAsia="Times New Roman" w:hAnsi="Times New Roman" w:cs="Times New Roman"/>
                <w:sz w:val="24"/>
                <w:szCs w:val="24"/>
                <w:lang w:eastAsia="lv-LV"/>
              </w:rPr>
              <w:t>finanšu instrumentu, uz kuriem attiecas paziņošanas prasības par nozīmīgas līdzdalības iegūšanu vai zaudēšanu</w:t>
            </w:r>
            <w:r w:rsidR="00E646B0">
              <w:rPr>
                <w:rFonts w:ascii="Times New Roman" w:eastAsia="Times New Roman" w:hAnsi="Times New Roman" w:cs="Times New Roman"/>
                <w:sz w:val="24"/>
                <w:szCs w:val="24"/>
                <w:lang w:eastAsia="lv-LV"/>
              </w:rPr>
              <w:t>,</w:t>
            </w:r>
            <w:r w:rsidR="00E0455E" w:rsidRPr="004B54E5">
              <w:rPr>
                <w:rFonts w:ascii="Times New Roman" w:eastAsia="Times New Roman" w:hAnsi="Times New Roman" w:cs="Times New Roman"/>
                <w:sz w:val="24"/>
                <w:szCs w:val="24"/>
                <w:lang w:eastAsia="lv-LV"/>
              </w:rPr>
              <w:t xml:space="preserve"> </w:t>
            </w:r>
            <w:r w:rsidR="00E646B0" w:rsidRPr="004B54E5">
              <w:rPr>
                <w:rFonts w:ascii="Times New Roman" w:eastAsia="Times New Roman" w:hAnsi="Times New Roman" w:cs="Times New Roman"/>
                <w:sz w:val="24"/>
                <w:szCs w:val="24"/>
                <w:lang w:eastAsia="lv-LV"/>
              </w:rPr>
              <w:t xml:space="preserve">orientējošais saraksts </w:t>
            </w:r>
            <w:r w:rsidR="00E0455E" w:rsidRPr="004B54E5">
              <w:rPr>
                <w:rFonts w:ascii="Times New Roman" w:eastAsia="Times New Roman" w:hAnsi="Times New Roman" w:cs="Times New Roman"/>
                <w:sz w:val="24"/>
                <w:szCs w:val="24"/>
                <w:lang w:eastAsia="lv-LV"/>
              </w:rPr>
              <w:t xml:space="preserve">(22.10.2015., </w:t>
            </w:r>
            <w:r w:rsidR="00E646B0">
              <w:rPr>
                <w:rFonts w:ascii="Times New Roman" w:eastAsia="Times New Roman" w:hAnsi="Times New Roman" w:cs="Times New Roman"/>
                <w:sz w:val="24"/>
                <w:szCs w:val="24"/>
                <w:lang w:eastAsia="lv-LV"/>
              </w:rPr>
              <w:t>Nr. </w:t>
            </w:r>
            <w:r w:rsidR="00E0455E" w:rsidRPr="004B54E5">
              <w:rPr>
                <w:rFonts w:ascii="Times New Roman" w:eastAsia="Times New Roman" w:hAnsi="Times New Roman" w:cs="Times New Roman"/>
                <w:sz w:val="24"/>
                <w:szCs w:val="24"/>
                <w:lang w:eastAsia="lv-LV"/>
              </w:rPr>
              <w:t>ESMA/2015/1598)</w:t>
            </w:r>
            <w:r w:rsidR="00542E89" w:rsidRPr="004B54E5">
              <w:rPr>
                <w:rFonts w:ascii="Times New Roman" w:eastAsia="Times New Roman" w:hAnsi="Times New Roman" w:cs="Times New Roman"/>
                <w:sz w:val="24"/>
                <w:szCs w:val="24"/>
                <w:lang w:eastAsia="lv-LV"/>
              </w:rPr>
              <w:t>;</w:t>
            </w:r>
          </w:p>
          <w:p w14:paraId="52F15645" w14:textId="14566152" w:rsidR="00B146DD" w:rsidRPr="004B54E5" w:rsidRDefault="00226059" w:rsidP="00542E8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4</w:t>
            </w:r>
            <w:r w:rsidR="00064C2D">
              <w:rPr>
                <w:rFonts w:ascii="Times New Roman" w:eastAsia="Times New Roman" w:hAnsi="Times New Roman" w:cs="Times New Roman"/>
                <w:sz w:val="24"/>
                <w:szCs w:val="24"/>
                <w:lang w:eastAsia="lv-LV"/>
              </w:rPr>
              <w:t>)</w:t>
            </w:r>
            <w:r w:rsidR="00AA27DE">
              <w:rPr>
                <w:rFonts w:ascii="Times New Roman" w:eastAsia="Times New Roman" w:hAnsi="Times New Roman" w:cs="Times New Roman"/>
                <w:sz w:val="24"/>
                <w:szCs w:val="24"/>
                <w:lang w:eastAsia="lv-LV"/>
              </w:rPr>
              <w:t> </w:t>
            </w:r>
            <w:r w:rsidR="00B146DD" w:rsidRPr="004B54E5">
              <w:rPr>
                <w:rFonts w:ascii="Times New Roman" w:eastAsia="Times New Roman" w:hAnsi="Times New Roman" w:cs="Times New Roman"/>
                <w:sz w:val="24"/>
                <w:szCs w:val="24"/>
                <w:lang w:eastAsia="lv-LV"/>
              </w:rPr>
              <w:t xml:space="preserve">Komisijas </w:t>
            </w:r>
            <w:r w:rsidR="00AA27DE" w:rsidRPr="004B54E5">
              <w:rPr>
                <w:rFonts w:ascii="Times New Roman" w:eastAsia="Times New Roman" w:hAnsi="Times New Roman" w:cs="Times New Roman"/>
                <w:sz w:val="24"/>
                <w:szCs w:val="24"/>
                <w:lang w:eastAsia="lv-LV"/>
              </w:rPr>
              <w:t>2014.</w:t>
            </w:r>
            <w:r w:rsidR="00AA27DE">
              <w:rPr>
                <w:rFonts w:ascii="Times New Roman" w:eastAsia="Times New Roman" w:hAnsi="Times New Roman" w:cs="Times New Roman"/>
                <w:sz w:val="24"/>
                <w:szCs w:val="24"/>
                <w:lang w:eastAsia="lv-LV"/>
              </w:rPr>
              <w:t> </w:t>
            </w:r>
            <w:r w:rsidR="00AA27DE" w:rsidRPr="004B54E5">
              <w:rPr>
                <w:rFonts w:ascii="Times New Roman" w:eastAsia="Times New Roman" w:hAnsi="Times New Roman" w:cs="Times New Roman"/>
                <w:sz w:val="24"/>
                <w:szCs w:val="24"/>
                <w:lang w:eastAsia="lv-LV"/>
              </w:rPr>
              <w:t>gada 17.</w:t>
            </w:r>
            <w:r w:rsidR="00AA27DE">
              <w:rPr>
                <w:rFonts w:ascii="Times New Roman" w:eastAsia="Times New Roman" w:hAnsi="Times New Roman" w:cs="Times New Roman"/>
                <w:sz w:val="24"/>
                <w:szCs w:val="24"/>
                <w:lang w:eastAsia="lv-LV"/>
              </w:rPr>
              <w:t> </w:t>
            </w:r>
            <w:r w:rsidR="00AA27DE" w:rsidRPr="004B54E5">
              <w:rPr>
                <w:rFonts w:ascii="Times New Roman" w:eastAsia="Times New Roman" w:hAnsi="Times New Roman" w:cs="Times New Roman"/>
                <w:sz w:val="24"/>
                <w:szCs w:val="24"/>
                <w:lang w:eastAsia="lv-LV"/>
              </w:rPr>
              <w:t xml:space="preserve">decembra </w:t>
            </w:r>
            <w:r w:rsidR="00AD6DE6">
              <w:rPr>
                <w:rFonts w:ascii="Times New Roman" w:eastAsia="Times New Roman" w:hAnsi="Times New Roman" w:cs="Times New Roman"/>
                <w:sz w:val="24"/>
                <w:szCs w:val="24"/>
                <w:lang w:eastAsia="lv-LV"/>
              </w:rPr>
              <w:t>d</w:t>
            </w:r>
            <w:r w:rsidR="00B146DD" w:rsidRPr="004B54E5">
              <w:rPr>
                <w:rFonts w:ascii="Times New Roman" w:eastAsia="Times New Roman" w:hAnsi="Times New Roman" w:cs="Times New Roman"/>
                <w:sz w:val="24"/>
                <w:szCs w:val="24"/>
                <w:lang w:eastAsia="lv-LV"/>
              </w:rPr>
              <w:t xml:space="preserve">eleģētā regula (ES) 2015/761, ar ko papildina Eiropas Parlamenta un Padomes </w:t>
            </w:r>
            <w:r w:rsidR="00064C2D">
              <w:rPr>
                <w:rFonts w:ascii="Times New Roman" w:eastAsia="Times New Roman" w:hAnsi="Times New Roman" w:cs="Times New Roman"/>
                <w:sz w:val="24"/>
                <w:szCs w:val="24"/>
                <w:lang w:eastAsia="lv-LV"/>
              </w:rPr>
              <w:t>d</w:t>
            </w:r>
            <w:r w:rsidR="00B146DD" w:rsidRPr="004B54E5">
              <w:rPr>
                <w:rFonts w:ascii="Times New Roman" w:eastAsia="Times New Roman" w:hAnsi="Times New Roman" w:cs="Times New Roman"/>
                <w:sz w:val="24"/>
                <w:szCs w:val="24"/>
                <w:lang w:eastAsia="lv-LV"/>
              </w:rPr>
              <w:t>irektīvu 2004/109/EK attiecībā uz konkrētiem regulatīvajiem tehniskajiem standartiem par nozīmīgu līdzdalību;</w:t>
            </w:r>
          </w:p>
          <w:p w14:paraId="5AEA91E3" w14:textId="50E0559D" w:rsidR="00542E89" w:rsidRPr="004B54E5" w:rsidRDefault="00226059" w:rsidP="00542E8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064C2D">
              <w:rPr>
                <w:rFonts w:ascii="Times New Roman" w:eastAsia="Times New Roman" w:hAnsi="Times New Roman" w:cs="Times New Roman"/>
                <w:sz w:val="24"/>
                <w:szCs w:val="24"/>
                <w:lang w:eastAsia="lv-LV"/>
              </w:rPr>
              <w:t>) </w:t>
            </w:r>
            <w:r w:rsidR="00542E89" w:rsidRPr="004B54E5">
              <w:rPr>
                <w:rFonts w:ascii="Times New Roman" w:eastAsia="Times New Roman" w:hAnsi="Times New Roman" w:cs="Times New Roman"/>
                <w:sz w:val="24"/>
                <w:szCs w:val="24"/>
                <w:lang w:eastAsia="lv-LV"/>
              </w:rPr>
              <w:t>Finanšu instrumentu tirgus likums;</w:t>
            </w:r>
          </w:p>
          <w:p w14:paraId="4241B8B7" w14:textId="4941452C" w:rsidR="00542E89" w:rsidRPr="004B54E5" w:rsidRDefault="00226059" w:rsidP="00542E8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064C2D">
              <w:rPr>
                <w:rFonts w:ascii="Times New Roman" w:eastAsia="Times New Roman" w:hAnsi="Times New Roman" w:cs="Times New Roman"/>
                <w:sz w:val="24"/>
                <w:szCs w:val="24"/>
                <w:lang w:eastAsia="lv-LV"/>
              </w:rPr>
              <w:t>)</w:t>
            </w:r>
            <w:r w:rsidR="00072882">
              <w:rPr>
                <w:rFonts w:ascii="Times New Roman" w:eastAsia="Times New Roman" w:hAnsi="Times New Roman" w:cs="Times New Roman"/>
                <w:sz w:val="24"/>
                <w:szCs w:val="24"/>
                <w:lang w:eastAsia="lv-LV"/>
              </w:rPr>
              <w:t> </w:t>
            </w:r>
            <w:r w:rsidR="00542E89" w:rsidRPr="004B54E5">
              <w:rPr>
                <w:rFonts w:ascii="Times New Roman" w:eastAsia="Times New Roman" w:hAnsi="Times New Roman" w:cs="Times New Roman"/>
                <w:sz w:val="24"/>
                <w:szCs w:val="24"/>
                <w:lang w:eastAsia="lv-LV"/>
              </w:rPr>
              <w:t xml:space="preserve">Finanšu un kapitāla tirgus komisijas 2020. gada </w:t>
            </w:r>
            <w:r w:rsidR="004154ED">
              <w:rPr>
                <w:rFonts w:ascii="Times New Roman" w:eastAsia="Times New Roman" w:hAnsi="Times New Roman" w:cs="Times New Roman"/>
                <w:sz w:val="24"/>
                <w:szCs w:val="24"/>
                <w:lang w:eastAsia="lv-LV"/>
              </w:rPr>
              <w:t>6</w:t>
            </w:r>
            <w:r w:rsidR="00AF4D1D" w:rsidRPr="004B54E5">
              <w:rPr>
                <w:rFonts w:ascii="Times New Roman" w:eastAsia="Times New Roman" w:hAnsi="Times New Roman" w:cs="Times New Roman"/>
                <w:sz w:val="24"/>
                <w:szCs w:val="24"/>
                <w:lang w:eastAsia="lv-LV"/>
              </w:rPr>
              <w:t xml:space="preserve">. oktobra </w:t>
            </w:r>
            <w:r w:rsidR="00311F36" w:rsidRPr="004B54E5">
              <w:rPr>
                <w:rFonts w:ascii="Times New Roman" w:eastAsia="Times New Roman" w:hAnsi="Times New Roman" w:cs="Times New Roman"/>
                <w:sz w:val="24"/>
                <w:szCs w:val="24"/>
                <w:lang w:eastAsia="lv-LV"/>
              </w:rPr>
              <w:t>normatīv</w:t>
            </w:r>
            <w:r w:rsidR="00311F36">
              <w:rPr>
                <w:rFonts w:ascii="Times New Roman" w:eastAsia="Times New Roman" w:hAnsi="Times New Roman" w:cs="Times New Roman"/>
                <w:sz w:val="24"/>
                <w:szCs w:val="24"/>
                <w:lang w:eastAsia="lv-LV"/>
              </w:rPr>
              <w:t>ie</w:t>
            </w:r>
            <w:r w:rsidR="00311F36" w:rsidRPr="004B54E5">
              <w:rPr>
                <w:rFonts w:ascii="Times New Roman" w:eastAsia="Times New Roman" w:hAnsi="Times New Roman" w:cs="Times New Roman"/>
                <w:sz w:val="24"/>
                <w:szCs w:val="24"/>
                <w:lang w:eastAsia="lv-LV"/>
              </w:rPr>
              <w:t xml:space="preserve"> </w:t>
            </w:r>
            <w:r w:rsidR="00AF4D1D" w:rsidRPr="004B54E5">
              <w:rPr>
                <w:rFonts w:ascii="Times New Roman" w:eastAsia="Times New Roman" w:hAnsi="Times New Roman" w:cs="Times New Roman"/>
                <w:sz w:val="24"/>
                <w:szCs w:val="24"/>
                <w:lang w:eastAsia="lv-LV"/>
              </w:rPr>
              <w:t>noteikumi Nr. 185 "Normatīvie noteikumi par Finanšu instrumentu tirgus likuma 60. panta pirmās daļas 3. punktā minēto finanšu instrumentu sarakstu"</w:t>
            </w:r>
            <w:r w:rsidR="00542E89" w:rsidRPr="004B54E5">
              <w:rPr>
                <w:rFonts w:ascii="Times New Roman" w:eastAsia="Times New Roman" w:hAnsi="Times New Roman" w:cs="Times New Roman"/>
                <w:sz w:val="24"/>
                <w:szCs w:val="24"/>
                <w:lang w:eastAsia="lv-LV"/>
              </w:rPr>
              <w:t>.</w:t>
            </w:r>
          </w:p>
        </w:tc>
      </w:tr>
      <w:tr w:rsidR="00542E89" w:rsidRPr="004B54E5" w14:paraId="4FE0FDA4" w14:textId="77777777" w:rsidTr="00E253DA">
        <w:trPr>
          <w:trHeight w:val="567"/>
        </w:trPr>
        <w:tc>
          <w:tcPr>
            <w:tcW w:w="1796" w:type="pct"/>
            <w:shd w:val="clear" w:color="auto" w:fill="auto"/>
            <w:hideMark/>
          </w:tcPr>
          <w:p w14:paraId="4598A113" w14:textId="77777777" w:rsidR="00542E89" w:rsidRPr="004B54E5" w:rsidRDefault="00542E89" w:rsidP="00542E89">
            <w:pPr>
              <w:spacing w:after="0" w:line="240" w:lineRule="auto"/>
              <w:rPr>
                <w:rFonts w:ascii="Times New Roman" w:eastAsia="Times New Roman" w:hAnsi="Times New Roman" w:cs="Times New Roman"/>
                <w:b/>
                <w:bCs/>
                <w:sz w:val="24"/>
                <w:szCs w:val="24"/>
                <w:lang w:eastAsia="lv-LV"/>
              </w:rPr>
            </w:pPr>
            <w:r w:rsidRPr="004B54E5">
              <w:rPr>
                <w:rFonts w:ascii="Times New Roman" w:eastAsia="Times New Roman" w:hAnsi="Times New Roman" w:cs="Times New Roman"/>
                <w:b/>
                <w:bCs/>
                <w:sz w:val="24"/>
                <w:szCs w:val="24"/>
                <w:lang w:eastAsia="lv-LV"/>
              </w:rPr>
              <w:t>Saskaņošana ar Eiropas Centrālo banku</w:t>
            </w:r>
          </w:p>
          <w:p w14:paraId="0B682302" w14:textId="77777777" w:rsidR="00542E89" w:rsidRPr="004B54E5" w:rsidRDefault="00542E89" w:rsidP="00542E89">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513B3AF" w14:textId="09EFD34F" w:rsidR="00542E89" w:rsidRPr="004B54E5" w:rsidRDefault="00542E89" w:rsidP="00541C9A">
            <w:pPr>
              <w:spacing w:after="0" w:line="240" w:lineRule="auto"/>
              <w:jc w:val="both"/>
              <w:rPr>
                <w:rFonts w:ascii="Times New Roman" w:eastAsia="Times New Roman" w:hAnsi="Times New Roman" w:cs="Times New Roman"/>
                <w:sz w:val="24"/>
                <w:szCs w:val="24"/>
                <w:lang w:eastAsia="lv-LV"/>
              </w:rPr>
            </w:pPr>
            <w:r w:rsidRPr="004B54E5">
              <w:rPr>
                <w:rFonts w:ascii="Times New Roman" w:eastAsia="Times New Roman" w:hAnsi="Times New Roman" w:cs="Times New Roman"/>
                <w:sz w:val="24"/>
                <w:szCs w:val="24"/>
                <w:lang w:eastAsia="lv-LV"/>
              </w:rPr>
              <w:t>Nav</w:t>
            </w:r>
            <w:r w:rsidR="00AD6DE6">
              <w:rPr>
                <w:rFonts w:ascii="Times New Roman" w:eastAsia="Times New Roman" w:hAnsi="Times New Roman" w:cs="Times New Roman"/>
                <w:sz w:val="24"/>
                <w:szCs w:val="24"/>
                <w:lang w:eastAsia="lv-LV"/>
              </w:rPr>
              <w:t xml:space="preserve"> nepieciešama saskaņošana ar Eiropas Centrālo banku</w:t>
            </w:r>
            <w:r w:rsidR="00E646B0">
              <w:rPr>
                <w:rFonts w:ascii="Times New Roman" w:eastAsia="Times New Roman" w:hAnsi="Times New Roman" w:cs="Times New Roman"/>
                <w:sz w:val="24"/>
                <w:szCs w:val="24"/>
                <w:lang w:eastAsia="lv-LV"/>
              </w:rPr>
              <w:t>.</w:t>
            </w:r>
          </w:p>
        </w:tc>
      </w:tr>
      <w:tr w:rsidR="00542E89" w:rsidRPr="004B54E5" w14:paraId="69B8778A" w14:textId="77777777" w:rsidTr="00E253DA">
        <w:trPr>
          <w:trHeight w:val="567"/>
        </w:trPr>
        <w:tc>
          <w:tcPr>
            <w:tcW w:w="1796" w:type="pct"/>
            <w:shd w:val="clear" w:color="auto" w:fill="auto"/>
            <w:hideMark/>
          </w:tcPr>
          <w:p w14:paraId="056F57D8" w14:textId="77777777" w:rsidR="00542E89" w:rsidRPr="004B54E5" w:rsidRDefault="00542E89" w:rsidP="00542E89">
            <w:pPr>
              <w:spacing w:after="0" w:line="240" w:lineRule="auto"/>
              <w:rPr>
                <w:rFonts w:ascii="Times New Roman" w:eastAsia="Times New Roman" w:hAnsi="Times New Roman" w:cs="Times New Roman"/>
                <w:b/>
                <w:bCs/>
                <w:sz w:val="24"/>
                <w:szCs w:val="24"/>
                <w:lang w:eastAsia="lv-LV"/>
              </w:rPr>
            </w:pPr>
            <w:r w:rsidRPr="004B54E5">
              <w:rPr>
                <w:rFonts w:ascii="Times New Roman" w:eastAsia="Times New Roman" w:hAnsi="Times New Roman" w:cs="Times New Roman"/>
                <w:b/>
                <w:bCs/>
                <w:sz w:val="24"/>
                <w:szCs w:val="24"/>
                <w:lang w:eastAsia="lv-LV"/>
              </w:rPr>
              <w:t>Saskaņošana ar citām publiskām un privātām personām</w:t>
            </w:r>
          </w:p>
          <w:p w14:paraId="1B89B617" w14:textId="77777777" w:rsidR="00542E89" w:rsidRPr="004B54E5" w:rsidRDefault="00542E89" w:rsidP="00542E89">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AF038AB" w14:textId="1AE03612" w:rsidR="00542E89" w:rsidRPr="004B54E5" w:rsidRDefault="00542E89" w:rsidP="00542E89">
            <w:pPr>
              <w:spacing w:after="0" w:line="240" w:lineRule="auto"/>
              <w:jc w:val="both"/>
              <w:rPr>
                <w:rFonts w:ascii="Times New Roman" w:eastAsia="Times New Roman" w:hAnsi="Times New Roman" w:cs="Times New Roman"/>
                <w:sz w:val="24"/>
                <w:szCs w:val="24"/>
                <w:lang w:eastAsia="lv-LV"/>
              </w:rPr>
            </w:pPr>
            <w:r w:rsidRPr="004B54E5">
              <w:rPr>
                <w:rFonts w:ascii="Times New Roman" w:eastAsia="Times New Roman" w:hAnsi="Times New Roman" w:cs="Times New Roman"/>
                <w:sz w:val="24"/>
                <w:szCs w:val="24"/>
                <w:lang w:eastAsia="lv-LV"/>
              </w:rPr>
              <w:t>Noteikumu projekts tiks publicēts Latvijas Bankas tīmekļvietnes www.bank.lv sadaļā "Sabiedrības līdzdalība", un par to būs iespējama sabiedrības līdzdalība.</w:t>
            </w:r>
          </w:p>
          <w:p w14:paraId="0D1B41D0" w14:textId="6625322E" w:rsidR="00542E89" w:rsidRPr="004B54E5" w:rsidRDefault="00542E89" w:rsidP="00542E89">
            <w:pPr>
              <w:spacing w:after="0" w:line="240" w:lineRule="auto"/>
              <w:jc w:val="both"/>
              <w:rPr>
                <w:rFonts w:ascii="Times New Roman" w:eastAsia="Times New Roman" w:hAnsi="Times New Roman" w:cs="Times New Roman"/>
                <w:sz w:val="24"/>
                <w:szCs w:val="24"/>
                <w:lang w:eastAsia="lv-LV"/>
              </w:rPr>
            </w:pPr>
          </w:p>
        </w:tc>
      </w:tr>
      <w:tr w:rsidR="00542E89" w:rsidRPr="00346F72" w14:paraId="12671EBA" w14:textId="77777777" w:rsidTr="00E253DA">
        <w:trPr>
          <w:trHeight w:val="567"/>
        </w:trPr>
        <w:tc>
          <w:tcPr>
            <w:tcW w:w="1796" w:type="pct"/>
            <w:shd w:val="clear" w:color="auto" w:fill="auto"/>
            <w:hideMark/>
          </w:tcPr>
          <w:p w14:paraId="64CEE510" w14:textId="77777777" w:rsidR="00542E89" w:rsidRPr="004B54E5" w:rsidRDefault="00542E89" w:rsidP="00542E89">
            <w:pPr>
              <w:spacing w:after="0" w:line="240" w:lineRule="auto"/>
              <w:rPr>
                <w:rFonts w:ascii="Times New Roman" w:eastAsia="Times New Roman" w:hAnsi="Times New Roman" w:cs="Times New Roman"/>
                <w:b/>
                <w:bCs/>
                <w:sz w:val="24"/>
                <w:szCs w:val="24"/>
                <w:lang w:eastAsia="lv-LV"/>
              </w:rPr>
            </w:pPr>
            <w:r w:rsidRPr="004B54E5">
              <w:rPr>
                <w:rFonts w:ascii="Times New Roman" w:eastAsia="Times New Roman" w:hAnsi="Times New Roman" w:cs="Times New Roman"/>
                <w:b/>
                <w:bCs/>
                <w:sz w:val="24"/>
                <w:szCs w:val="24"/>
                <w:lang w:eastAsia="lv-LV"/>
              </w:rPr>
              <w:t>Saskaņošanas rezultāti</w:t>
            </w:r>
          </w:p>
          <w:p w14:paraId="70368148" w14:textId="77777777" w:rsidR="00542E89" w:rsidRPr="004B54E5" w:rsidRDefault="00542E89" w:rsidP="00542E89">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60AABA0" w14:textId="444ED081" w:rsidR="00542E89" w:rsidRPr="004B54E5" w:rsidRDefault="000A13F5" w:rsidP="00542E89">
            <w:pPr>
              <w:spacing w:after="0" w:line="240" w:lineRule="auto"/>
              <w:rPr>
                <w:rFonts w:ascii="Times New Roman" w:eastAsia="Times New Roman" w:hAnsi="Times New Roman" w:cs="Times New Roman"/>
                <w:sz w:val="24"/>
                <w:szCs w:val="24"/>
                <w:lang w:eastAsia="lv-LV"/>
              </w:rPr>
            </w:pPr>
            <w:r w:rsidRPr="000A13F5">
              <w:rPr>
                <w:rFonts w:ascii="Times New Roman" w:eastAsia="Times New Roman" w:hAnsi="Times New Roman" w:cs="Times New Roman"/>
                <w:sz w:val="24"/>
                <w:szCs w:val="24"/>
                <w:lang w:eastAsia="lv-LV"/>
              </w:rPr>
              <w:t>Sabiedrības līdzdalības rezultātā par noteikumu projektu netika saņemti ieteikumi, iebildumi vai priekšlikumi. Līdz ar to noteikumu projekts ir saskaņots bez priekšlikumiem vai iebildumiem</w:t>
            </w:r>
            <w:r w:rsidR="00542E89" w:rsidRPr="004B54E5">
              <w:rPr>
                <w:rFonts w:ascii="Times New Roman" w:eastAsia="Times New Roman" w:hAnsi="Times New Roman" w:cs="Times New Roman"/>
                <w:sz w:val="24"/>
                <w:szCs w:val="24"/>
                <w:lang w:eastAsia="lv-LV"/>
              </w:rPr>
              <w:t>.</w:t>
            </w:r>
          </w:p>
        </w:tc>
      </w:tr>
    </w:tbl>
    <w:p w14:paraId="191273F4" w14:textId="77777777" w:rsidR="009B27BE" w:rsidRPr="00346F72" w:rsidRDefault="009B27BE" w:rsidP="0049248A">
      <w:pPr>
        <w:spacing w:after="0" w:line="240" w:lineRule="auto"/>
        <w:rPr>
          <w:rFonts w:ascii="Times New Roman" w:hAnsi="Times New Roman" w:cs="Times New Roman"/>
          <w:sz w:val="24"/>
          <w:szCs w:val="24"/>
        </w:rPr>
      </w:pPr>
    </w:p>
    <w:p w14:paraId="1A76D25C" w14:textId="77777777" w:rsidR="005D0EB1" w:rsidRDefault="005D0EB1" w:rsidP="00C0415B">
      <w:pPr>
        <w:spacing w:after="0" w:line="240" w:lineRule="auto"/>
        <w:jc w:val="center"/>
        <w:rPr>
          <w:sz w:val="23"/>
          <w:szCs w:val="23"/>
        </w:rPr>
        <w:sectPr w:rsidR="005D0EB1" w:rsidSect="005D0EB1">
          <w:headerReference w:type="default" r:id="rId11"/>
          <w:pgSz w:w="11906" w:h="16838" w:code="9"/>
          <w:pgMar w:top="1134" w:right="1134" w:bottom="1134" w:left="1701" w:header="709" w:footer="709" w:gutter="0"/>
          <w:cols w:space="708"/>
          <w:titlePg/>
          <w:docGrid w:linePitch="360"/>
        </w:sectPr>
      </w:pPr>
    </w:p>
    <w:p w14:paraId="32CB9DE6" w14:textId="14B8871F" w:rsidR="005D0EB1" w:rsidRPr="00541C9A" w:rsidRDefault="005D0EB1" w:rsidP="00541C9A">
      <w:pPr>
        <w:spacing w:after="0" w:line="240" w:lineRule="auto"/>
        <w:jc w:val="right"/>
        <w:rPr>
          <w:rFonts w:ascii="Times New Roman" w:hAnsi="Times New Roman" w:cs="Times New Roman"/>
          <w:color w:val="000000" w:themeColor="text1"/>
          <w:sz w:val="24"/>
          <w:szCs w:val="24"/>
        </w:rPr>
      </w:pPr>
      <w:r w:rsidRPr="00541C9A">
        <w:rPr>
          <w:rFonts w:ascii="Times New Roman" w:hAnsi="Times New Roman" w:cs="Times New Roman"/>
          <w:color w:val="000000" w:themeColor="text1"/>
          <w:sz w:val="24"/>
          <w:szCs w:val="24"/>
        </w:rPr>
        <w:lastRenderedPageBreak/>
        <w:t>Pielikums</w:t>
      </w:r>
    </w:p>
    <w:p w14:paraId="48755E37" w14:textId="77777777" w:rsidR="005D0EB1" w:rsidRPr="00541C9A" w:rsidRDefault="005D0EB1" w:rsidP="005D0EB1">
      <w:pPr>
        <w:jc w:val="right"/>
        <w:rPr>
          <w:rFonts w:ascii="Times New Roman" w:hAnsi="Times New Roman" w:cs="Times New Roman"/>
          <w:color w:val="000000" w:themeColor="text1"/>
          <w:sz w:val="24"/>
          <w:szCs w:val="24"/>
        </w:rPr>
      </w:pPr>
      <w:r w:rsidRPr="00541C9A">
        <w:rPr>
          <w:rFonts w:ascii="Times New Roman" w:hAnsi="Times New Roman" w:cs="Times New Roman"/>
          <w:color w:val="000000" w:themeColor="text1"/>
          <w:sz w:val="24"/>
          <w:szCs w:val="24"/>
        </w:rPr>
        <w:t>Latvijas Bankas noteikumu projekta anotācijai</w:t>
      </w:r>
    </w:p>
    <w:p w14:paraId="5489E1EA" w14:textId="77777777" w:rsidR="005D0EB1" w:rsidRPr="00541C9A" w:rsidRDefault="005D0EB1" w:rsidP="00541C9A">
      <w:pPr>
        <w:spacing w:after="0"/>
        <w:jc w:val="center"/>
        <w:rPr>
          <w:rFonts w:ascii="Times New Roman" w:hAnsi="Times New Roman" w:cs="Times New Roman"/>
          <w:b/>
          <w:color w:val="000000" w:themeColor="text1"/>
          <w:sz w:val="24"/>
          <w:szCs w:val="24"/>
        </w:rPr>
      </w:pPr>
      <w:r w:rsidRPr="00541C9A">
        <w:rPr>
          <w:rFonts w:ascii="Times New Roman" w:hAnsi="Times New Roman" w:cs="Times New Roman"/>
          <w:b/>
          <w:color w:val="000000" w:themeColor="text1"/>
          <w:sz w:val="24"/>
          <w:szCs w:val="24"/>
        </w:rPr>
        <w:t>Eiropas Savienības tiesību aktu pārņemšanas/ieviešanas tabula</w:t>
      </w:r>
    </w:p>
    <w:p w14:paraId="226824BD" w14:textId="77777777" w:rsidR="005D0EB1" w:rsidRPr="00541C9A" w:rsidRDefault="005D0EB1" w:rsidP="00AA4032">
      <w:pPr>
        <w:spacing w:after="0"/>
        <w:rPr>
          <w:rFonts w:ascii="Times New Roman" w:hAnsi="Times New Roman" w:cs="Times New Roman"/>
          <w:b/>
          <w:color w:val="000000" w:themeColor="text1"/>
          <w:sz w:val="24"/>
          <w:szCs w:val="24"/>
        </w:rPr>
      </w:pPr>
    </w:p>
    <w:p w14:paraId="105633FD" w14:textId="5AFFAFD6" w:rsidR="005D0EB1" w:rsidRPr="00541C9A" w:rsidRDefault="005D0EB1" w:rsidP="00541C9A">
      <w:pPr>
        <w:jc w:val="both"/>
        <w:rPr>
          <w:rFonts w:ascii="Times New Roman" w:hAnsi="Times New Roman" w:cs="Times New Roman"/>
          <w:b/>
          <w:color w:val="000000" w:themeColor="text1"/>
          <w:sz w:val="24"/>
          <w:szCs w:val="24"/>
        </w:rPr>
      </w:pPr>
      <w:r w:rsidRPr="00541C9A">
        <w:rPr>
          <w:rFonts w:ascii="Times New Roman" w:hAnsi="Times New Roman" w:cs="Times New Roman"/>
          <w:b/>
          <w:color w:val="000000" w:themeColor="text1"/>
          <w:sz w:val="24"/>
          <w:szCs w:val="24"/>
        </w:rPr>
        <w:t>Latvijas Bankas noteikumu projekta nosaukums:</w:t>
      </w:r>
      <w:r w:rsidRPr="00541C9A">
        <w:rPr>
          <w:rFonts w:ascii="Times New Roman" w:hAnsi="Times New Roman" w:cs="Times New Roman"/>
          <w:bCs/>
          <w:color w:val="000000" w:themeColor="text1"/>
          <w:sz w:val="24"/>
          <w:szCs w:val="24"/>
        </w:rPr>
        <w:t xml:space="preserve"> "Noteikumi par Finanšu instrumentu tirgus likuma 60</w:t>
      </w:r>
      <w:r w:rsidR="00193480" w:rsidRPr="00541C9A">
        <w:rPr>
          <w:rFonts w:ascii="Times New Roman" w:hAnsi="Times New Roman" w:cs="Times New Roman"/>
          <w:bCs/>
          <w:color w:val="000000" w:themeColor="text1"/>
          <w:sz w:val="24"/>
          <w:szCs w:val="24"/>
        </w:rPr>
        <w:t>. </w:t>
      </w:r>
      <w:r w:rsidRPr="00541C9A">
        <w:rPr>
          <w:rFonts w:ascii="Times New Roman" w:hAnsi="Times New Roman" w:cs="Times New Roman"/>
          <w:bCs/>
          <w:color w:val="000000" w:themeColor="text1"/>
          <w:sz w:val="24"/>
          <w:szCs w:val="24"/>
        </w:rPr>
        <w:t>panta pirmās daļas 3</w:t>
      </w:r>
      <w:r w:rsidR="00193480" w:rsidRPr="00541C9A">
        <w:rPr>
          <w:rFonts w:ascii="Times New Roman" w:hAnsi="Times New Roman" w:cs="Times New Roman"/>
          <w:bCs/>
          <w:color w:val="000000" w:themeColor="text1"/>
          <w:sz w:val="24"/>
          <w:szCs w:val="24"/>
        </w:rPr>
        <w:t>. </w:t>
      </w:r>
      <w:r w:rsidRPr="00541C9A">
        <w:rPr>
          <w:rFonts w:ascii="Times New Roman" w:hAnsi="Times New Roman" w:cs="Times New Roman"/>
          <w:bCs/>
          <w:color w:val="000000" w:themeColor="text1"/>
          <w:sz w:val="24"/>
          <w:szCs w:val="24"/>
        </w:rPr>
        <w:t>punktā minēto finanšu instrumentu sarakstu" (turpmāk – projekts)</w:t>
      </w:r>
    </w:p>
    <w:p w14:paraId="66F469BF" w14:textId="32FA0844" w:rsidR="005D0EB1" w:rsidRPr="00541C9A" w:rsidRDefault="005D0EB1" w:rsidP="00541C9A">
      <w:pPr>
        <w:jc w:val="both"/>
        <w:rPr>
          <w:rFonts w:ascii="Times New Roman" w:hAnsi="Times New Roman" w:cs="Times New Roman"/>
          <w:bCs/>
          <w:color w:val="000000" w:themeColor="text1"/>
          <w:sz w:val="24"/>
          <w:szCs w:val="24"/>
        </w:rPr>
      </w:pPr>
      <w:r w:rsidRPr="00541C9A">
        <w:rPr>
          <w:rFonts w:ascii="Times New Roman" w:hAnsi="Times New Roman" w:cs="Times New Roman"/>
          <w:b/>
          <w:color w:val="000000" w:themeColor="text1"/>
          <w:sz w:val="24"/>
          <w:szCs w:val="24"/>
        </w:rPr>
        <w:t>Eiropas Savienības tiesību akta nosaukums:</w:t>
      </w:r>
      <w:r w:rsidRPr="00541C9A">
        <w:rPr>
          <w:rFonts w:ascii="Times New Roman" w:hAnsi="Times New Roman" w:cs="Times New Roman"/>
          <w:bCs/>
          <w:color w:val="000000" w:themeColor="text1"/>
          <w:sz w:val="24"/>
          <w:szCs w:val="24"/>
        </w:rPr>
        <w:t xml:space="preserve"> </w:t>
      </w:r>
      <w:r w:rsidR="00404763" w:rsidRPr="00541C9A">
        <w:rPr>
          <w:rFonts w:ascii="Times New Roman" w:hAnsi="Times New Roman" w:cs="Times New Roman"/>
          <w:bCs/>
          <w:color w:val="000000" w:themeColor="text1"/>
          <w:sz w:val="24"/>
          <w:szCs w:val="24"/>
        </w:rPr>
        <w:t>Eiropas Parlamenta un Padomes 2013.</w:t>
      </w:r>
      <w:r w:rsidR="00193480" w:rsidRPr="00541C9A">
        <w:rPr>
          <w:rFonts w:ascii="Times New Roman" w:hAnsi="Times New Roman" w:cs="Times New Roman"/>
          <w:bCs/>
          <w:color w:val="000000" w:themeColor="text1"/>
          <w:sz w:val="24"/>
          <w:szCs w:val="24"/>
        </w:rPr>
        <w:t> </w:t>
      </w:r>
      <w:r w:rsidR="00404763" w:rsidRPr="00541C9A">
        <w:rPr>
          <w:rFonts w:ascii="Times New Roman" w:hAnsi="Times New Roman" w:cs="Times New Roman"/>
          <w:bCs/>
          <w:color w:val="000000" w:themeColor="text1"/>
          <w:sz w:val="24"/>
          <w:szCs w:val="24"/>
        </w:rPr>
        <w:t>gada 22.</w:t>
      </w:r>
      <w:r w:rsidR="00193480" w:rsidRPr="00541C9A">
        <w:rPr>
          <w:rFonts w:ascii="Times New Roman" w:hAnsi="Times New Roman" w:cs="Times New Roman"/>
          <w:bCs/>
          <w:color w:val="000000" w:themeColor="text1"/>
          <w:sz w:val="24"/>
          <w:szCs w:val="24"/>
        </w:rPr>
        <w:t> </w:t>
      </w:r>
      <w:r w:rsidR="00404763" w:rsidRPr="00541C9A">
        <w:rPr>
          <w:rFonts w:ascii="Times New Roman" w:hAnsi="Times New Roman" w:cs="Times New Roman"/>
          <w:bCs/>
          <w:color w:val="000000" w:themeColor="text1"/>
          <w:sz w:val="24"/>
          <w:szCs w:val="24"/>
        </w:rPr>
        <w:t xml:space="preserve">oktobra direktīva 2013/50/ES, ar kuru groza Eiropas Parlamenta un Padomes </w:t>
      </w:r>
      <w:r w:rsidR="0058131A">
        <w:rPr>
          <w:rFonts w:ascii="Times New Roman" w:hAnsi="Times New Roman" w:cs="Times New Roman"/>
          <w:bCs/>
          <w:color w:val="000000" w:themeColor="text1"/>
          <w:sz w:val="24"/>
          <w:szCs w:val="24"/>
        </w:rPr>
        <w:t>d</w:t>
      </w:r>
      <w:r w:rsidR="00404763" w:rsidRPr="00541C9A">
        <w:rPr>
          <w:rFonts w:ascii="Times New Roman" w:hAnsi="Times New Roman" w:cs="Times New Roman"/>
          <w:bCs/>
          <w:color w:val="000000" w:themeColor="text1"/>
          <w:sz w:val="24"/>
          <w:szCs w:val="24"/>
        </w:rPr>
        <w:t>irektīvu</w:t>
      </w:r>
      <w:r w:rsidR="0058131A">
        <w:rPr>
          <w:rFonts w:ascii="Times New Roman" w:hAnsi="Times New Roman" w:cs="Times New Roman"/>
          <w:bCs/>
          <w:color w:val="000000" w:themeColor="text1"/>
          <w:sz w:val="24"/>
          <w:szCs w:val="24"/>
        </w:rPr>
        <w:t> </w:t>
      </w:r>
      <w:r w:rsidR="00404763" w:rsidRPr="00541C9A">
        <w:rPr>
          <w:rFonts w:ascii="Times New Roman" w:hAnsi="Times New Roman" w:cs="Times New Roman"/>
          <w:bCs/>
          <w:color w:val="000000" w:themeColor="text1"/>
          <w:sz w:val="24"/>
          <w:szCs w:val="24"/>
        </w:rPr>
        <w:t xml:space="preserve">2004/109/EK par atklātības prasību saskaņošanu attiecībā uz informāciju par emitentiem, kuru vērtspapīrus atļauts tirgot regulētā tirgū, Eiropas Parlamenta un Padomes </w:t>
      </w:r>
      <w:r w:rsidR="0058131A">
        <w:rPr>
          <w:rFonts w:ascii="Times New Roman" w:hAnsi="Times New Roman" w:cs="Times New Roman"/>
          <w:bCs/>
          <w:color w:val="000000" w:themeColor="text1"/>
          <w:sz w:val="24"/>
          <w:szCs w:val="24"/>
        </w:rPr>
        <w:t>d</w:t>
      </w:r>
      <w:r w:rsidR="00404763" w:rsidRPr="00541C9A">
        <w:rPr>
          <w:rFonts w:ascii="Times New Roman" w:hAnsi="Times New Roman" w:cs="Times New Roman"/>
          <w:bCs/>
          <w:color w:val="000000" w:themeColor="text1"/>
          <w:sz w:val="24"/>
          <w:szCs w:val="24"/>
        </w:rPr>
        <w:t>irektīvu</w:t>
      </w:r>
      <w:r w:rsidR="0058131A">
        <w:rPr>
          <w:rFonts w:ascii="Times New Roman" w:hAnsi="Times New Roman" w:cs="Times New Roman"/>
          <w:bCs/>
          <w:color w:val="000000" w:themeColor="text1"/>
          <w:sz w:val="24"/>
          <w:szCs w:val="24"/>
        </w:rPr>
        <w:t> </w:t>
      </w:r>
      <w:r w:rsidR="00404763" w:rsidRPr="00541C9A">
        <w:rPr>
          <w:rFonts w:ascii="Times New Roman" w:hAnsi="Times New Roman" w:cs="Times New Roman"/>
          <w:bCs/>
          <w:color w:val="000000" w:themeColor="text1"/>
          <w:sz w:val="24"/>
          <w:szCs w:val="24"/>
        </w:rPr>
        <w:t xml:space="preserve">2003/71/EK par prospektu, kurš jāpublicē, publiski piedāvājot vērtspapīrus vai atļaujot to tirdzniecību, un Komisijas </w:t>
      </w:r>
      <w:r w:rsidR="0058131A">
        <w:rPr>
          <w:rFonts w:ascii="Times New Roman" w:hAnsi="Times New Roman" w:cs="Times New Roman"/>
          <w:bCs/>
          <w:color w:val="000000" w:themeColor="text1"/>
          <w:sz w:val="24"/>
          <w:szCs w:val="24"/>
        </w:rPr>
        <w:t>d</w:t>
      </w:r>
      <w:r w:rsidR="00404763" w:rsidRPr="00541C9A">
        <w:rPr>
          <w:rFonts w:ascii="Times New Roman" w:hAnsi="Times New Roman" w:cs="Times New Roman"/>
          <w:bCs/>
          <w:color w:val="000000" w:themeColor="text1"/>
          <w:sz w:val="24"/>
          <w:szCs w:val="24"/>
        </w:rPr>
        <w:t>irektīvu</w:t>
      </w:r>
      <w:r w:rsidR="0058131A">
        <w:rPr>
          <w:rFonts w:ascii="Times New Roman" w:hAnsi="Times New Roman" w:cs="Times New Roman"/>
          <w:bCs/>
          <w:color w:val="000000" w:themeColor="text1"/>
          <w:sz w:val="24"/>
          <w:szCs w:val="24"/>
        </w:rPr>
        <w:t> </w:t>
      </w:r>
      <w:r w:rsidR="00404763" w:rsidRPr="00541C9A">
        <w:rPr>
          <w:rFonts w:ascii="Times New Roman" w:hAnsi="Times New Roman" w:cs="Times New Roman"/>
          <w:bCs/>
          <w:color w:val="000000" w:themeColor="text1"/>
          <w:sz w:val="24"/>
          <w:szCs w:val="24"/>
        </w:rPr>
        <w:t xml:space="preserve">2007/14/EK, ar ko nosaka sīki izstrādātus noteikumus </w:t>
      </w:r>
      <w:r w:rsidR="0058131A">
        <w:rPr>
          <w:rFonts w:ascii="Times New Roman" w:hAnsi="Times New Roman" w:cs="Times New Roman"/>
          <w:bCs/>
          <w:color w:val="000000" w:themeColor="text1"/>
          <w:sz w:val="24"/>
          <w:szCs w:val="24"/>
        </w:rPr>
        <w:t>d</w:t>
      </w:r>
      <w:r w:rsidR="00404763" w:rsidRPr="00541C9A">
        <w:rPr>
          <w:rFonts w:ascii="Times New Roman" w:hAnsi="Times New Roman" w:cs="Times New Roman"/>
          <w:bCs/>
          <w:color w:val="000000" w:themeColor="text1"/>
          <w:sz w:val="24"/>
          <w:szCs w:val="24"/>
        </w:rPr>
        <w:t>irektīvas</w:t>
      </w:r>
      <w:r w:rsidR="0058131A">
        <w:rPr>
          <w:rFonts w:ascii="Times New Roman" w:hAnsi="Times New Roman" w:cs="Times New Roman"/>
          <w:bCs/>
          <w:color w:val="000000" w:themeColor="text1"/>
          <w:sz w:val="24"/>
          <w:szCs w:val="24"/>
        </w:rPr>
        <w:t> </w:t>
      </w:r>
      <w:r w:rsidR="00404763" w:rsidRPr="00541C9A">
        <w:rPr>
          <w:rFonts w:ascii="Times New Roman" w:hAnsi="Times New Roman" w:cs="Times New Roman"/>
          <w:bCs/>
          <w:color w:val="000000" w:themeColor="text1"/>
          <w:sz w:val="24"/>
          <w:szCs w:val="24"/>
        </w:rPr>
        <w:t>2004/109/EK atsevišķu noteikumu īstenošanai</w:t>
      </w:r>
    </w:p>
    <w:tbl>
      <w:tblPr>
        <w:tblStyle w:val="TableGrid"/>
        <w:tblW w:w="14628" w:type="dxa"/>
        <w:tblLook w:val="04A0" w:firstRow="1" w:lastRow="0" w:firstColumn="1" w:lastColumn="0" w:noHBand="0" w:noVBand="1"/>
      </w:tblPr>
      <w:tblGrid>
        <w:gridCol w:w="2438"/>
        <w:gridCol w:w="2438"/>
        <w:gridCol w:w="2438"/>
        <w:gridCol w:w="2438"/>
        <w:gridCol w:w="2438"/>
        <w:gridCol w:w="2438"/>
      </w:tblGrid>
      <w:tr w:rsidR="005D0EB1" w:rsidRPr="0058131A" w14:paraId="41FED056" w14:textId="77777777" w:rsidTr="006C2E36">
        <w:tc>
          <w:tcPr>
            <w:tcW w:w="2438" w:type="dxa"/>
          </w:tcPr>
          <w:p w14:paraId="27C5F894" w14:textId="77777777" w:rsidR="005D0EB1" w:rsidRPr="00541C9A" w:rsidRDefault="005D0EB1" w:rsidP="006C2E36">
            <w:pPr>
              <w:rPr>
                <w:rFonts w:ascii="Times New Roman" w:hAnsi="Times New Roman" w:cs="Times New Roman"/>
                <w:color w:val="000000" w:themeColor="text1"/>
                <w:sz w:val="24"/>
                <w:szCs w:val="24"/>
              </w:rPr>
            </w:pPr>
            <w:r w:rsidRPr="00541C9A">
              <w:rPr>
                <w:rFonts w:ascii="Times New Roman" w:hAnsi="Times New Roman" w:cs="Times New Roman"/>
                <w:b/>
                <w:bCs/>
                <w:color w:val="000000" w:themeColor="text1"/>
                <w:sz w:val="24"/>
                <w:szCs w:val="24"/>
              </w:rPr>
              <w:t xml:space="preserve">Eiropas Savienības tiesību akta pants, punkts vai apakšpunkts, kurā paredzētās prasības Latvijā jāizpilda </w:t>
            </w:r>
            <w:r w:rsidRPr="00541C9A">
              <w:rPr>
                <w:rFonts w:ascii="Times New Roman" w:hAnsi="Times New Roman" w:cs="Times New Roman"/>
                <w:i/>
                <w:iCs/>
                <w:color w:val="000000" w:themeColor="text1"/>
                <w:sz w:val="24"/>
                <w:szCs w:val="24"/>
              </w:rPr>
              <w:t>(Norāda pēc iespējas konkrētāku teksta vienību)</w:t>
            </w:r>
          </w:p>
        </w:tc>
        <w:tc>
          <w:tcPr>
            <w:tcW w:w="2438" w:type="dxa"/>
          </w:tcPr>
          <w:p w14:paraId="70DE0620" w14:textId="77777777" w:rsidR="005D0EB1" w:rsidRPr="00541C9A" w:rsidRDefault="005D0EB1" w:rsidP="006C2E36">
            <w:pPr>
              <w:rPr>
                <w:rFonts w:ascii="Times New Roman" w:hAnsi="Times New Roman" w:cs="Times New Roman"/>
                <w:b/>
                <w:bCs/>
                <w:color w:val="000000" w:themeColor="text1"/>
                <w:sz w:val="24"/>
                <w:szCs w:val="24"/>
              </w:rPr>
            </w:pPr>
            <w:r w:rsidRPr="00541C9A">
              <w:rPr>
                <w:rFonts w:ascii="Times New Roman" w:hAnsi="Times New Roman" w:cs="Times New Roman"/>
                <w:b/>
                <w:bCs/>
                <w:color w:val="000000" w:themeColor="text1"/>
                <w:sz w:val="24"/>
                <w:szCs w:val="24"/>
              </w:rPr>
              <w:t xml:space="preserve">Projekta punkts vai apakšpunkts, kas izpilda A ailē minēto prasību </w:t>
            </w:r>
          </w:p>
          <w:p w14:paraId="109DFAF4" w14:textId="77777777" w:rsidR="005D0EB1" w:rsidRPr="00541C9A" w:rsidRDefault="005D0EB1" w:rsidP="006C2E36">
            <w:pPr>
              <w:rPr>
                <w:rFonts w:ascii="Times New Roman" w:hAnsi="Times New Roman" w:cs="Times New Roman"/>
                <w:b/>
                <w:bCs/>
                <w:color w:val="000000" w:themeColor="text1"/>
                <w:sz w:val="24"/>
                <w:szCs w:val="24"/>
              </w:rPr>
            </w:pPr>
            <w:r w:rsidRPr="00541C9A">
              <w:rPr>
                <w:rFonts w:ascii="Times New Roman" w:hAnsi="Times New Roman" w:cs="Times New Roman"/>
                <w:i/>
                <w:iCs/>
                <w:color w:val="000000" w:themeColor="text1"/>
                <w:sz w:val="24"/>
                <w:szCs w:val="24"/>
              </w:rPr>
              <w:t>(Norāda pēc iespējas konkrētāku teksta vienību)</w:t>
            </w:r>
          </w:p>
        </w:tc>
        <w:tc>
          <w:tcPr>
            <w:tcW w:w="2438" w:type="dxa"/>
          </w:tcPr>
          <w:p w14:paraId="17B129E6" w14:textId="77777777" w:rsidR="005D0EB1" w:rsidRPr="00541C9A" w:rsidRDefault="005D0EB1" w:rsidP="006C2E36">
            <w:pPr>
              <w:rPr>
                <w:rFonts w:ascii="Times New Roman" w:hAnsi="Times New Roman" w:cs="Times New Roman"/>
                <w:b/>
                <w:bCs/>
                <w:color w:val="000000" w:themeColor="text1"/>
                <w:sz w:val="24"/>
                <w:szCs w:val="24"/>
              </w:rPr>
            </w:pPr>
            <w:r w:rsidRPr="00541C9A">
              <w:rPr>
                <w:rFonts w:ascii="Times New Roman" w:hAnsi="Times New Roman" w:cs="Times New Roman"/>
                <w:b/>
                <w:bCs/>
                <w:color w:val="000000" w:themeColor="text1"/>
                <w:sz w:val="24"/>
                <w:szCs w:val="24"/>
              </w:rPr>
              <w:t xml:space="preserve">Vai A ailē minētā prasība ar B ailē minēto projekta punktu vai apakšpunktu tiek izpildīta pilnībā vai daļēji? </w:t>
            </w:r>
          </w:p>
          <w:p w14:paraId="02A12C6F" w14:textId="77777777" w:rsidR="005D0EB1" w:rsidRPr="00541C9A" w:rsidRDefault="005D0EB1" w:rsidP="006C2E36">
            <w:pPr>
              <w:rPr>
                <w:rFonts w:ascii="Times New Roman" w:hAnsi="Times New Roman" w:cs="Times New Roman"/>
                <w:b/>
                <w:bCs/>
                <w:color w:val="000000" w:themeColor="text1"/>
                <w:sz w:val="24"/>
                <w:szCs w:val="24"/>
              </w:rPr>
            </w:pPr>
            <w:r w:rsidRPr="00541C9A">
              <w:rPr>
                <w:rFonts w:ascii="Times New Roman" w:hAnsi="Times New Roman" w:cs="Times New Roman"/>
                <w:i/>
                <w:iCs/>
                <w:color w:val="000000" w:themeColor="text1"/>
                <w:sz w:val="24"/>
                <w:szCs w:val="24"/>
              </w:rPr>
              <w:t>(Ja daļēji, norāda, kur un kā ir vai tiks nodrošināta prasības pilnīga izpilde)</w:t>
            </w:r>
          </w:p>
        </w:tc>
        <w:tc>
          <w:tcPr>
            <w:tcW w:w="2438" w:type="dxa"/>
          </w:tcPr>
          <w:p w14:paraId="7C32438F" w14:textId="77777777" w:rsidR="005D0EB1" w:rsidRPr="00541C9A" w:rsidRDefault="005D0EB1" w:rsidP="006C2E36">
            <w:pPr>
              <w:rPr>
                <w:rFonts w:ascii="Times New Roman" w:hAnsi="Times New Roman" w:cs="Times New Roman"/>
                <w:b/>
                <w:bCs/>
                <w:color w:val="000000" w:themeColor="text1"/>
                <w:sz w:val="24"/>
                <w:szCs w:val="24"/>
              </w:rPr>
            </w:pPr>
            <w:r w:rsidRPr="00541C9A">
              <w:rPr>
                <w:rFonts w:ascii="Times New Roman" w:hAnsi="Times New Roman" w:cs="Times New Roman"/>
                <w:b/>
                <w:bCs/>
                <w:color w:val="000000" w:themeColor="text1"/>
                <w:sz w:val="24"/>
                <w:szCs w:val="24"/>
              </w:rPr>
              <w:t xml:space="preserve">Vai B ailē norādītais projekta punkts vai apakšpunkts paredz stingrākas prasības, nekā A ailē minētā prasība </w:t>
            </w:r>
          </w:p>
          <w:p w14:paraId="2F56CFB8" w14:textId="77777777" w:rsidR="005D0EB1" w:rsidRPr="00541C9A" w:rsidRDefault="005D0EB1" w:rsidP="006C2E36">
            <w:pPr>
              <w:rPr>
                <w:rFonts w:ascii="Times New Roman" w:hAnsi="Times New Roman" w:cs="Times New Roman"/>
                <w:b/>
                <w:bCs/>
                <w:color w:val="000000" w:themeColor="text1"/>
                <w:sz w:val="24"/>
                <w:szCs w:val="24"/>
              </w:rPr>
            </w:pPr>
            <w:r w:rsidRPr="00541C9A">
              <w:rPr>
                <w:rFonts w:ascii="Times New Roman" w:hAnsi="Times New Roman" w:cs="Times New Roman"/>
                <w:i/>
                <w:iCs/>
                <w:color w:val="000000" w:themeColor="text1"/>
                <w:sz w:val="24"/>
                <w:szCs w:val="24"/>
              </w:rPr>
              <w:t>(Ja paredz stingrākas prasības, norāda pamatojumu šādu stingrāku prasību nepieciešamībai)</w:t>
            </w:r>
          </w:p>
        </w:tc>
        <w:tc>
          <w:tcPr>
            <w:tcW w:w="2438" w:type="dxa"/>
          </w:tcPr>
          <w:p w14:paraId="306B9FAF" w14:textId="77777777" w:rsidR="005D0EB1" w:rsidRPr="00541C9A" w:rsidRDefault="005D0EB1" w:rsidP="006C2E36">
            <w:pPr>
              <w:rPr>
                <w:rFonts w:ascii="Times New Roman" w:hAnsi="Times New Roman" w:cs="Times New Roman"/>
                <w:b/>
                <w:bCs/>
                <w:color w:val="000000" w:themeColor="text1"/>
                <w:sz w:val="24"/>
                <w:szCs w:val="24"/>
              </w:rPr>
            </w:pPr>
            <w:r w:rsidRPr="00541C9A">
              <w:rPr>
                <w:rFonts w:ascii="Times New Roman" w:hAnsi="Times New Roman" w:cs="Times New Roman"/>
                <w:b/>
                <w:bCs/>
                <w:color w:val="000000" w:themeColor="text1"/>
                <w:sz w:val="24"/>
                <w:szCs w:val="24"/>
              </w:rPr>
              <w:t xml:space="preserve">Vai A ailē minētā prasība ir jāizpilda obligāti? </w:t>
            </w:r>
          </w:p>
          <w:p w14:paraId="2BD9CE3F" w14:textId="77777777" w:rsidR="005D0EB1" w:rsidRPr="00541C9A" w:rsidRDefault="005D0EB1" w:rsidP="006C2E36">
            <w:pPr>
              <w:rPr>
                <w:rFonts w:ascii="Times New Roman" w:hAnsi="Times New Roman" w:cs="Times New Roman"/>
                <w:i/>
                <w:iCs/>
                <w:color w:val="000000" w:themeColor="text1"/>
                <w:sz w:val="24"/>
                <w:szCs w:val="24"/>
              </w:rPr>
            </w:pPr>
            <w:r w:rsidRPr="00541C9A">
              <w:rPr>
                <w:rFonts w:ascii="Times New Roman" w:hAnsi="Times New Roman" w:cs="Times New Roman"/>
                <w:i/>
                <w:iCs/>
                <w:color w:val="000000" w:themeColor="text1"/>
                <w:sz w:val="24"/>
                <w:szCs w:val="24"/>
              </w:rPr>
              <w:t>(Ja Eiropas Savienības tiesību akts paredz izvēles iespēju, norāda, vai un kādēļ šī rīcības brīvība Latvijā ir vai nav jāizmanto)</w:t>
            </w:r>
          </w:p>
          <w:p w14:paraId="5DCA2046" w14:textId="77777777" w:rsidR="005D0EB1" w:rsidRPr="00541C9A" w:rsidRDefault="005D0EB1" w:rsidP="006C2E36">
            <w:pPr>
              <w:rPr>
                <w:rFonts w:ascii="Times New Roman" w:hAnsi="Times New Roman" w:cs="Times New Roman"/>
                <w:b/>
                <w:bCs/>
                <w:color w:val="000000" w:themeColor="text1"/>
                <w:sz w:val="24"/>
                <w:szCs w:val="24"/>
              </w:rPr>
            </w:pPr>
          </w:p>
          <w:p w14:paraId="2E451205" w14:textId="77777777" w:rsidR="005D0EB1" w:rsidRPr="00541C9A" w:rsidRDefault="005D0EB1" w:rsidP="006C2E36">
            <w:pPr>
              <w:rPr>
                <w:rFonts w:ascii="Times New Roman" w:hAnsi="Times New Roman" w:cs="Times New Roman"/>
                <w:b/>
                <w:bCs/>
                <w:color w:val="000000" w:themeColor="text1"/>
                <w:sz w:val="24"/>
                <w:szCs w:val="24"/>
              </w:rPr>
            </w:pPr>
          </w:p>
        </w:tc>
        <w:tc>
          <w:tcPr>
            <w:tcW w:w="2438" w:type="dxa"/>
          </w:tcPr>
          <w:p w14:paraId="2AD11592" w14:textId="77777777" w:rsidR="005D0EB1" w:rsidRPr="00541C9A" w:rsidRDefault="005D0EB1" w:rsidP="006C2E36">
            <w:pPr>
              <w:rPr>
                <w:rStyle w:val="cf01"/>
                <w:rFonts w:ascii="Times New Roman" w:hAnsi="Times New Roman" w:cs="Times New Roman"/>
                <w:b/>
                <w:bCs/>
              </w:rPr>
            </w:pPr>
            <w:r w:rsidRPr="00541C9A">
              <w:rPr>
                <w:rStyle w:val="cf01"/>
                <w:rFonts w:ascii="Times New Roman" w:hAnsi="Times New Roman" w:cs="Times New Roman"/>
                <w:b/>
                <w:bCs/>
              </w:rPr>
              <w:t>Vai A ailē minētais Eiropas Savienības tiesību akts paredz dalībvalsts paziņošanas pienākumu Eiropas Savienības institūcijām?</w:t>
            </w:r>
          </w:p>
          <w:p w14:paraId="32354E04" w14:textId="77777777" w:rsidR="005D0EB1" w:rsidRPr="00541C9A" w:rsidRDefault="005D0EB1" w:rsidP="006C2E36">
            <w:pPr>
              <w:rPr>
                <w:rFonts w:ascii="Times New Roman" w:hAnsi="Times New Roman" w:cs="Times New Roman"/>
                <w:b/>
                <w:bCs/>
                <w:color w:val="000000" w:themeColor="text1"/>
                <w:sz w:val="24"/>
                <w:szCs w:val="24"/>
              </w:rPr>
            </w:pPr>
            <w:r w:rsidRPr="00541C9A">
              <w:rPr>
                <w:rStyle w:val="cf01"/>
                <w:rFonts w:ascii="Times New Roman" w:hAnsi="Times New Roman" w:cs="Times New Roman"/>
                <w:i/>
                <w:iCs/>
              </w:rPr>
              <w:t>(Ja paredz, norāda, kas un kādā termiņā šo paziņošanas pienākumu izpildīs)</w:t>
            </w:r>
          </w:p>
        </w:tc>
      </w:tr>
      <w:tr w:rsidR="005D0EB1" w:rsidRPr="0058131A" w14:paraId="1C365455" w14:textId="77777777" w:rsidTr="006C2E36">
        <w:tc>
          <w:tcPr>
            <w:tcW w:w="2438" w:type="dxa"/>
          </w:tcPr>
          <w:p w14:paraId="678B47C2" w14:textId="77777777" w:rsidR="005D0EB1" w:rsidRPr="00541C9A" w:rsidRDefault="005D0EB1" w:rsidP="006C2E36">
            <w:pPr>
              <w:jc w:val="center"/>
              <w:rPr>
                <w:rFonts w:ascii="Times New Roman" w:hAnsi="Times New Roman" w:cs="Times New Roman"/>
                <w:color w:val="000000" w:themeColor="text1"/>
                <w:sz w:val="24"/>
                <w:szCs w:val="24"/>
              </w:rPr>
            </w:pPr>
            <w:r w:rsidRPr="00541C9A">
              <w:rPr>
                <w:rFonts w:ascii="Times New Roman" w:hAnsi="Times New Roman" w:cs="Times New Roman"/>
                <w:color w:val="000000" w:themeColor="text1"/>
                <w:sz w:val="24"/>
                <w:szCs w:val="24"/>
              </w:rPr>
              <w:t>A</w:t>
            </w:r>
          </w:p>
        </w:tc>
        <w:tc>
          <w:tcPr>
            <w:tcW w:w="2438" w:type="dxa"/>
          </w:tcPr>
          <w:p w14:paraId="654CD97B" w14:textId="77777777" w:rsidR="005D0EB1" w:rsidRPr="00541C9A" w:rsidRDefault="005D0EB1" w:rsidP="006C2E36">
            <w:pPr>
              <w:jc w:val="center"/>
              <w:rPr>
                <w:rFonts w:ascii="Times New Roman" w:hAnsi="Times New Roman" w:cs="Times New Roman"/>
                <w:color w:val="000000" w:themeColor="text1"/>
                <w:sz w:val="24"/>
                <w:szCs w:val="24"/>
              </w:rPr>
            </w:pPr>
            <w:r w:rsidRPr="00541C9A">
              <w:rPr>
                <w:rFonts w:ascii="Times New Roman" w:hAnsi="Times New Roman" w:cs="Times New Roman"/>
                <w:color w:val="000000" w:themeColor="text1"/>
                <w:sz w:val="24"/>
                <w:szCs w:val="24"/>
              </w:rPr>
              <w:t>B</w:t>
            </w:r>
          </w:p>
        </w:tc>
        <w:tc>
          <w:tcPr>
            <w:tcW w:w="2438" w:type="dxa"/>
          </w:tcPr>
          <w:p w14:paraId="50403520" w14:textId="77777777" w:rsidR="005D0EB1" w:rsidRPr="00541C9A" w:rsidRDefault="005D0EB1" w:rsidP="006C2E36">
            <w:pPr>
              <w:jc w:val="center"/>
              <w:rPr>
                <w:rFonts w:ascii="Times New Roman" w:hAnsi="Times New Roman" w:cs="Times New Roman"/>
                <w:color w:val="000000" w:themeColor="text1"/>
                <w:sz w:val="24"/>
                <w:szCs w:val="24"/>
              </w:rPr>
            </w:pPr>
            <w:r w:rsidRPr="00541C9A">
              <w:rPr>
                <w:rFonts w:ascii="Times New Roman" w:hAnsi="Times New Roman" w:cs="Times New Roman"/>
                <w:color w:val="000000" w:themeColor="text1"/>
                <w:sz w:val="24"/>
                <w:szCs w:val="24"/>
              </w:rPr>
              <w:t>C</w:t>
            </w:r>
          </w:p>
        </w:tc>
        <w:tc>
          <w:tcPr>
            <w:tcW w:w="2438" w:type="dxa"/>
          </w:tcPr>
          <w:p w14:paraId="4A42E69D" w14:textId="77777777" w:rsidR="005D0EB1" w:rsidRPr="00541C9A" w:rsidRDefault="005D0EB1" w:rsidP="006C2E36">
            <w:pPr>
              <w:jc w:val="center"/>
              <w:rPr>
                <w:rFonts w:ascii="Times New Roman" w:hAnsi="Times New Roman" w:cs="Times New Roman"/>
                <w:color w:val="000000" w:themeColor="text1"/>
                <w:sz w:val="24"/>
                <w:szCs w:val="24"/>
              </w:rPr>
            </w:pPr>
            <w:r w:rsidRPr="00541C9A">
              <w:rPr>
                <w:rFonts w:ascii="Times New Roman" w:hAnsi="Times New Roman" w:cs="Times New Roman"/>
                <w:color w:val="000000" w:themeColor="text1"/>
                <w:sz w:val="24"/>
                <w:szCs w:val="24"/>
              </w:rPr>
              <w:t>D</w:t>
            </w:r>
          </w:p>
        </w:tc>
        <w:tc>
          <w:tcPr>
            <w:tcW w:w="2438" w:type="dxa"/>
          </w:tcPr>
          <w:p w14:paraId="0395F4A6" w14:textId="77777777" w:rsidR="005D0EB1" w:rsidRPr="00541C9A" w:rsidRDefault="005D0EB1" w:rsidP="006C2E36">
            <w:pPr>
              <w:jc w:val="center"/>
              <w:rPr>
                <w:rFonts w:ascii="Times New Roman" w:hAnsi="Times New Roman" w:cs="Times New Roman"/>
                <w:color w:val="000000" w:themeColor="text1"/>
                <w:sz w:val="24"/>
                <w:szCs w:val="24"/>
              </w:rPr>
            </w:pPr>
            <w:r w:rsidRPr="00541C9A">
              <w:rPr>
                <w:rFonts w:ascii="Times New Roman" w:hAnsi="Times New Roman" w:cs="Times New Roman"/>
                <w:color w:val="000000" w:themeColor="text1"/>
                <w:sz w:val="24"/>
                <w:szCs w:val="24"/>
              </w:rPr>
              <w:t>E</w:t>
            </w:r>
          </w:p>
        </w:tc>
        <w:tc>
          <w:tcPr>
            <w:tcW w:w="2438" w:type="dxa"/>
          </w:tcPr>
          <w:p w14:paraId="2AD72F17" w14:textId="77777777" w:rsidR="005D0EB1" w:rsidRPr="00541C9A" w:rsidRDefault="005D0EB1" w:rsidP="006C2E36">
            <w:pPr>
              <w:jc w:val="center"/>
              <w:rPr>
                <w:rFonts w:ascii="Times New Roman" w:hAnsi="Times New Roman" w:cs="Times New Roman"/>
                <w:color w:val="000000" w:themeColor="text1"/>
                <w:sz w:val="24"/>
                <w:szCs w:val="24"/>
              </w:rPr>
            </w:pPr>
            <w:r w:rsidRPr="00541C9A">
              <w:rPr>
                <w:rFonts w:ascii="Times New Roman" w:hAnsi="Times New Roman" w:cs="Times New Roman"/>
                <w:color w:val="000000" w:themeColor="text1"/>
                <w:sz w:val="24"/>
                <w:szCs w:val="24"/>
              </w:rPr>
              <w:t>F</w:t>
            </w:r>
          </w:p>
        </w:tc>
      </w:tr>
      <w:tr w:rsidR="005D0EB1" w:rsidRPr="0058131A" w14:paraId="74091365" w14:textId="77777777" w:rsidTr="006C2E36">
        <w:tc>
          <w:tcPr>
            <w:tcW w:w="2438" w:type="dxa"/>
          </w:tcPr>
          <w:p w14:paraId="2B393AFD" w14:textId="6EAE3A87" w:rsidR="005D0EB1" w:rsidRPr="00541C9A" w:rsidRDefault="005D0EB1" w:rsidP="00064C2D">
            <w:pPr>
              <w:rPr>
                <w:rFonts w:ascii="Times New Roman" w:hAnsi="Times New Roman" w:cs="Times New Roman"/>
                <w:color w:val="000000" w:themeColor="text1"/>
                <w:sz w:val="24"/>
                <w:szCs w:val="24"/>
              </w:rPr>
            </w:pPr>
            <w:r w:rsidRPr="00541C9A">
              <w:rPr>
                <w:rFonts w:ascii="Times New Roman" w:hAnsi="Times New Roman" w:cs="Times New Roman"/>
                <w:color w:val="000000" w:themeColor="text1"/>
                <w:sz w:val="24"/>
                <w:szCs w:val="24"/>
              </w:rPr>
              <w:t>Direktīvas</w:t>
            </w:r>
            <w:r w:rsidR="00064C2D">
              <w:rPr>
                <w:rFonts w:ascii="Times New Roman" w:hAnsi="Times New Roman" w:cs="Times New Roman"/>
                <w:color w:val="000000" w:themeColor="text1"/>
                <w:sz w:val="24"/>
                <w:szCs w:val="24"/>
              </w:rPr>
              <w:t> </w:t>
            </w:r>
            <w:r w:rsidR="00D24AA5" w:rsidRPr="00541C9A">
              <w:rPr>
                <w:rFonts w:ascii="Times New Roman" w:hAnsi="Times New Roman" w:cs="Times New Roman"/>
                <w:color w:val="000000" w:themeColor="text1"/>
                <w:sz w:val="24"/>
                <w:szCs w:val="24"/>
              </w:rPr>
              <w:t>2013</w:t>
            </w:r>
            <w:r w:rsidRPr="00541C9A">
              <w:rPr>
                <w:rFonts w:ascii="Times New Roman" w:hAnsi="Times New Roman" w:cs="Times New Roman"/>
                <w:color w:val="000000" w:themeColor="text1"/>
                <w:sz w:val="24"/>
                <w:szCs w:val="24"/>
              </w:rPr>
              <w:t>/</w:t>
            </w:r>
            <w:r w:rsidR="00D24AA5" w:rsidRPr="00541C9A">
              <w:rPr>
                <w:rFonts w:ascii="Times New Roman" w:hAnsi="Times New Roman" w:cs="Times New Roman"/>
                <w:color w:val="000000" w:themeColor="text1"/>
                <w:sz w:val="24"/>
                <w:szCs w:val="24"/>
              </w:rPr>
              <w:t xml:space="preserve">50/ES </w:t>
            </w:r>
            <w:r w:rsidR="00404763" w:rsidRPr="00541C9A">
              <w:rPr>
                <w:rFonts w:ascii="Times New Roman" w:hAnsi="Times New Roman" w:cs="Times New Roman"/>
                <w:color w:val="000000" w:themeColor="text1"/>
                <w:sz w:val="24"/>
                <w:szCs w:val="24"/>
              </w:rPr>
              <w:t>1.</w:t>
            </w:r>
            <w:r w:rsidR="00064C2D">
              <w:rPr>
                <w:rFonts w:ascii="Times New Roman" w:hAnsi="Times New Roman" w:cs="Times New Roman"/>
                <w:color w:val="000000" w:themeColor="text1"/>
                <w:sz w:val="24"/>
                <w:szCs w:val="24"/>
              </w:rPr>
              <w:t> </w:t>
            </w:r>
            <w:r w:rsidR="00404763" w:rsidRPr="003800D5">
              <w:rPr>
                <w:rFonts w:ascii="Times New Roman" w:hAnsi="Times New Roman" w:cs="Times New Roman"/>
                <w:color w:val="000000" w:themeColor="text1"/>
                <w:sz w:val="24"/>
                <w:szCs w:val="24"/>
              </w:rPr>
              <w:t>panta 9.</w:t>
            </w:r>
            <w:r w:rsidR="0058131A">
              <w:rPr>
                <w:rFonts w:ascii="Times New Roman" w:hAnsi="Times New Roman" w:cs="Times New Roman"/>
                <w:color w:val="000000" w:themeColor="text1"/>
                <w:sz w:val="24"/>
                <w:szCs w:val="24"/>
              </w:rPr>
              <w:t> </w:t>
            </w:r>
            <w:r w:rsidR="00404763" w:rsidRPr="00541C9A">
              <w:rPr>
                <w:rFonts w:ascii="Times New Roman" w:hAnsi="Times New Roman" w:cs="Times New Roman"/>
                <w:color w:val="000000" w:themeColor="text1"/>
                <w:sz w:val="24"/>
                <w:szCs w:val="24"/>
              </w:rPr>
              <w:t xml:space="preserve">punkta </w:t>
            </w:r>
            <w:r w:rsidR="0058131A">
              <w:rPr>
                <w:rFonts w:ascii="Times New Roman" w:hAnsi="Times New Roman" w:cs="Times New Roman"/>
                <w:color w:val="000000" w:themeColor="text1"/>
                <w:sz w:val="24"/>
                <w:szCs w:val="24"/>
              </w:rPr>
              <w:t>"</w:t>
            </w:r>
            <w:r w:rsidR="00404763" w:rsidRPr="00541C9A">
              <w:rPr>
                <w:rFonts w:ascii="Times New Roman" w:hAnsi="Times New Roman" w:cs="Times New Roman"/>
                <w:color w:val="000000" w:themeColor="text1"/>
                <w:sz w:val="24"/>
                <w:szCs w:val="24"/>
              </w:rPr>
              <w:t>b</w:t>
            </w:r>
            <w:r w:rsidR="0058131A">
              <w:rPr>
                <w:rFonts w:ascii="Times New Roman" w:hAnsi="Times New Roman" w:cs="Times New Roman"/>
                <w:color w:val="000000" w:themeColor="text1"/>
                <w:sz w:val="24"/>
                <w:szCs w:val="24"/>
              </w:rPr>
              <w:t>"</w:t>
            </w:r>
            <w:r w:rsidR="00404763" w:rsidRPr="00541C9A">
              <w:rPr>
                <w:rFonts w:ascii="Times New Roman" w:hAnsi="Times New Roman" w:cs="Times New Roman"/>
                <w:color w:val="000000" w:themeColor="text1"/>
                <w:sz w:val="24"/>
                <w:szCs w:val="24"/>
              </w:rPr>
              <w:t xml:space="preserve"> apakšpunkts (paredz </w:t>
            </w:r>
            <w:r w:rsidR="006D59D5">
              <w:rPr>
                <w:rFonts w:ascii="Times New Roman" w:hAnsi="Times New Roman" w:cs="Times New Roman"/>
                <w:color w:val="000000" w:themeColor="text1"/>
                <w:sz w:val="24"/>
                <w:szCs w:val="24"/>
              </w:rPr>
              <w:t>D</w:t>
            </w:r>
            <w:r w:rsidR="00404763" w:rsidRPr="00541C9A">
              <w:rPr>
                <w:rFonts w:ascii="Times New Roman" w:hAnsi="Times New Roman" w:cs="Times New Roman"/>
                <w:color w:val="000000" w:themeColor="text1"/>
                <w:sz w:val="24"/>
                <w:szCs w:val="24"/>
              </w:rPr>
              <w:t>irektīvas</w:t>
            </w:r>
            <w:r w:rsidR="006D59D5">
              <w:rPr>
                <w:rFonts w:ascii="Times New Roman" w:hAnsi="Times New Roman" w:cs="Times New Roman"/>
                <w:color w:val="000000" w:themeColor="text1"/>
                <w:sz w:val="24"/>
                <w:szCs w:val="24"/>
              </w:rPr>
              <w:t> </w:t>
            </w:r>
            <w:r w:rsidR="00404763" w:rsidRPr="00541C9A">
              <w:rPr>
                <w:rFonts w:ascii="Times New Roman" w:hAnsi="Times New Roman" w:cs="Times New Roman"/>
                <w:color w:val="000000" w:themeColor="text1"/>
                <w:sz w:val="24"/>
                <w:szCs w:val="24"/>
              </w:rPr>
              <w:t>2004/109 13. pantu papildināt ar 1.b punktu)</w:t>
            </w:r>
          </w:p>
        </w:tc>
        <w:tc>
          <w:tcPr>
            <w:tcW w:w="2438" w:type="dxa"/>
          </w:tcPr>
          <w:p w14:paraId="772B2803" w14:textId="1E738538" w:rsidR="005D0EB1" w:rsidRPr="00541C9A" w:rsidRDefault="005D0EB1" w:rsidP="006C2E36">
            <w:pPr>
              <w:rPr>
                <w:rFonts w:ascii="Times New Roman" w:hAnsi="Times New Roman" w:cs="Times New Roman"/>
                <w:color w:val="000000" w:themeColor="text1"/>
                <w:sz w:val="24"/>
                <w:szCs w:val="24"/>
              </w:rPr>
            </w:pPr>
            <w:r w:rsidRPr="00541C9A">
              <w:rPr>
                <w:rFonts w:ascii="Times New Roman" w:hAnsi="Times New Roman" w:cs="Times New Roman"/>
                <w:color w:val="000000" w:themeColor="text1"/>
                <w:sz w:val="24"/>
                <w:szCs w:val="24"/>
              </w:rPr>
              <w:t xml:space="preserve">Projekta </w:t>
            </w:r>
            <w:r w:rsidR="00F44D1C" w:rsidRPr="00541C9A">
              <w:rPr>
                <w:rFonts w:ascii="Times New Roman" w:hAnsi="Times New Roman" w:cs="Times New Roman"/>
                <w:color w:val="000000" w:themeColor="text1"/>
                <w:sz w:val="24"/>
                <w:szCs w:val="24"/>
              </w:rPr>
              <w:t>2</w:t>
            </w:r>
            <w:r w:rsidRPr="00541C9A">
              <w:rPr>
                <w:rFonts w:ascii="Times New Roman" w:hAnsi="Times New Roman" w:cs="Times New Roman"/>
                <w:color w:val="000000" w:themeColor="text1"/>
                <w:sz w:val="24"/>
                <w:szCs w:val="24"/>
              </w:rPr>
              <w:t>. punkts</w:t>
            </w:r>
          </w:p>
        </w:tc>
        <w:tc>
          <w:tcPr>
            <w:tcW w:w="2438" w:type="dxa"/>
          </w:tcPr>
          <w:p w14:paraId="30B41DCF" w14:textId="77777777" w:rsidR="005D0EB1" w:rsidRPr="00541C9A" w:rsidRDefault="005D0EB1" w:rsidP="006C2E36">
            <w:pPr>
              <w:rPr>
                <w:rFonts w:ascii="Times New Roman" w:hAnsi="Times New Roman" w:cs="Times New Roman"/>
                <w:color w:val="000000" w:themeColor="text1"/>
                <w:sz w:val="24"/>
                <w:szCs w:val="24"/>
              </w:rPr>
            </w:pPr>
            <w:r w:rsidRPr="00541C9A">
              <w:rPr>
                <w:rFonts w:ascii="Times New Roman" w:hAnsi="Times New Roman" w:cs="Times New Roman"/>
                <w:color w:val="000000" w:themeColor="text1"/>
                <w:sz w:val="24"/>
                <w:szCs w:val="24"/>
              </w:rPr>
              <w:t>Izpilda pilnībā</w:t>
            </w:r>
          </w:p>
        </w:tc>
        <w:tc>
          <w:tcPr>
            <w:tcW w:w="2438" w:type="dxa"/>
          </w:tcPr>
          <w:p w14:paraId="54991413" w14:textId="77777777" w:rsidR="005D0EB1" w:rsidRPr="00541C9A" w:rsidRDefault="005D0EB1" w:rsidP="006C2E36">
            <w:pPr>
              <w:rPr>
                <w:rFonts w:ascii="Times New Roman" w:hAnsi="Times New Roman" w:cs="Times New Roman"/>
                <w:color w:val="000000" w:themeColor="text1"/>
                <w:sz w:val="24"/>
                <w:szCs w:val="24"/>
              </w:rPr>
            </w:pPr>
            <w:r w:rsidRPr="00541C9A">
              <w:rPr>
                <w:rFonts w:ascii="Times New Roman" w:hAnsi="Times New Roman" w:cs="Times New Roman"/>
                <w:color w:val="000000" w:themeColor="text1"/>
                <w:sz w:val="24"/>
                <w:szCs w:val="24"/>
              </w:rPr>
              <w:t>Nē</w:t>
            </w:r>
          </w:p>
        </w:tc>
        <w:tc>
          <w:tcPr>
            <w:tcW w:w="2438" w:type="dxa"/>
          </w:tcPr>
          <w:p w14:paraId="7F0784A0" w14:textId="46B3F263" w:rsidR="005D0EB1" w:rsidRPr="00541C9A" w:rsidRDefault="005D0EB1" w:rsidP="006C2E36">
            <w:pPr>
              <w:rPr>
                <w:rFonts w:ascii="Times New Roman" w:hAnsi="Times New Roman" w:cs="Times New Roman"/>
                <w:color w:val="000000" w:themeColor="text1"/>
                <w:sz w:val="24"/>
                <w:szCs w:val="24"/>
              </w:rPr>
            </w:pPr>
            <w:r w:rsidRPr="00541C9A">
              <w:rPr>
                <w:rFonts w:ascii="Times New Roman" w:hAnsi="Times New Roman" w:cs="Times New Roman"/>
                <w:color w:val="000000" w:themeColor="text1"/>
                <w:sz w:val="24"/>
                <w:szCs w:val="24"/>
              </w:rPr>
              <w:t>Jā</w:t>
            </w:r>
          </w:p>
        </w:tc>
        <w:tc>
          <w:tcPr>
            <w:tcW w:w="2438" w:type="dxa"/>
          </w:tcPr>
          <w:p w14:paraId="379897EC" w14:textId="11D1691E" w:rsidR="00226059" w:rsidRPr="00541C9A" w:rsidRDefault="00982943" w:rsidP="00982943">
            <w:pPr>
              <w:rPr>
                <w:rStyle w:val="cf01"/>
                <w:rFonts w:ascii="Times New Roman" w:hAnsi="Times New Roman" w:cs="Times New Roman"/>
                <w:color w:val="000000" w:themeColor="text1"/>
                <w:sz w:val="24"/>
                <w:szCs w:val="24"/>
              </w:rPr>
            </w:pPr>
            <w:r w:rsidRPr="00982943">
              <w:rPr>
                <w:rFonts w:ascii="Times New Roman" w:hAnsi="Times New Roman" w:cs="Times New Roman"/>
                <w:color w:val="000000" w:themeColor="text1"/>
                <w:sz w:val="24"/>
                <w:szCs w:val="24"/>
              </w:rPr>
              <w:t xml:space="preserve">Pēc noteikumu apstiprināšanas un publicēšanas </w:t>
            </w:r>
            <w:r w:rsidR="004F4197">
              <w:rPr>
                <w:rFonts w:ascii="Times New Roman" w:hAnsi="Times New Roman" w:cs="Times New Roman"/>
                <w:color w:val="000000" w:themeColor="text1"/>
                <w:sz w:val="24"/>
                <w:szCs w:val="24"/>
              </w:rPr>
              <w:t xml:space="preserve">oficiālajā izdevumā </w:t>
            </w:r>
            <w:r w:rsidR="002C7891">
              <w:rPr>
                <w:rFonts w:ascii="Times New Roman" w:hAnsi="Times New Roman" w:cs="Times New Roman"/>
                <w:color w:val="000000" w:themeColor="text1"/>
                <w:sz w:val="24"/>
                <w:szCs w:val="24"/>
              </w:rPr>
              <w:t>"</w:t>
            </w:r>
            <w:r w:rsidRPr="00982943">
              <w:rPr>
                <w:rFonts w:ascii="Times New Roman" w:hAnsi="Times New Roman" w:cs="Times New Roman"/>
                <w:color w:val="000000" w:themeColor="text1"/>
                <w:sz w:val="24"/>
                <w:szCs w:val="24"/>
              </w:rPr>
              <w:t>Latvijas Vēstnes</w:t>
            </w:r>
            <w:r w:rsidR="004F4197">
              <w:rPr>
                <w:rFonts w:ascii="Times New Roman" w:hAnsi="Times New Roman" w:cs="Times New Roman"/>
                <w:color w:val="000000" w:themeColor="text1"/>
                <w:sz w:val="24"/>
                <w:szCs w:val="24"/>
              </w:rPr>
              <w:t>is</w:t>
            </w:r>
            <w:r w:rsidR="002C7891">
              <w:rPr>
                <w:rFonts w:ascii="Times New Roman" w:hAnsi="Times New Roman" w:cs="Times New Roman"/>
                <w:color w:val="000000" w:themeColor="text1"/>
                <w:sz w:val="24"/>
                <w:szCs w:val="24"/>
              </w:rPr>
              <w:t>"</w:t>
            </w:r>
            <w:r w:rsidRPr="00982943">
              <w:rPr>
                <w:rFonts w:ascii="Times New Roman" w:hAnsi="Times New Roman" w:cs="Times New Roman"/>
                <w:color w:val="000000" w:themeColor="text1"/>
                <w:sz w:val="24"/>
                <w:szCs w:val="24"/>
              </w:rPr>
              <w:t xml:space="preserve"> Finanšu ministrijai tiks nosūtīts paziņojums par Direktīvas 2013/50/ES 1. panta 9. punkta </w:t>
            </w:r>
            <w:r w:rsidR="002C7891">
              <w:rPr>
                <w:rFonts w:ascii="Times New Roman" w:hAnsi="Times New Roman" w:cs="Times New Roman"/>
                <w:color w:val="000000" w:themeColor="text1"/>
                <w:sz w:val="24"/>
                <w:szCs w:val="24"/>
              </w:rPr>
              <w:t>"</w:t>
            </w:r>
            <w:r w:rsidRPr="00982943">
              <w:rPr>
                <w:rFonts w:ascii="Times New Roman" w:hAnsi="Times New Roman" w:cs="Times New Roman"/>
                <w:color w:val="000000" w:themeColor="text1"/>
                <w:sz w:val="24"/>
                <w:szCs w:val="24"/>
              </w:rPr>
              <w:t>b</w:t>
            </w:r>
            <w:r w:rsidR="002C7891">
              <w:rPr>
                <w:rFonts w:ascii="Times New Roman" w:hAnsi="Times New Roman" w:cs="Times New Roman"/>
                <w:color w:val="000000" w:themeColor="text1"/>
                <w:sz w:val="24"/>
                <w:szCs w:val="24"/>
              </w:rPr>
              <w:t>"</w:t>
            </w:r>
            <w:r w:rsidRPr="00982943">
              <w:rPr>
                <w:rFonts w:ascii="Times New Roman" w:hAnsi="Times New Roman" w:cs="Times New Roman"/>
                <w:color w:val="000000" w:themeColor="text1"/>
                <w:sz w:val="24"/>
                <w:szCs w:val="24"/>
              </w:rPr>
              <w:t> apakšpunkta ieviešanu</w:t>
            </w:r>
            <w:r w:rsidR="00AA4032" w:rsidRPr="00541C9A">
              <w:rPr>
                <w:rFonts w:ascii="Times New Roman" w:hAnsi="Times New Roman" w:cs="Times New Roman"/>
                <w:color w:val="000000" w:themeColor="text1"/>
                <w:sz w:val="24"/>
                <w:szCs w:val="24"/>
              </w:rPr>
              <w:t xml:space="preserve"> </w:t>
            </w:r>
          </w:p>
        </w:tc>
      </w:tr>
    </w:tbl>
    <w:p w14:paraId="35DB3C65" w14:textId="77777777" w:rsidR="00C0415B" w:rsidRPr="0058131A" w:rsidRDefault="00C0415B" w:rsidP="00541C9A">
      <w:pPr>
        <w:rPr>
          <w:rFonts w:ascii="Times New Roman" w:hAnsi="Times New Roman" w:cs="Times New Roman"/>
          <w:sz w:val="24"/>
          <w:szCs w:val="24"/>
        </w:rPr>
      </w:pPr>
    </w:p>
    <w:sectPr w:rsidR="00C0415B" w:rsidRPr="0058131A" w:rsidSect="00541C9A">
      <w:pgSz w:w="16838" w:h="11906" w:orient="landscape" w:code="9"/>
      <w:pgMar w:top="709" w:right="1134" w:bottom="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3473E" w14:textId="77777777" w:rsidR="00CB49E1" w:rsidRDefault="00CB49E1" w:rsidP="009B27BE">
      <w:pPr>
        <w:spacing w:after="0" w:line="240" w:lineRule="auto"/>
      </w:pPr>
      <w:r>
        <w:separator/>
      </w:r>
    </w:p>
  </w:endnote>
  <w:endnote w:type="continuationSeparator" w:id="0">
    <w:p w14:paraId="336C278B" w14:textId="77777777" w:rsidR="00CB49E1" w:rsidRDefault="00CB49E1"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8314F" w14:textId="77777777" w:rsidR="00CB49E1" w:rsidRDefault="00CB49E1" w:rsidP="009B27BE">
      <w:pPr>
        <w:spacing w:after="0" w:line="240" w:lineRule="auto"/>
      </w:pPr>
      <w:r>
        <w:separator/>
      </w:r>
    </w:p>
  </w:footnote>
  <w:footnote w:type="continuationSeparator" w:id="0">
    <w:p w14:paraId="1D7C1F96" w14:textId="77777777" w:rsidR="00CB49E1" w:rsidRDefault="00CB49E1"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02A95D45"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366BC250" w14:textId="77777777" w:rsidR="007E313B" w:rsidRDefault="007E31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7FC"/>
    <w:rsid w:val="000234D0"/>
    <w:rsid w:val="000263F5"/>
    <w:rsid w:val="0003679E"/>
    <w:rsid w:val="00036E82"/>
    <w:rsid w:val="00042F3F"/>
    <w:rsid w:val="00056C5B"/>
    <w:rsid w:val="00064C2D"/>
    <w:rsid w:val="00072882"/>
    <w:rsid w:val="0008510E"/>
    <w:rsid w:val="0009616F"/>
    <w:rsid w:val="000A05AA"/>
    <w:rsid w:val="000A13F5"/>
    <w:rsid w:val="000A2EBB"/>
    <w:rsid w:val="000B4E0A"/>
    <w:rsid w:val="000D4225"/>
    <w:rsid w:val="00102012"/>
    <w:rsid w:val="00105FDD"/>
    <w:rsid w:val="00117D9F"/>
    <w:rsid w:val="00132070"/>
    <w:rsid w:val="00133F6A"/>
    <w:rsid w:val="00143A48"/>
    <w:rsid w:val="00145A1B"/>
    <w:rsid w:val="00146E2C"/>
    <w:rsid w:val="00151E5A"/>
    <w:rsid w:val="00164710"/>
    <w:rsid w:val="00173316"/>
    <w:rsid w:val="00182ADA"/>
    <w:rsid w:val="00193480"/>
    <w:rsid w:val="001A5171"/>
    <w:rsid w:val="001A7A26"/>
    <w:rsid w:val="001C1305"/>
    <w:rsid w:val="001C4C4E"/>
    <w:rsid w:val="001D3CCF"/>
    <w:rsid w:val="001E118C"/>
    <w:rsid w:val="002156E9"/>
    <w:rsid w:val="00226059"/>
    <w:rsid w:val="002341C1"/>
    <w:rsid w:val="00237F5E"/>
    <w:rsid w:val="00254B8C"/>
    <w:rsid w:val="00257D2F"/>
    <w:rsid w:val="002A1C01"/>
    <w:rsid w:val="002A26D4"/>
    <w:rsid w:val="002C350E"/>
    <w:rsid w:val="002C576C"/>
    <w:rsid w:val="002C7891"/>
    <w:rsid w:val="002C7C4D"/>
    <w:rsid w:val="002D2812"/>
    <w:rsid w:val="002F2E2A"/>
    <w:rsid w:val="002F6BB5"/>
    <w:rsid w:val="00311F36"/>
    <w:rsid w:val="00317B52"/>
    <w:rsid w:val="0032710F"/>
    <w:rsid w:val="00331220"/>
    <w:rsid w:val="00332F41"/>
    <w:rsid w:val="003330CC"/>
    <w:rsid w:val="003344C2"/>
    <w:rsid w:val="00346F72"/>
    <w:rsid w:val="0036331B"/>
    <w:rsid w:val="0037281F"/>
    <w:rsid w:val="003800D5"/>
    <w:rsid w:val="003A34AD"/>
    <w:rsid w:val="003B481B"/>
    <w:rsid w:val="003B5B46"/>
    <w:rsid w:val="003D1BDB"/>
    <w:rsid w:val="003F0055"/>
    <w:rsid w:val="00402B25"/>
    <w:rsid w:val="00404763"/>
    <w:rsid w:val="004149D9"/>
    <w:rsid w:val="004154ED"/>
    <w:rsid w:val="004362D9"/>
    <w:rsid w:val="0049248A"/>
    <w:rsid w:val="004B2361"/>
    <w:rsid w:val="004B27FC"/>
    <w:rsid w:val="004B54E5"/>
    <w:rsid w:val="004F0BF6"/>
    <w:rsid w:val="004F4197"/>
    <w:rsid w:val="005047C2"/>
    <w:rsid w:val="005217F6"/>
    <w:rsid w:val="00531134"/>
    <w:rsid w:val="00532784"/>
    <w:rsid w:val="00541C9A"/>
    <w:rsid w:val="00542E89"/>
    <w:rsid w:val="00574F51"/>
    <w:rsid w:val="0058131A"/>
    <w:rsid w:val="00592247"/>
    <w:rsid w:val="00596F97"/>
    <w:rsid w:val="005A210B"/>
    <w:rsid w:val="005A5EBF"/>
    <w:rsid w:val="005B3E28"/>
    <w:rsid w:val="005B5BAA"/>
    <w:rsid w:val="005D0EB1"/>
    <w:rsid w:val="005D5C26"/>
    <w:rsid w:val="005F126A"/>
    <w:rsid w:val="005F662E"/>
    <w:rsid w:val="0060016E"/>
    <w:rsid w:val="00622C1C"/>
    <w:rsid w:val="0062656A"/>
    <w:rsid w:val="00642172"/>
    <w:rsid w:val="00643B6F"/>
    <w:rsid w:val="006479B9"/>
    <w:rsid w:val="006515FB"/>
    <w:rsid w:val="006A3D20"/>
    <w:rsid w:val="006A3DA4"/>
    <w:rsid w:val="006B2D7C"/>
    <w:rsid w:val="006B744C"/>
    <w:rsid w:val="006C12D3"/>
    <w:rsid w:val="006D59D5"/>
    <w:rsid w:val="006E2031"/>
    <w:rsid w:val="00707AF5"/>
    <w:rsid w:val="007306EF"/>
    <w:rsid w:val="00756820"/>
    <w:rsid w:val="00761A8A"/>
    <w:rsid w:val="00762097"/>
    <w:rsid w:val="00762371"/>
    <w:rsid w:val="0077143B"/>
    <w:rsid w:val="00777CDF"/>
    <w:rsid w:val="00783727"/>
    <w:rsid w:val="00790CDB"/>
    <w:rsid w:val="007A23DF"/>
    <w:rsid w:val="007A47CA"/>
    <w:rsid w:val="007A6267"/>
    <w:rsid w:val="007B33D8"/>
    <w:rsid w:val="007B6763"/>
    <w:rsid w:val="007D07AF"/>
    <w:rsid w:val="007D3932"/>
    <w:rsid w:val="007E313B"/>
    <w:rsid w:val="0081506F"/>
    <w:rsid w:val="0084203B"/>
    <w:rsid w:val="00844CF3"/>
    <w:rsid w:val="008537B1"/>
    <w:rsid w:val="00861ABD"/>
    <w:rsid w:val="0086314F"/>
    <w:rsid w:val="00874469"/>
    <w:rsid w:val="00883838"/>
    <w:rsid w:val="0088444E"/>
    <w:rsid w:val="00887929"/>
    <w:rsid w:val="008C3076"/>
    <w:rsid w:val="008F4029"/>
    <w:rsid w:val="008F4277"/>
    <w:rsid w:val="008F48C2"/>
    <w:rsid w:val="00917891"/>
    <w:rsid w:val="00920831"/>
    <w:rsid w:val="00982943"/>
    <w:rsid w:val="009A2F99"/>
    <w:rsid w:val="009B146E"/>
    <w:rsid w:val="009B27BE"/>
    <w:rsid w:val="009C19E7"/>
    <w:rsid w:val="009D69BC"/>
    <w:rsid w:val="009F613E"/>
    <w:rsid w:val="00A0418B"/>
    <w:rsid w:val="00A1159E"/>
    <w:rsid w:val="00A1167F"/>
    <w:rsid w:val="00A42788"/>
    <w:rsid w:val="00A56572"/>
    <w:rsid w:val="00A61C66"/>
    <w:rsid w:val="00AA04DC"/>
    <w:rsid w:val="00AA27DE"/>
    <w:rsid w:val="00AA4032"/>
    <w:rsid w:val="00AD6DE6"/>
    <w:rsid w:val="00AF4D1D"/>
    <w:rsid w:val="00B047D5"/>
    <w:rsid w:val="00B146DD"/>
    <w:rsid w:val="00B239A5"/>
    <w:rsid w:val="00B2669C"/>
    <w:rsid w:val="00B43DAA"/>
    <w:rsid w:val="00B62244"/>
    <w:rsid w:val="00B84ACC"/>
    <w:rsid w:val="00B95DAB"/>
    <w:rsid w:val="00BC166B"/>
    <w:rsid w:val="00BC6039"/>
    <w:rsid w:val="00BE50CC"/>
    <w:rsid w:val="00BF57EB"/>
    <w:rsid w:val="00C02116"/>
    <w:rsid w:val="00C039F7"/>
    <w:rsid w:val="00C0415B"/>
    <w:rsid w:val="00C66BED"/>
    <w:rsid w:val="00C85C34"/>
    <w:rsid w:val="00C91FE7"/>
    <w:rsid w:val="00C92BDD"/>
    <w:rsid w:val="00C978E9"/>
    <w:rsid w:val="00CA28AB"/>
    <w:rsid w:val="00CA4BE1"/>
    <w:rsid w:val="00CB49E1"/>
    <w:rsid w:val="00CD1642"/>
    <w:rsid w:val="00CD7019"/>
    <w:rsid w:val="00CE16C4"/>
    <w:rsid w:val="00D17D5D"/>
    <w:rsid w:val="00D24AA5"/>
    <w:rsid w:val="00D508D3"/>
    <w:rsid w:val="00D5663E"/>
    <w:rsid w:val="00D71FD4"/>
    <w:rsid w:val="00D75A80"/>
    <w:rsid w:val="00D76619"/>
    <w:rsid w:val="00D7679E"/>
    <w:rsid w:val="00D90F4D"/>
    <w:rsid w:val="00D94E9E"/>
    <w:rsid w:val="00D97BFD"/>
    <w:rsid w:val="00DA57BD"/>
    <w:rsid w:val="00DB09DB"/>
    <w:rsid w:val="00DB5953"/>
    <w:rsid w:val="00DE1EF7"/>
    <w:rsid w:val="00DE2DC4"/>
    <w:rsid w:val="00E0094D"/>
    <w:rsid w:val="00E023F3"/>
    <w:rsid w:val="00E0268A"/>
    <w:rsid w:val="00E04474"/>
    <w:rsid w:val="00E0455E"/>
    <w:rsid w:val="00E2418B"/>
    <w:rsid w:val="00E253DA"/>
    <w:rsid w:val="00E34663"/>
    <w:rsid w:val="00E53DE9"/>
    <w:rsid w:val="00E53FA8"/>
    <w:rsid w:val="00E60064"/>
    <w:rsid w:val="00E646B0"/>
    <w:rsid w:val="00EA48FE"/>
    <w:rsid w:val="00EB261C"/>
    <w:rsid w:val="00EE489E"/>
    <w:rsid w:val="00EF330D"/>
    <w:rsid w:val="00F01E1E"/>
    <w:rsid w:val="00F14E22"/>
    <w:rsid w:val="00F20F6C"/>
    <w:rsid w:val="00F305A0"/>
    <w:rsid w:val="00F44D1C"/>
    <w:rsid w:val="00F5166C"/>
    <w:rsid w:val="00F64DF5"/>
    <w:rsid w:val="00F727AA"/>
    <w:rsid w:val="00F74741"/>
    <w:rsid w:val="00FA4B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BC0F1"/>
  <w15:chartTrackingRefBased/>
  <w15:docId w15:val="{D0C662D1-FCD3-4AE9-A7D2-22840D953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Revision">
    <w:name w:val="Revision"/>
    <w:hidden/>
    <w:uiPriority w:val="99"/>
    <w:semiHidden/>
    <w:rsid w:val="00861ABD"/>
    <w:pPr>
      <w:spacing w:after="0" w:line="240" w:lineRule="auto"/>
    </w:pPr>
  </w:style>
  <w:style w:type="character" w:styleId="CommentReference">
    <w:name w:val="annotation reference"/>
    <w:basedOn w:val="DefaultParagraphFont"/>
    <w:uiPriority w:val="99"/>
    <w:semiHidden/>
    <w:unhideWhenUsed/>
    <w:rsid w:val="00861ABD"/>
    <w:rPr>
      <w:sz w:val="16"/>
      <w:szCs w:val="16"/>
    </w:rPr>
  </w:style>
  <w:style w:type="paragraph" w:styleId="CommentText">
    <w:name w:val="annotation text"/>
    <w:basedOn w:val="Normal"/>
    <w:link w:val="CommentTextChar"/>
    <w:uiPriority w:val="99"/>
    <w:unhideWhenUsed/>
    <w:rsid w:val="00861ABD"/>
    <w:pPr>
      <w:spacing w:line="240" w:lineRule="auto"/>
    </w:pPr>
    <w:rPr>
      <w:sz w:val="20"/>
      <w:szCs w:val="20"/>
    </w:rPr>
  </w:style>
  <w:style w:type="character" w:customStyle="1" w:styleId="CommentTextChar">
    <w:name w:val="Comment Text Char"/>
    <w:basedOn w:val="DefaultParagraphFont"/>
    <w:link w:val="CommentText"/>
    <w:uiPriority w:val="99"/>
    <w:rsid w:val="00861ABD"/>
    <w:rPr>
      <w:sz w:val="20"/>
      <w:szCs w:val="20"/>
    </w:rPr>
  </w:style>
  <w:style w:type="paragraph" w:styleId="CommentSubject">
    <w:name w:val="annotation subject"/>
    <w:basedOn w:val="CommentText"/>
    <w:next w:val="CommentText"/>
    <w:link w:val="CommentSubjectChar"/>
    <w:uiPriority w:val="99"/>
    <w:semiHidden/>
    <w:unhideWhenUsed/>
    <w:rsid w:val="00861ABD"/>
    <w:rPr>
      <w:b/>
      <w:bCs/>
    </w:rPr>
  </w:style>
  <w:style w:type="character" w:customStyle="1" w:styleId="CommentSubjectChar">
    <w:name w:val="Comment Subject Char"/>
    <w:basedOn w:val="CommentTextChar"/>
    <w:link w:val="CommentSubject"/>
    <w:uiPriority w:val="99"/>
    <w:semiHidden/>
    <w:rsid w:val="00861ABD"/>
    <w:rPr>
      <w:b/>
      <w:bCs/>
      <w:sz w:val="20"/>
      <w:szCs w:val="20"/>
    </w:rPr>
  </w:style>
  <w:style w:type="paragraph" w:styleId="ListParagraph">
    <w:name w:val="List Paragraph"/>
    <w:basedOn w:val="Normal"/>
    <w:uiPriority w:val="34"/>
    <w:qFormat/>
    <w:rsid w:val="00C66BED"/>
    <w:pPr>
      <w:ind w:left="720"/>
      <w:contextualSpacing/>
    </w:pPr>
  </w:style>
  <w:style w:type="character" w:styleId="Hyperlink">
    <w:name w:val="Hyperlink"/>
    <w:basedOn w:val="DefaultParagraphFont"/>
    <w:uiPriority w:val="99"/>
    <w:unhideWhenUsed/>
    <w:rsid w:val="007A23DF"/>
    <w:rPr>
      <w:color w:val="0563C1" w:themeColor="hyperlink"/>
      <w:u w:val="single"/>
    </w:rPr>
  </w:style>
  <w:style w:type="character" w:styleId="UnresolvedMention">
    <w:name w:val="Unresolved Mention"/>
    <w:basedOn w:val="DefaultParagraphFont"/>
    <w:uiPriority w:val="99"/>
    <w:semiHidden/>
    <w:unhideWhenUsed/>
    <w:rsid w:val="007A23DF"/>
    <w:rPr>
      <w:color w:val="605E5C"/>
      <w:shd w:val="clear" w:color="auto" w:fill="E1DFDD"/>
    </w:rPr>
  </w:style>
  <w:style w:type="table" w:styleId="TableGrid">
    <w:name w:val="Table Grid"/>
    <w:basedOn w:val="TableNormal"/>
    <w:uiPriority w:val="39"/>
    <w:rsid w:val="00C04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rsid w:val="00C0415B"/>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cf01">
    <w:name w:val="cf01"/>
    <w:basedOn w:val="DefaultParagraphFont"/>
    <w:rsid w:val="005D0EB1"/>
    <w:rPr>
      <w:rFonts w:ascii="Segoe UI" w:hAnsi="Segoe UI" w:cs="Segoe UI" w:hint="default"/>
      <w:color w:val="333333"/>
      <w:sz w:val="18"/>
      <w:szCs w:val="18"/>
    </w:rPr>
  </w:style>
  <w:style w:type="character" w:customStyle="1" w:styleId="cf11">
    <w:name w:val="cf11"/>
    <w:basedOn w:val="DefaultParagraphFont"/>
    <w:rsid w:val="005D0EB1"/>
    <w:rPr>
      <w:rFonts w:ascii="Segoe UI" w:hAnsi="Segoe UI" w:cs="Segoe UI" w:hint="default"/>
      <w:color w:val="333333"/>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68012131">
      <w:bodyDiv w:val="1"/>
      <w:marLeft w:val="0"/>
      <w:marRight w:val="0"/>
      <w:marTop w:val="0"/>
      <w:marBottom w:val="0"/>
      <w:divBdr>
        <w:top w:val="none" w:sz="0" w:space="0" w:color="auto"/>
        <w:left w:val="none" w:sz="0" w:space="0" w:color="auto"/>
        <w:bottom w:val="none" w:sz="0" w:space="0" w:color="auto"/>
        <w:right w:val="none" w:sz="0" w:space="0" w:color="auto"/>
      </w:divBdr>
    </w:div>
    <w:div w:id="788858204">
      <w:bodyDiv w:val="1"/>
      <w:marLeft w:val="0"/>
      <w:marRight w:val="0"/>
      <w:marTop w:val="0"/>
      <w:marBottom w:val="0"/>
      <w:divBdr>
        <w:top w:val="none" w:sz="0" w:space="0" w:color="auto"/>
        <w:left w:val="none" w:sz="0" w:space="0" w:color="auto"/>
        <w:bottom w:val="none" w:sz="0" w:space="0" w:color="auto"/>
        <w:right w:val="none" w:sz="0" w:space="0" w:color="auto"/>
      </w:divBdr>
      <w:divsChild>
        <w:div w:id="613445324">
          <w:marLeft w:val="0"/>
          <w:marRight w:val="0"/>
          <w:marTop w:val="0"/>
          <w:marBottom w:val="0"/>
          <w:divBdr>
            <w:top w:val="none" w:sz="0" w:space="0" w:color="auto"/>
            <w:left w:val="none" w:sz="0" w:space="0" w:color="auto"/>
            <w:bottom w:val="none" w:sz="0" w:space="0" w:color="auto"/>
            <w:right w:val="none" w:sz="0" w:space="0" w:color="auto"/>
          </w:divBdr>
          <w:divsChild>
            <w:div w:id="2028750340">
              <w:marLeft w:val="0"/>
              <w:marRight w:val="0"/>
              <w:marTop w:val="0"/>
              <w:marBottom w:val="0"/>
              <w:divBdr>
                <w:top w:val="none" w:sz="0" w:space="0" w:color="auto"/>
                <w:left w:val="none" w:sz="0" w:space="0" w:color="auto"/>
                <w:bottom w:val="none" w:sz="0" w:space="0" w:color="auto"/>
                <w:right w:val="none" w:sz="0" w:space="0" w:color="auto"/>
              </w:divBdr>
              <w:divsChild>
                <w:div w:id="388499701">
                  <w:marLeft w:val="0"/>
                  <w:marRight w:val="0"/>
                  <w:marTop w:val="0"/>
                  <w:marBottom w:val="0"/>
                  <w:divBdr>
                    <w:top w:val="none" w:sz="0" w:space="0" w:color="auto"/>
                    <w:left w:val="none" w:sz="0" w:space="0" w:color="auto"/>
                    <w:bottom w:val="none" w:sz="0" w:space="0" w:color="auto"/>
                    <w:right w:val="none" w:sz="0" w:space="0" w:color="auto"/>
                  </w:divBdr>
                  <w:divsChild>
                    <w:div w:id="1181705703">
                      <w:marLeft w:val="0"/>
                      <w:marRight w:val="0"/>
                      <w:marTop w:val="120"/>
                      <w:marBottom w:val="0"/>
                      <w:divBdr>
                        <w:top w:val="none" w:sz="0" w:space="0" w:color="auto"/>
                        <w:left w:val="none" w:sz="0" w:space="0" w:color="auto"/>
                        <w:bottom w:val="none" w:sz="0" w:space="0" w:color="auto"/>
                        <w:right w:val="none" w:sz="0" w:space="0" w:color="auto"/>
                      </w:divBdr>
                    </w:div>
                    <w:div w:id="2033916627">
                      <w:marLeft w:val="0"/>
                      <w:marRight w:val="0"/>
                      <w:marTop w:val="0"/>
                      <w:marBottom w:val="0"/>
                      <w:divBdr>
                        <w:top w:val="none" w:sz="0" w:space="0" w:color="auto"/>
                        <w:left w:val="none" w:sz="0" w:space="0" w:color="auto"/>
                        <w:bottom w:val="none" w:sz="0" w:space="0" w:color="auto"/>
                        <w:right w:val="none" w:sz="0" w:space="0" w:color="auto"/>
                      </w:divBdr>
                    </w:div>
                  </w:divsChild>
                </w:div>
                <w:div w:id="2055739581">
                  <w:marLeft w:val="0"/>
                  <w:marRight w:val="0"/>
                  <w:marTop w:val="0"/>
                  <w:marBottom w:val="0"/>
                  <w:divBdr>
                    <w:top w:val="none" w:sz="0" w:space="0" w:color="auto"/>
                    <w:left w:val="none" w:sz="0" w:space="0" w:color="auto"/>
                    <w:bottom w:val="none" w:sz="0" w:space="0" w:color="auto"/>
                    <w:right w:val="none" w:sz="0" w:space="0" w:color="auto"/>
                  </w:divBdr>
                  <w:divsChild>
                    <w:div w:id="769013142">
                      <w:marLeft w:val="0"/>
                      <w:marRight w:val="0"/>
                      <w:marTop w:val="120"/>
                      <w:marBottom w:val="0"/>
                      <w:divBdr>
                        <w:top w:val="none" w:sz="0" w:space="0" w:color="auto"/>
                        <w:left w:val="none" w:sz="0" w:space="0" w:color="auto"/>
                        <w:bottom w:val="none" w:sz="0" w:space="0" w:color="auto"/>
                        <w:right w:val="none" w:sz="0" w:space="0" w:color="auto"/>
                      </w:divBdr>
                    </w:div>
                    <w:div w:id="1693873197">
                      <w:marLeft w:val="0"/>
                      <w:marRight w:val="0"/>
                      <w:marTop w:val="0"/>
                      <w:marBottom w:val="0"/>
                      <w:divBdr>
                        <w:top w:val="none" w:sz="0" w:space="0" w:color="auto"/>
                        <w:left w:val="none" w:sz="0" w:space="0" w:color="auto"/>
                        <w:bottom w:val="none" w:sz="0" w:space="0" w:color="auto"/>
                        <w:right w:val="none" w:sz="0" w:space="0" w:color="auto"/>
                      </w:divBdr>
                    </w:div>
                  </w:divsChild>
                </w:div>
                <w:div w:id="929124919">
                  <w:marLeft w:val="0"/>
                  <w:marRight w:val="0"/>
                  <w:marTop w:val="0"/>
                  <w:marBottom w:val="0"/>
                  <w:divBdr>
                    <w:top w:val="none" w:sz="0" w:space="0" w:color="auto"/>
                    <w:left w:val="none" w:sz="0" w:space="0" w:color="auto"/>
                    <w:bottom w:val="none" w:sz="0" w:space="0" w:color="auto"/>
                    <w:right w:val="none" w:sz="0" w:space="0" w:color="auto"/>
                  </w:divBdr>
                  <w:divsChild>
                    <w:div w:id="408578588">
                      <w:marLeft w:val="0"/>
                      <w:marRight w:val="0"/>
                      <w:marTop w:val="120"/>
                      <w:marBottom w:val="0"/>
                      <w:divBdr>
                        <w:top w:val="none" w:sz="0" w:space="0" w:color="auto"/>
                        <w:left w:val="none" w:sz="0" w:space="0" w:color="auto"/>
                        <w:bottom w:val="none" w:sz="0" w:space="0" w:color="auto"/>
                        <w:right w:val="none" w:sz="0" w:space="0" w:color="auto"/>
                      </w:divBdr>
                    </w:div>
                    <w:div w:id="1220170756">
                      <w:marLeft w:val="0"/>
                      <w:marRight w:val="0"/>
                      <w:marTop w:val="0"/>
                      <w:marBottom w:val="0"/>
                      <w:divBdr>
                        <w:top w:val="none" w:sz="0" w:space="0" w:color="auto"/>
                        <w:left w:val="none" w:sz="0" w:space="0" w:color="auto"/>
                        <w:bottom w:val="none" w:sz="0" w:space="0" w:color="auto"/>
                        <w:right w:val="none" w:sz="0" w:space="0" w:color="auto"/>
                      </w:divBdr>
                    </w:div>
                  </w:divsChild>
                </w:div>
                <w:div w:id="1148210095">
                  <w:marLeft w:val="0"/>
                  <w:marRight w:val="0"/>
                  <w:marTop w:val="0"/>
                  <w:marBottom w:val="0"/>
                  <w:divBdr>
                    <w:top w:val="none" w:sz="0" w:space="0" w:color="auto"/>
                    <w:left w:val="none" w:sz="0" w:space="0" w:color="auto"/>
                    <w:bottom w:val="none" w:sz="0" w:space="0" w:color="auto"/>
                    <w:right w:val="none" w:sz="0" w:space="0" w:color="auto"/>
                  </w:divBdr>
                  <w:divsChild>
                    <w:div w:id="850487153">
                      <w:marLeft w:val="0"/>
                      <w:marRight w:val="0"/>
                      <w:marTop w:val="120"/>
                      <w:marBottom w:val="0"/>
                      <w:divBdr>
                        <w:top w:val="none" w:sz="0" w:space="0" w:color="auto"/>
                        <w:left w:val="none" w:sz="0" w:space="0" w:color="auto"/>
                        <w:bottom w:val="none" w:sz="0" w:space="0" w:color="auto"/>
                        <w:right w:val="none" w:sz="0" w:space="0" w:color="auto"/>
                      </w:divBdr>
                    </w:div>
                    <w:div w:id="192884618">
                      <w:marLeft w:val="0"/>
                      <w:marRight w:val="0"/>
                      <w:marTop w:val="0"/>
                      <w:marBottom w:val="0"/>
                      <w:divBdr>
                        <w:top w:val="none" w:sz="0" w:space="0" w:color="auto"/>
                        <w:left w:val="none" w:sz="0" w:space="0" w:color="auto"/>
                        <w:bottom w:val="none" w:sz="0" w:space="0" w:color="auto"/>
                        <w:right w:val="none" w:sz="0" w:space="0" w:color="auto"/>
                      </w:divBdr>
                    </w:div>
                  </w:divsChild>
                </w:div>
                <w:div w:id="1694187495">
                  <w:marLeft w:val="0"/>
                  <w:marRight w:val="0"/>
                  <w:marTop w:val="0"/>
                  <w:marBottom w:val="0"/>
                  <w:divBdr>
                    <w:top w:val="none" w:sz="0" w:space="0" w:color="auto"/>
                    <w:left w:val="none" w:sz="0" w:space="0" w:color="auto"/>
                    <w:bottom w:val="none" w:sz="0" w:space="0" w:color="auto"/>
                    <w:right w:val="none" w:sz="0" w:space="0" w:color="auto"/>
                  </w:divBdr>
                  <w:divsChild>
                    <w:div w:id="233587554">
                      <w:marLeft w:val="0"/>
                      <w:marRight w:val="0"/>
                      <w:marTop w:val="120"/>
                      <w:marBottom w:val="0"/>
                      <w:divBdr>
                        <w:top w:val="none" w:sz="0" w:space="0" w:color="auto"/>
                        <w:left w:val="none" w:sz="0" w:space="0" w:color="auto"/>
                        <w:bottom w:val="none" w:sz="0" w:space="0" w:color="auto"/>
                        <w:right w:val="none" w:sz="0" w:space="0" w:color="auto"/>
                      </w:divBdr>
                    </w:div>
                    <w:div w:id="419301990">
                      <w:marLeft w:val="0"/>
                      <w:marRight w:val="0"/>
                      <w:marTop w:val="0"/>
                      <w:marBottom w:val="0"/>
                      <w:divBdr>
                        <w:top w:val="none" w:sz="0" w:space="0" w:color="auto"/>
                        <w:left w:val="none" w:sz="0" w:space="0" w:color="auto"/>
                        <w:bottom w:val="none" w:sz="0" w:space="0" w:color="auto"/>
                        <w:right w:val="none" w:sz="0" w:space="0" w:color="auto"/>
                      </w:divBdr>
                    </w:div>
                  </w:divsChild>
                </w:div>
                <w:div w:id="826214996">
                  <w:marLeft w:val="0"/>
                  <w:marRight w:val="0"/>
                  <w:marTop w:val="0"/>
                  <w:marBottom w:val="0"/>
                  <w:divBdr>
                    <w:top w:val="none" w:sz="0" w:space="0" w:color="auto"/>
                    <w:left w:val="none" w:sz="0" w:space="0" w:color="auto"/>
                    <w:bottom w:val="none" w:sz="0" w:space="0" w:color="auto"/>
                    <w:right w:val="none" w:sz="0" w:space="0" w:color="auto"/>
                  </w:divBdr>
                  <w:divsChild>
                    <w:div w:id="616329854">
                      <w:marLeft w:val="0"/>
                      <w:marRight w:val="0"/>
                      <w:marTop w:val="120"/>
                      <w:marBottom w:val="0"/>
                      <w:divBdr>
                        <w:top w:val="none" w:sz="0" w:space="0" w:color="auto"/>
                        <w:left w:val="none" w:sz="0" w:space="0" w:color="auto"/>
                        <w:bottom w:val="none" w:sz="0" w:space="0" w:color="auto"/>
                        <w:right w:val="none" w:sz="0" w:space="0" w:color="auto"/>
                      </w:divBdr>
                    </w:div>
                    <w:div w:id="20403170">
                      <w:marLeft w:val="0"/>
                      <w:marRight w:val="0"/>
                      <w:marTop w:val="0"/>
                      <w:marBottom w:val="0"/>
                      <w:divBdr>
                        <w:top w:val="none" w:sz="0" w:space="0" w:color="auto"/>
                        <w:left w:val="none" w:sz="0" w:space="0" w:color="auto"/>
                        <w:bottom w:val="none" w:sz="0" w:space="0" w:color="auto"/>
                        <w:right w:val="none" w:sz="0" w:space="0" w:color="auto"/>
                      </w:divBdr>
                    </w:div>
                  </w:divsChild>
                </w:div>
                <w:div w:id="949777729">
                  <w:marLeft w:val="0"/>
                  <w:marRight w:val="0"/>
                  <w:marTop w:val="0"/>
                  <w:marBottom w:val="0"/>
                  <w:divBdr>
                    <w:top w:val="none" w:sz="0" w:space="0" w:color="auto"/>
                    <w:left w:val="none" w:sz="0" w:space="0" w:color="auto"/>
                    <w:bottom w:val="none" w:sz="0" w:space="0" w:color="auto"/>
                    <w:right w:val="none" w:sz="0" w:space="0" w:color="auto"/>
                  </w:divBdr>
                  <w:divsChild>
                    <w:div w:id="1147819370">
                      <w:marLeft w:val="0"/>
                      <w:marRight w:val="0"/>
                      <w:marTop w:val="120"/>
                      <w:marBottom w:val="0"/>
                      <w:divBdr>
                        <w:top w:val="none" w:sz="0" w:space="0" w:color="auto"/>
                        <w:left w:val="none" w:sz="0" w:space="0" w:color="auto"/>
                        <w:bottom w:val="none" w:sz="0" w:space="0" w:color="auto"/>
                        <w:right w:val="none" w:sz="0" w:space="0" w:color="auto"/>
                      </w:divBdr>
                    </w:div>
                    <w:div w:id="183448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11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sma.europa.eu/document/indicative-list-financial-instruments"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3.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6030</Words>
  <Characters>3438</Characters>
  <Application>Microsoft Office Word</Application>
  <DocSecurity>0</DocSecurity>
  <Lines>28</Lines>
  <Paragraphs>18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Liene Bergholde</dc:creator>
  <cp:keywords/>
  <dc:description/>
  <cp:lastModifiedBy>Sandis Anderšmits</cp:lastModifiedBy>
  <cp:revision>2</cp:revision>
  <dcterms:created xsi:type="dcterms:W3CDTF">2023-08-28T14:14:00Z</dcterms:created>
  <dcterms:modified xsi:type="dcterms:W3CDTF">2023-08-28T14:14:00Z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