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3A4" w:rsidRPr="006273A4" w:rsidRDefault="006273A4" w:rsidP="006273A4">
      <w:pPr>
        <w:rPr>
          <w:sz w:val="22"/>
          <w:szCs w:val="22"/>
        </w:rPr>
      </w:pPr>
      <w:bookmarkStart w:id="0" w:name="_Toc403946511"/>
      <w:r w:rsidRPr="006273A4">
        <w:rPr>
          <w:b/>
          <w:bCs/>
          <w:sz w:val="22"/>
          <w:szCs w:val="22"/>
          <w:lang w:val="lv-LV"/>
        </w:rPr>
        <w:t>24.07.2018. lēmums par pretcikliskās kapitāla rezerves normas noteikšanu</w:t>
      </w:r>
    </w:p>
    <w:p w:rsidR="006273A4" w:rsidRPr="006273A4" w:rsidRDefault="006273A4" w:rsidP="006273A4">
      <w:pPr>
        <w:rPr>
          <w:sz w:val="22"/>
          <w:szCs w:val="22"/>
        </w:rPr>
      </w:pPr>
      <w:r w:rsidRPr="006273A4">
        <w:rPr>
          <w:b/>
          <w:bCs/>
          <w:sz w:val="22"/>
          <w:szCs w:val="22"/>
          <w:lang w:val="lv-LV"/>
        </w:rPr>
        <w:t>Pretcikliskās kapitāla rezerves (PKR) norma tiek noteikta 0% apmērā. Noteikto PKR normu kredītiestādes specifiskās pretcikliskās kapitāla rezerves aprēķinā izmanto no 2019. gada 1. augusta. Finanšu un kapitāla tirgus komisija (FKTK) lems par nepieciešamību noteikt PKR normu virs 0%, ja Latvijas finanšu sektorā tiks novērots būtisks ciklisko sistēmisko risku pieaugums.</w:t>
      </w:r>
      <w:bookmarkEnd w:id="0"/>
    </w:p>
    <w:p w:rsidR="006273A4" w:rsidRPr="006273A4" w:rsidRDefault="006273A4" w:rsidP="006273A4">
      <w:pPr>
        <w:rPr>
          <w:sz w:val="22"/>
          <w:szCs w:val="22"/>
        </w:rPr>
      </w:pPr>
    </w:p>
    <w:p w:rsidR="006273A4" w:rsidRPr="006273A4" w:rsidRDefault="006273A4" w:rsidP="006273A4">
      <w:pPr>
        <w:rPr>
          <w:sz w:val="22"/>
          <w:szCs w:val="22"/>
        </w:rPr>
      </w:pPr>
      <w:r w:rsidRPr="006273A4">
        <w:rPr>
          <w:sz w:val="22"/>
          <w:szCs w:val="22"/>
          <w:lang w:val="lv-LV"/>
        </w:rPr>
        <w:t>FKTK kā iestāde, kas atbild par PKR normas noteikšanu, saskaņā ar Kredītiestāžu likuma 35.</w:t>
      </w:r>
      <w:r w:rsidRPr="006273A4">
        <w:rPr>
          <w:sz w:val="22"/>
          <w:szCs w:val="22"/>
          <w:vertAlign w:val="superscript"/>
          <w:lang w:val="lv-LV"/>
        </w:rPr>
        <w:t>5</w:t>
      </w:r>
      <w:r w:rsidRPr="006273A4">
        <w:rPr>
          <w:sz w:val="22"/>
          <w:szCs w:val="22"/>
          <w:lang w:val="lv-LV"/>
        </w:rPr>
        <w:t> pantu reizi ceturksnī analizē kredīta atlikuma un iekšzemes kopprodukta (IKP) attiecību, šā rādītāja novirzi no ilgtermiņa tendences, kā arī izvērtē papildu rādītājus, lai pamatotu kārtējo lēmumu par PKR normas noteikšanu.</w:t>
      </w:r>
    </w:p>
    <w:p w:rsidR="006273A4" w:rsidRPr="006273A4" w:rsidRDefault="006273A4" w:rsidP="006273A4">
      <w:pPr>
        <w:rPr>
          <w:sz w:val="22"/>
          <w:szCs w:val="22"/>
        </w:rPr>
      </w:pPr>
      <w:r w:rsidRPr="006273A4">
        <w:rPr>
          <w:sz w:val="22"/>
          <w:szCs w:val="22"/>
          <w:lang w:val="lv-LV"/>
        </w:rPr>
        <w:t>Makrofinansiālā situācija būtiski nav mainījusies kopš iepriekšējā FKTK padomes 24.04.2018. lēmuma par pretcikliskās kapitāla rezerves normu. Izmantojot kredīta plašo definīciju, kredīta atlikuma un IKP attiecība 2018. gada 1. ceturkšņa beigās bija 94%, bet tās novirze no ilgtermiņa tendences bija -34%, kā rezultātā PKR etalonnorma ir 0%. Izmantojot kredīta šauro definīciju, kredīta atlikuma un IKP attiecība 2018. gada 1. ceturkšņa beigās bija 39%, bet tās novirze no ilgtermiņa tendences bija -26%, kā rezultātā arī uz kredīta šaurās definīcijas balstītā PKR etalonnorma bija 0% (sk. attēlu).</w:t>
      </w:r>
    </w:p>
    <w:p w:rsidR="006273A4" w:rsidRPr="006273A4" w:rsidRDefault="006273A4" w:rsidP="006273A4">
      <w:pPr>
        <w:rPr>
          <w:sz w:val="22"/>
          <w:szCs w:val="22"/>
        </w:rPr>
      </w:pPr>
      <w:r w:rsidRPr="006273A4">
        <w:rPr>
          <w:i/>
          <w:iCs/>
          <w:sz w:val="22"/>
          <w:szCs w:val="22"/>
          <w:lang w:val="lv-LV"/>
        </w:rPr>
        <w:t>Kredīta atlikuma un IKP attiecība, tās novirze no ilgtermiņa tendences un PKR etalonnorma, izmantojot kredīta šauro definīciju</w:t>
      </w:r>
    </w:p>
    <w:p w:rsidR="006273A4" w:rsidRPr="006273A4" w:rsidRDefault="006273A4" w:rsidP="006273A4">
      <w:pPr>
        <w:rPr>
          <w:sz w:val="22"/>
          <w:szCs w:val="22"/>
        </w:rPr>
      </w:pPr>
      <w:r w:rsidRPr="006273A4">
        <w:rPr>
          <w:i/>
          <w:iCs/>
          <w:sz w:val="22"/>
          <w:szCs w:val="22"/>
        </w:rPr>
        <w:drawing>
          <wp:inline distT="0" distB="0" distL="0" distR="0" wp14:anchorId="7E150172" wp14:editId="06E57D43">
            <wp:extent cx="5260063" cy="3448995"/>
            <wp:effectExtent l="0" t="0" r="0" b="5715"/>
            <wp:docPr id="12" name="Picture 12" descr="http://www.fktk.lv/uploaded_images/Pict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fktk.lv/uploaded_images/Picture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61390" cy="3449865"/>
                    </a:xfrm>
                    <a:prstGeom prst="rect">
                      <a:avLst/>
                    </a:prstGeom>
                    <a:noFill/>
                    <a:ln>
                      <a:noFill/>
                    </a:ln>
                  </pic:spPr>
                </pic:pic>
              </a:graphicData>
            </a:graphic>
          </wp:inline>
        </w:drawing>
      </w:r>
    </w:p>
    <w:p w:rsidR="006273A4" w:rsidRPr="006273A4" w:rsidRDefault="006273A4" w:rsidP="006273A4">
      <w:pPr>
        <w:rPr>
          <w:sz w:val="22"/>
          <w:szCs w:val="22"/>
        </w:rPr>
      </w:pPr>
      <w:r w:rsidRPr="006273A4">
        <w:rPr>
          <w:iCs/>
          <w:sz w:val="22"/>
          <w:szCs w:val="22"/>
          <w:lang w:val="lv-LV"/>
        </w:rPr>
        <w:t xml:space="preserve">2018. gadā turpinās pozitīva ekonomikas izaugsme, IKP 1. ceturksnī palielinoties par 4.2% (salīdzinot ar iepriekšējā gada 1. ceturksni). Ekonomikas izaugsme 1. ceturksnī sasniegta, neskatoties uz kritumu atsevišķās nozarēs, t.sk. ievērojamu (-27% pret 2017. gada 1. ceturksni) kritumu, ko piedzīvoja finanšu un apdrošināšanas sektors lielā mērā saistībā ar nerezidentu biznesa samazinājumu. </w:t>
      </w:r>
      <w:r w:rsidRPr="006273A4">
        <w:rPr>
          <w:bCs/>
          <w:iCs/>
          <w:sz w:val="22"/>
          <w:szCs w:val="22"/>
          <w:lang w:val="lv-LV"/>
        </w:rPr>
        <w:t xml:space="preserve">Nozaru griezumā straujākais IKP pieaugums bija vērojams būvniecībā (36%), kas saistīts ar </w:t>
      </w:r>
      <w:r w:rsidRPr="006273A4">
        <w:rPr>
          <w:iCs/>
          <w:sz w:val="22"/>
          <w:szCs w:val="22"/>
          <w:lang w:val="lv-LV"/>
        </w:rPr>
        <w:t xml:space="preserve">Eiropas Savienības struktūrfondu inženierbūvju projektu īstenošanu, kā arī ar privātajām investīcijām, t.sk. biroju un tirdzniecības ēku, būvniecībā. 2018. gadā ekonomisko izaugsmi turpinās veicināt gan </w:t>
      </w:r>
      <w:r w:rsidRPr="006273A4">
        <w:rPr>
          <w:bCs/>
          <w:iCs/>
          <w:sz w:val="22"/>
          <w:szCs w:val="22"/>
          <w:lang w:val="lv-LV"/>
        </w:rPr>
        <w:t>pieejamās Eiropas Savienības fondu investīcijas, gan ekonomiskā izaugsme Latvijas eksporta partnervalstīs. Kā būtisks izaugsmes veicinātājs līdzās eksportam un investīcijām saglabāsies privātais patēriņš, kuru veicinās spēcīgais algu pieaugums un bezdarba līmeņa tālāka mazināšanās.</w:t>
      </w:r>
    </w:p>
    <w:p w:rsidR="006273A4" w:rsidRPr="006273A4" w:rsidRDefault="006273A4" w:rsidP="006273A4">
      <w:pPr>
        <w:rPr>
          <w:sz w:val="22"/>
          <w:szCs w:val="22"/>
        </w:rPr>
      </w:pPr>
      <w:r w:rsidRPr="006273A4">
        <w:rPr>
          <w:iCs/>
          <w:sz w:val="22"/>
          <w:szCs w:val="22"/>
          <w:lang w:val="lv-LV"/>
        </w:rPr>
        <w:lastRenderedPageBreak/>
        <w:t>2018. gada 1. ceturksnī turpināja nedaudz palielināties uzņēmumu un mājsaimniecību pieprasījums pēc aizdevumiem. Ir vērojama arī neliela kreditēšanas standartu vājināšanās aizdevumiem mājsaimniecībām mājokļa iegādei, taču pašreizējais kreditēšanas standartu līmenis salīdzinājumā ar to līmeni ilgākā periodā (no 2003.  gada 1. ceturkšņa līdz šim brīdim) joprojām ir vai nu nedaudz, vai ievērojami stingrāks par diapazona viduspunktu. Noturīgs kreditēšanas pieaugums joprojām nav vērojams. 2016. gada otrajā pusgadā un 2017. gada sākumā novērotais nefinanšu sabiedrībām izsniegtā kredītportfeļa atlikuma mērens pieaugums ir apstājies, 2018. gada 1. ceturkšņa beigās uzrādot 3.9% gada samazinājumu. Turklāt, kā liecina Latvijas Komercbanku asociācijas Kreditēšanas indekss</w:t>
      </w:r>
      <w:r w:rsidRPr="006273A4">
        <w:rPr>
          <w:iCs/>
          <w:sz w:val="22"/>
          <w:szCs w:val="22"/>
          <w:vertAlign w:val="superscript"/>
          <w:lang w:val="lv-LV"/>
        </w:rPr>
        <w:footnoteReference w:id="1"/>
      </w:r>
      <w:r w:rsidRPr="006273A4">
        <w:rPr>
          <w:iCs/>
          <w:sz w:val="22"/>
          <w:szCs w:val="22"/>
          <w:vertAlign w:val="superscript"/>
          <w:lang w:val="lv-LV"/>
        </w:rPr>
        <w:t>[1]</w:t>
      </w:r>
      <w:r w:rsidRPr="006273A4">
        <w:rPr>
          <w:iCs/>
          <w:sz w:val="22"/>
          <w:szCs w:val="22"/>
          <w:lang w:val="lv-LV"/>
        </w:rPr>
        <w:t xml:space="preserve">, iedzīvotāji ir piesardzīgi – privātpersonu segmentā spēja aizņemties līdzekļus kopumā ir augstāka nekā vēlme aizņemties. </w:t>
      </w:r>
      <w:bookmarkStart w:id="1" w:name="_Hlk506380766"/>
    </w:p>
    <w:p w:rsidR="006273A4" w:rsidRPr="006273A4" w:rsidRDefault="006273A4" w:rsidP="006273A4">
      <w:pPr>
        <w:rPr>
          <w:sz w:val="22"/>
          <w:szCs w:val="22"/>
        </w:rPr>
      </w:pPr>
      <w:r w:rsidRPr="006273A4">
        <w:rPr>
          <w:iCs/>
          <w:sz w:val="22"/>
          <w:szCs w:val="22"/>
          <w:lang w:val="lv-LV"/>
        </w:rPr>
        <w:t>ABLV Bank AS likvidācija un banku, kas galvenokārt apkalpo ārvalstu klientus, biznesa modeļa maiņa, būtiski neietekmēs finanšu cikla dinamiku, jo šo banku iesaiste darījumos ar iekšzemes klientiem nav liela – noguldījumu īpatsvars kopējos iekšzemes noguldījumos ir 7.3%, un šo banku izsniegto iekšzemes aizdevumu īpatsvars kopējos iekšzemes aizdevumos ir 11.7 % (šā gada maija beigās).</w:t>
      </w:r>
    </w:p>
    <w:p w:rsidR="006273A4" w:rsidRPr="006273A4" w:rsidRDefault="006273A4" w:rsidP="006273A4">
      <w:pPr>
        <w:rPr>
          <w:sz w:val="22"/>
          <w:szCs w:val="22"/>
        </w:rPr>
      </w:pPr>
      <w:r w:rsidRPr="006273A4">
        <w:rPr>
          <w:iCs/>
          <w:sz w:val="22"/>
          <w:szCs w:val="22"/>
          <w:lang w:val="lv-LV"/>
        </w:rPr>
        <w:t>Mājokļu cenu dinamiku turpina ietekmēt mājsaimniecību noskaņojuma un finansiālās situācijas uzlabojums, samazinoties to parāda slogam un pieaugot darba samaksai, kā arī valsts palīdzības programma dzīvojamās telpas iegādei vai būvniecībai ģimenēm ar bērniem un no 2018. gada – jaunajiem speciālistiem, kuriem ir pastāvīgi ienākumi, bet nav pietiekamu uzkrājumu pirmās iemaksas veikšanai.</w:t>
      </w:r>
      <w:bookmarkEnd w:id="1"/>
      <w:r w:rsidRPr="006273A4">
        <w:rPr>
          <w:iCs/>
          <w:sz w:val="22"/>
          <w:szCs w:val="22"/>
          <w:lang w:val="lv-LV"/>
        </w:rPr>
        <w:t xml:space="preserve"> Neskatoties uz cenu pieaugumu mājokļu tirgū, pārkaršanas pazīmes tajā nav novērojamas – mājsaimniecību parāda līmenis ir zems, hipotekārās kreditēšanas dinamika ir gausa, un mājokļu cenu indeksa attiecība pret vidējās neto darba samaksas indeksu saglabājas zem ilgtermiņa tendences. </w:t>
      </w:r>
    </w:p>
    <w:p w:rsidR="006273A4" w:rsidRPr="006273A4" w:rsidRDefault="006273A4" w:rsidP="006273A4">
      <w:pPr>
        <w:rPr>
          <w:sz w:val="22"/>
          <w:szCs w:val="22"/>
        </w:rPr>
      </w:pPr>
      <w:r w:rsidRPr="006273A4">
        <w:rPr>
          <w:iCs/>
          <w:sz w:val="22"/>
          <w:szCs w:val="22"/>
          <w:lang w:val="lv-LV"/>
        </w:rPr>
        <w:t>Tuvākajā un vidēja termiņa nākotnē Latvijas finanšu sektora stabilitātes riski galvenokārt saistīti ar Latvijas ekonomikas atvērtību, ģeopolitiskajiem riskiem, kā arī iespējamo cenu korekciju Skandināvijas valstu nekustamā īpašuma tirgos. Kopumā iekšzemes kredītportfeļa dinamika, mājokļu cenu pieaugums un citi rādītāji norāda, ka finanšu cikls Latvijā atrodas augšupejas fāzes sākumposmā. Novērojamā ekonomiskā izaugsme notiek bez aktīvas kredītiestāžu iesaistes, un rādītāji neliecina par pārmērīgu finanšu nesabalansētības akumulēšanos un nepieciešamību noteikt PKR normu virs 0%. Komisija turpinās analizēt attiecīgos rādītājus un tendences, lemjot par PKR normas noteikšanu turpmākajos ceturkšņos. Komisija lems par nepieciešamību noteikt PKR normu apmērā virs 0%, ja Latvijas finanšu sektorā tiks novērots būtisks ciklisko sistēmisko risku pieaugums.</w:t>
      </w:r>
    </w:p>
    <w:p w:rsidR="006273A4" w:rsidRPr="006273A4" w:rsidRDefault="006273A4" w:rsidP="006273A4">
      <w:r w:rsidRPr="006273A4">
        <w:rPr>
          <w:lang w:val="lv-LV"/>
        </w:rPr>
        <w:t> </w:t>
      </w:r>
    </w:p>
    <w:p w:rsidR="006273A4" w:rsidRPr="006273A4" w:rsidRDefault="006273A4" w:rsidP="006273A4">
      <w:r w:rsidRPr="006273A4">
        <w:br/>
      </w:r>
    </w:p>
    <w:p w:rsidR="006273A4" w:rsidRPr="006273A4" w:rsidRDefault="006273A4" w:rsidP="006273A4">
      <w:r w:rsidRPr="006273A4">
        <w:pict>
          <v:rect id="_x0000_i1037" style="width:142.55pt;height:1pt" o:hrpct="330" o:hrstd="t" o:hr="t" fillcolor="#aaa" stroked="f"/>
        </w:pict>
      </w:r>
    </w:p>
    <w:p w:rsidR="00476A2C" w:rsidRDefault="00476A2C">
      <w:bookmarkStart w:id="2" w:name="_GoBack"/>
      <w:bookmarkEnd w:id="2"/>
    </w:p>
    <w:sectPr w:rsidR="00476A2C" w:rsidSect="006273A4">
      <w:pgSz w:w="11900" w:h="16840"/>
      <w:pgMar w:top="1440" w:right="1800" w:bottom="1440" w:left="1800" w:header="720" w:footer="720" w:gutter="0"/>
      <w:cols w:space="720"/>
      <w:docGrid w:linePitch="360"/>
      <w:printerSettings r:id="rId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3A4" w:rsidRDefault="006273A4" w:rsidP="006273A4">
      <w:r>
        <w:separator/>
      </w:r>
    </w:p>
  </w:endnote>
  <w:endnote w:type="continuationSeparator" w:id="0">
    <w:p w:rsidR="006273A4" w:rsidRDefault="006273A4" w:rsidP="00627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3A4" w:rsidRDefault="006273A4" w:rsidP="006273A4">
      <w:r>
        <w:separator/>
      </w:r>
    </w:p>
  </w:footnote>
  <w:footnote w:type="continuationSeparator" w:id="0">
    <w:p w:rsidR="006273A4" w:rsidRDefault="006273A4" w:rsidP="006273A4">
      <w:r>
        <w:continuationSeparator/>
      </w:r>
    </w:p>
  </w:footnote>
  <w:footnote w:id="1">
    <w:p w:rsidR="006273A4" w:rsidRDefault="006273A4" w:rsidP="006273A4">
      <w:pPr>
        <w:pStyle w:val="FootnoteText"/>
        <w:rPr>
          <w:rFonts w:cs="Times New Roman"/>
        </w:rPr>
      </w:pPr>
      <w:r>
        <w:rPr>
          <w:rStyle w:val="FootnoteReference"/>
          <w:rFonts w:cs="Times New Roman"/>
          <w:lang w:val="lv-LV"/>
        </w:rPr>
        <w:footnoteRef/>
      </w:r>
      <w:r>
        <w:rPr>
          <w:rStyle w:val="FootnoteReference"/>
          <w:rFonts w:eastAsiaTheme="minorHAnsi" w:cs="Times New Roman"/>
          <w:lang w:val="lv-LV"/>
        </w:rPr>
        <w:t>[1]</w:t>
      </w:r>
      <w:r>
        <w:rPr>
          <w:rFonts w:cs="Times New Roman"/>
          <w:lang w:val="lv-LV"/>
        </w:rPr>
        <w:t xml:space="preserve"> </w:t>
      </w:r>
      <w:r>
        <w:rPr>
          <w:rFonts w:cs="Times New Roman"/>
          <w:i/>
          <w:sz w:val="16"/>
          <w:szCs w:val="16"/>
          <w:lang w:val="lv-LV"/>
        </w:rPr>
        <w:t>https://www.lka.org.lv/news/lka-kreditesanas-indekss-banku-gataviba-kreditet-aug-straujak-neka-privatpersonu-velme-aiznemties/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3A4"/>
    <w:rsid w:val="00476A2C"/>
    <w:rsid w:val="006273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F662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273A4"/>
  </w:style>
  <w:style w:type="character" w:customStyle="1" w:styleId="FootnoteTextChar">
    <w:name w:val="Footnote Text Char"/>
    <w:basedOn w:val="DefaultParagraphFont"/>
    <w:link w:val="FootnoteText"/>
    <w:uiPriority w:val="99"/>
    <w:semiHidden/>
    <w:rsid w:val="006273A4"/>
  </w:style>
  <w:style w:type="character" w:styleId="FootnoteReference">
    <w:name w:val="footnote reference"/>
    <w:basedOn w:val="DefaultParagraphFont"/>
    <w:uiPriority w:val="99"/>
    <w:semiHidden/>
    <w:unhideWhenUsed/>
    <w:rsid w:val="006273A4"/>
  </w:style>
  <w:style w:type="paragraph" w:styleId="BalloonText">
    <w:name w:val="Balloon Text"/>
    <w:basedOn w:val="Normal"/>
    <w:link w:val="BalloonTextChar"/>
    <w:uiPriority w:val="99"/>
    <w:semiHidden/>
    <w:unhideWhenUsed/>
    <w:rsid w:val="006273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273A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273A4"/>
  </w:style>
  <w:style w:type="character" w:customStyle="1" w:styleId="FootnoteTextChar">
    <w:name w:val="Footnote Text Char"/>
    <w:basedOn w:val="DefaultParagraphFont"/>
    <w:link w:val="FootnoteText"/>
    <w:uiPriority w:val="99"/>
    <w:semiHidden/>
    <w:rsid w:val="006273A4"/>
  </w:style>
  <w:style w:type="character" w:styleId="FootnoteReference">
    <w:name w:val="footnote reference"/>
    <w:basedOn w:val="DefaultParagraphFont"/>
    <w:uiPriority w:val="99"/>
    <w:semiHidden/>
    <w:unhideWhenUsed/>
    <w:rsid w:val="006273A4"/>
  </w:style>
  <w:style w:type="paragraph" w:styleId="BalloonText">
    <w:name w:val="Balloon Text"/>
    <w:basedOn w:val="Normal"/>
    <w:link w:val="BalloonTextChar"/>
    <w:uiPriority w:val="99"/>
    <w:semiHidden/>
    <w:unhideWhenUsed/>
    <w:rsid w:val="006273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273A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893556">
      <w:bodyDiv w:val="1"/>
      <w:marLeft w:val="0"/>
      <w:marRight w:val="0"/>
      <w:marTop w:val="0"/>
      <w:marBottom w:val="0"/>
      <w:divBdr>
        <w:top w:val="none" w:sz="0" w:space="0" w:color="auto"/>
        <w:left w:val="none" w:sz="0" w:space="0" w:color="auto"/>
        <w:bottom w:val="none" w:sz="0" w:space="0" w:color="auto"/>
        <w:right w:val="none" w:sz="0" w:space="0" w:color="auto"/>
      </w:divBdr>
      <w:divsChild>
        <w:div w:id="1749571424">
          <w:marLeft w:val="0"/>
          <w:marRight w:val="0"/>
          <w:marTop w:val="0"/>
          <w:marBottom w:val="0"/>
          <w:divBdr>
            <w:top w:val="none" w:sz="0" w:space="0" w:color="auto"/>
            <w:left w:val="none" w:sz="0" w:space="0" w:color="auto"/>
            <w:bottom w:val="none" w:sz="0" w:space="0" w:color="auto"/>
            <w:right w:val="none" w:sz="0" w:space="0" w:color="auto"/>
          </w:divBdr>
        </w:div>
      </w:divsChild>
    </w:div>
    <w:div w:id="1977487489">
      <w:bodyDiv w:val="1"/>
      <w:marLeft w:val="0"/>
      <w:marRight w:val="0"/>
      <w:marTop w:val="0"/>
      <w:marBottom w:val="0"/>
      <w:divBdr>
        <w:top w:val="none" w:sz="0" w:space="0" w:color="auto"/>
        <w:left w:val="none" w:sz="0" w:space="0" w:color="auto"/>
        <w:bottom w:val="none" w:sz="0" w:space="0" w:color="auto"/>
        <w:right w:val="none" w:sz="0" w:space="0" w:color="auto"/>
      </w:divBdr>
      <w:divsChild>
        <w:div w:id="64246959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printerSettings" Target="printerSettings/printerSettings1.bin"/><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787</Words>
  <Characters>4488</Characters>
  <Application>Microsoft Macintosh Word</Application>
  <DocSecurity>0</DocSecurity>
  <Lines>37</Lines>
  <Paragraphs>10</Paragraphs>
  <ScaleCrop>false</ScaleCrop>
  <Company/>
  <LinksUpToDate>false</LinksUpToDate>
  <CharactersWithSpaces>5265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 Alksne</dc:creator>
  <cp:keywords/>
  <dc:description/>
  <cp:lastModifiedBy>Aiga Alksne</cp:lastModifiedBy>
  <cp:revision>1</cp:revision>
  <dcterms:created xsi:type="dcterms:W3CDTF">2018-10-31T15:30:00Z</dcterms:created>
  <dcterms:modified xsi:type="dcterms:W3CDTF">2018-10-31T15:34:00Z</dcterms:modified>
</cp:coreProperties>
</file>