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9BD" w:rsidRDefault="00B73137" w:rsidP="00B169BD">
      <w:pPr>
        <w:pStyle w:val="Datums"/>
        <w:spacing w:before="0"/>
      </w:pPr>
      <w:bookmarkStart w:id="0" w:name="_GoBack"/>
      <w:bookmarkEnd w:id="0"/>
      <w:r>
        <w:rPr>
          <w:lang w:val="lv-LV"/>
        </w:rPr>
        <w:t xml:space="preserve">Rīgā </w:t>
      </w:r>
      <w:r w:rsidR="002671C3">
        <w:t>24</w:t>
      </w:r>
      <w:r w:rsidR="00B169BD">
        <w:t>.</w:t>
      </w:r>
      <w:r w:rsidR="002671C3">
        <w:t>01</w:t>
      </w:r>
      <w:r w:rsidR="00B169BD">
        <w:t>.201</w:t>
      </w:r>
      <w:r w:rsidR="002671C3">
        <w:t>7</w:t>
      </w:r>
      <w:r w:rsidR="00FA3214">
        <w:t>.</w:t>
      </w:r>
    </w:p>
    <w:p w:rsidR="00B169BD" w:rsidRDefault="00B169BD" w:rsidP="00B169BD">
      <w:pPr>
        <w:pStyle w:val="Datums"/>
        <w:spacing w:before="0"/>
      </w:pPr>
    </w:p>
    <w:p w:rsidR="002062CF" w:rsidRDefault="002B719B" w:rsidP="002062CF">
      <w:pPr>
        <w:pStyle w:val="BodyText"/>
        <w:tabs>
          <w:tab w:val="left" w:pos="284"/>
        </w:tabs>
        <w:jc w:val="both"/>
        <w:rPr>
          <w:b/>
          <w:sz w:val="28"/>
          <w:szCs w:val="28"/>
        </w:rPr>
      </w:pPr>
      <w:r>
        <w:rPr>
          <w:b/>
          <w:sz w:val="28"/>
          <w:szCs w:val="28"/>
        </w:rPr>
        <w:t>PIELIKUMS</w:t>
      </w:r>
    </w:p>
    <w:p w:rsidR="0020207E" w:rsidRPr="0020207E" w:rsidRDefault="0020207E" w:rsidP="00807BC2">
      <w:pPr>
        <w:pStyle w:val="BodyText"/>
        <w:tabs>
          <w:tab w:val="left" w:pos="284"/>
        </w:tabs>
        <w:jc w:val="both"/>
        <w:rPr>
          <w:b/>
          <w:bCs/>
        </w:rPr>
      </w:pPr>
      <w:r w:rsidRPr="0020207E">
        <w:rPr>
          <w:b/>
          <w:bCs/>
        </w:rPr>
        <w:t>Paziņojums Komisijas tīmekļa vietnē</w:t>
      </w:r>
    </w:p>
    <w:p w:rsidR="0020207E" w:rsidRDefault="0020207E" w:rsidP="0020207E">
      <w:pPr>
        <w:pStyle w:val="BodyText"/>
        <w:tabs>
          <w:tab w:val="left" w:pos="284"/>
        </w:tabs>
        <w:rPr>
          <w:b/>
          <w:bCs/>
          <w:szCs w:val="20"/>
          <w:lang w:eastAsia="ar-SA"/>
        </w:rPr>
      </w:pPr>
    </w:p>
    <w:p w:rsidR="0020207E" w:rsidRPr="0020207E" w:rsidRDefault="0020207E" w:rsidP="0020207E">
      <w:pPr>
        <w:pStyle w:val="BodyText"/>
        <w:tabs>
          <w:tab w:val="left" w:pos="284"/>
        </w:tabs>
        <w:rPr>
          <w:szCs w:val="20"/>
          <w:lang w:eastAsia="ar-SA"/>
        </w:rPr>
      </w:pPr>
      <w:r>
        <w:rPr>
          <w:b/>
          <w:bCs/>
          <w:szCs w:val="20"/>
          <w:lang w:eastAsia="ar-SA"/>
        </w:rPr>
        <w:t>2</w:t>
      </w:r>
      <w:r w:rsidR="002671C3">
        <w:rPr>
          <w:b/>
          <w:bCs/>
          <w:szCs w:val="20"/>
          <w:lang w:eastAsia="ar-SA"/>
        </w:rPr>
        <w:t>4</w:t>
      </w:r>
      <w:r w:rsidRPr="0020207E">
        <w:rPr>
          <w:b/>
          <w:bCs/>
          <w:szCs w:val="20"/>
          <w:lang w:eastAsia="ar-SA"/>
        </w:rPr>
        <w:t>.</w:t>
      </w:r>
      <w:r w:rsidR="00F02345">
        <w:rPr>
          <w:b/>
          <w:bCs/>
          <w:szCs w:val="20"/>
          <w:lang w:eastAsia="ar-SA"/>
        </w:rPr>
        <w:t>0</w:t>
      </w:r>
      <w:r w:rsidR="002671C3">
        <w:rPr>
          <w:b/>
          <w:bCs/>
          <w:szCs w:val="20"/>
          <w:lang w:eastAsia="ar-SA"/>
        </w:rPr>
        <w:t>1</w:t>
      </w:r>
      <w:r w:rsidR="00FA26EE">
        <w:rPr>
          <w:b/>
          <w:bCs/>
          <w:szCs w:val="20"/>
          <w:lang w:eastAsia="ar-SA"/>
        </w:rPr>
        <w:t>.201</w:t>
      </w:r>
      <w:r w:rsidR="002671C3">
        <w:rPr>
          <w:b/>
          <w:bCs/>
          <w:szCs w:val="20"/>
          <w:lang w:eastAsia="ar-SA"/>
        </w:rPr>
        <w:t>7</w:t>
      </w:r>
      <w:r w:rsidR="00FA26EE">
        <w:rPr>
          <w:b/>
          <w:bCs/>
          <w:szCs w:val="20"/>
          <w:lang w:eastAsia="ar-SA"/>
        </w:rPr>
        <w:t>. lēmums par p</w:t>
      </w:r>
      <w:r w:rsidRPr="0020207E">
        <w:rPr>
          <w:b/>
          <w:bCs/>
          <w:szCs w:val="20"/>
          <w:lang w:eastAsia="ar-SA"/>
        </w:rPr>
        <w:t>retcikliskās kapitāla rezerves normas noteikšanu</w:t>
      </w:r>
    </w:p>
    <w:p w:rsidR="0020207E" w:rsidRPr="0020207E" w:rsidRDefault="0020207E" w:rsidP="0020207E">
      <w:pPr>
        <w:pStyle w:val="BodyText"/>
        <w:tabs>
          <w:tab w:val="left" w:pos="284"/>
        </w:tabs>
        <w:jc w:val="both"/>
        <w:rPr>
          <w:szCs w:val="20"/>
          <w:lang w:eastAsia="ar-SA"/>
        </w:rPr>
      </w:pPr>
      <w:r w:rsidRPr="0020207E">
        <w:rPr>
          <w:b/>
          <w:bCs/>
          <w:szCs w:val="20"/>
          <w:lang w:eastAsia="ar-SA"/>
        </w:rPr>
        <w:t>Pretcikliskās kapitāla rezerves (</w:t>
      </w:r>
      <w:r w:rsidR="00FA3214">
        <w:rPr>
          <w:b/>
          <w:bCs/>
          <w:szCs w:val="20"/>
          <w:lang w:eastAsia="ar-SA"/>
        </w:rPr>
        <w:t xml:space="preserve">tālāk tekstā – </w:t>
      </w:r>
      <w:r w:rsidRPr="0020207E">
        <w:rPr>
          <w:b/>
          <w:bCs/>
          <w:szCs w:val="20"/>
          <w:lang w:eastAsia="ar-SA"/>
        </w:rPr>
        <w:t xml:space="preserve">PKR) norma </w:t>
      </w:r>
      <w:r>
        <w:rPr>
          <w:b/>
          <w:bCs/>
          <w:szCs w:val="20"/>
          <w:lang w:eastAsia="ar-SA"/>
        </w:rPr>
        <w:t xml:space="preserve">darījumiem ar Latvijas </w:t>
      </w:r>
      <w:r w:rsidR="009A74C1">
        <w:rPr>
          <w:b/>
          <w:bCs/>
          <w:szCs w:val="20"/>
          <w:lang w:eastAsia="ar-SA"/>
        </w:rPr>
        <w:t xml:space="preserve">Republikas </w:t>
      </w:r>
      <w:r>
        <w:rPr>
          <w:b/>
          <w:bCs/>
          <w:szCs w:val="20"/>
          <w:lang w:eastAsia="ar-SA"/>
        </w:rPr>
        <w:t xml:space="preserve">rezidentiem </w:t>
      </w:r>
      <w:r w:rsidR="00FA26EE" w:rsidRPr="00FA26EE">
        <w:rPr>
          <w:b/>
          <w:bCs/>
          <w:szCs w:val="20"/>
          <w:lang w:eastAsia="ar-SA"/>
        </w:rPr>
        <w:t>no 201</w:t>
      </w:r>
      <w:r w:rsidR="002671C3">
        <w:rPr>
          <w:b/>
          <w:bCs/>
          <w:szCs w:val="20"/>
          <w:lang w:eastAsia="ar-SA"/>
        </w:rPr>
        <w:t>8</w:t>
      </w:r>
      <w:r w:rsidR="00FA26EE" w:rsidRPr="00FA26EE">
        <w:rPr>
          <w:b/>
          <w:bCs/>
          <w:szCs w:val="20"/>
          <w:lang w:eastAsia="ar-SA"/>
        </w:rPr>
        <w:t xml:space="preserve">. gada 1. </w:t>
      </w:r>
      <w:r w:rsidR="002671C3">
        <w:rPr>
          <w:b/>
          <w:bCs/>
          <w:szCs w:val="20"/>
          <w:lang w:eastAsia="ar-SA"/>
        </w:rPr>
        <w:t>februāra</w:t>
      </w:r>
      <w:r w:rsidR="002671C3" w:rsidRPr="00FA26EE">
        <w:rPr>
          <w:b/>
          <w:bCs/>
          <w:szCs w:val="20"/>
          <w:lang w:eastAsia="ar-SA"/>
        </w:rPr>
        <w:t xml:space="preserve"> </w:t>
      </w:r>
      <w:r w:rsidR="00FA26EE">
        <w:rPr>
          <w:b/>
          <w:bCs/>
          <w:szCs w:val="20"/>
          <w:lang w:eastAsia="ar-SA"/>
        </w:rPr>
        <w:t xml:space="preserve">līdz </w:t>
      </w:r>
      <w:r w:rsidR="00EE4B39">
        <w:rPr>
          <w:b/>
          <w:bCs/>
          <w:szCs w:val="20"/>
          <w:lang w:eastAsia="ar-SA"/>
        </w:rPr>
        <w:t>2018. g</w:t>
      </w:r>
      <w:r w:rsidR="00F02345">
        <w:rPr>
          <w:b/>
          <w:bCs/>
          <w:szCs w:val="20"/>
          <w:lang w:eastAsia="ar-SA"/>
        </w:rPr>
        <w:t xml:space="preserve">ada </w:t>
      </w:r>
      <w:r w:rsidR="002671C3">
        <w:rPr>
          <w:b/>
          <w:bCs/>
          <w:szCs w:val="20"/>
          <w:lang w:eastAsia="ar-SA"/>
        </w:rPr>
        <w:t>30</w:t>
      </w:r>
      <w:r w:rsidR="00F02345">
        <w:rPr>
          <w:b/>
          <w:bCs/>
          <w:szCs w:val="20"/>
          <w:lang w:eastAsia="ar-SA"/>
        </w:rPr>
        <w:t xml:space="preserve">. </w:t>
      </w:r>
      <w:r w:rsidR="002671C3">
        <w:rPr>
          <w:b/>
          <w:bCs/>
          <w:szCs w:val="20"/>
          <w:lang w:eastAsia="ar-SA"/>
        </w:rPr>
        <w:t xml:space="preserve">aprīlim </w:t>
      </w:r>
      <w:r w:rsidRPr="0020207E">
        <w:rPr>
          <w:b/>
          <w:bCs/>
          <w:szCs w:val="20"/>
          <w:lang w:eastAsia="ar-SA"/>
        </w:rPr>
        <w:t>tiek noteikta 0% apmērā. Nākamo divu gadu laikā nepieciešamība paaugstināt PKR normu nav paredzama.</w:t>
      </w:r>
    </w:p>
    <w:p w:rsidR="0020207E" w:rsidRPr="0020207E" w:rsidRDefault="0020207E" w:rsidP="0020207E">
      <w:pPr>
        <w:pStyle w:val="BodyText"/>
        <w:tabs>
          <w:tab w:val="left" w:pos="284"/>
        </w:tabs>
        <w:jc w:val="both"/>
        <w:rPr>
          <w:szCs w:val="20"/>
          <w:lang w:eastAsia="ar-SA"/>
        </w:rPr>
      </w:pPr>
      <w:r w:rsidRPr="0020207E">
        <w:rPr>
          <w:szCs w:val="20"/>
          <w:lang w:eastAsia="ar-SA"/>
        </w:rPr>
        <w:t>Saskaņā ar Kredītiestāžu likuma 35</w:t>
      </w:r>
      <w:r w:rsidR="00746058">
        <w:rPr>
          <w:szCs w:val="20"/>
          <w:lang w:eastAsia="ar-SA"/>
        </w:rPr>
        <w:t>.</w:t>
      </w:r>
      <w:r w:rsidRPr="0020207E">
        <w:rPr>
          <w:szCs w:val="20"/>
          <w:vertAlign w:val="superscript"/>
          <w:lang w:eastAsia="ar-SA"/>
        </w:rPr>
        <w:t>5</w:t>
      </w:r>
      <w:r w:rsidRPr="0020207E">
        <w:rPr>
          <w:szCs w:val="20"/>
          <w:lang w:eastAsia="ar-SA"/>
        </w:rPr>
        <w:t xml:space="preserve"> panta pirmo daļu Finanšu un kapitāla tirgus komisija (tālāk tekstā – Komisija) reizi ceturksnī nosaka </w:t>
      </w:r>
      <w:r w:rsidR="00FA3214">
        <w:rPr>
          <w:szCs w:val="20"/>
          <w:lang w:eastAsia="ar-SA"/>
        </w:rPr>
        <w:t>PKR</w:t>
      </w:r>
      <w:r w:rsidRPr="0020207E">
        <w:rPr>
          <w:szCs w:val="20"/>
          <w:lang w:eastAsia="ar-SA"/>
        </w:rPr>
        <w:t xml:space="preserve"> normu, kas attiecināma uz riska darījumiem, kuri noslēgti ar Latvijas Republikas rezidentiem, ņemot vērā:</w:t>
      </w:r>
    </w:p>
    <w:p w:rsidR="0020207E" w:rsidRPr="0020207E" w:rsidRDefault="0020207E" w:rsidP="0020207E">
      <w:pPr>
        <w:pStyle w:val="BodyText"/>
        <w:tabs>
          <w:tab w:val="left" w:pos="284"/>
        </w:tabs>
        <w:jc w:val="both"/>
        <w:rPr>
          <w:szCs w:val="20"/>
          <w:lang w:eastAsia="ar-SA"/>
        </w:rPr>
      </w:pPr>
      <w:r w:rsidRPr="0020207E">
        <w:rPr>
          <w:szCs w:val="20"/>
          <w:lang w:eastAsia="ar-SA"/>
        </w:rPr>
        <w:t>1) attiecīgajam ceturksnim aprēķināto PKR orientieri;</w:t>
      </w:r>
    </w:p>
    <w:p w:rsidR="0020207E" w:rsidRPr="0020207E" w:rsidRDefault="0020207E" w:rsidP="0020207E">
      <w:pPr>
        <w:pStyle w:val="BodyText"/>
        <w:tabs>
          <w:tab w:val="left" w:pos="284"/>
        </w:tabs>
        <w:jc w:val="both"/>
        <w:rPr>
          <w:szCs w:val="20"/>
          <w:lang w:eastAsia="ar-SA"/>
        </w:rPr>
      </w:pPr>
      <w:r w:rsidRPr="0020207E">
        <w:rPr>
          <w:szCs w:val="20"/>
          <w:lang w:eastAsia="ar-SA"/>
        </w:rPr>
        <w:t>2) mainīgos lielumus, kurus tā uzskata par būtiskiem cikliskā sistēmiskā riska novērtēšanai;</w:t>
      </w:r>
    </w:p>
    <w:p w:rsidR="0020207E" w:rsidRPr="0020207E" w:rsidRDefault="0020207E" w:rsidP="0020207E">
      <w:pPr>
        <w:pStyle w:val="BodyText"/>
        <w:tabs>
          <w:tab w:val="left" w:pos="284"/>
        </w:tabs>
        <w:jc w:val="both"/>
        <w:rPr>
          <w:szCs w:val="20"/>
          <w:lang w:eastAsia="ar-SA"/>
        </w:rPr>
      </w:pPr>
      <w:r w:rsidRPr="0020207E">
        <w:rPr>
          <w:szCs w:val="20"/>
          <w:lang w:eastAsia="ar-SA"/>
        </w:rPr>
        <w:t>3) spēkā esošās Eiropas Sistēmisko risku kolēģijas (tālāk tekstā – ESRK) rekomendācijas par PKR normas noteikšanu.</w:t>
      </w:r>
    </w:p>
    <w:p w:rsidR="0020207E" w:rsidRPr="0020207E" w:rsidRDefault="0020207E" w:rsidP="0020207E">
      <w:pPr>
        <w:pStyle w:val="BodyText"/>
        <w:tabs>
          <w:tab w:val="left" w:pos="284"/>
        </w:tabs>
        <w:jc w:val="both"/>
        <w:rPr>
          <w:szCs w:val="20"/>
          <w:lang w:eastAsia="ar-SA"/>
        </w:rPr>
      </w:pPr>
      <w:r w:rsidRPr="0020207E">
        <w:rPr>
          <w:szCs w:val="20"/>
          <w:lang w:eastAsia="ar-SA"/>
        </w:rPr>
        <w:t>PKR orientieri aprēķina, ņemot vērā Latvijas Republikas rezidentiem izsniegto aizdevumu dinamiku un to attiecības pret iekšzemes kopproduktu (</w:t>
      </w:r>
      <w:r w:rsidR="00FA3214">
        <w:rPr>
          <w:szCs w:val="20"/>
          <w:lang w:eastAsia="ar-SA"/>
        </w:rPr>
        <w:t xml:space="preserve">tālāk tekstā – </w:t>
      </w:r>
      <w:r w:rsidRPr="0020207E">
        <w:rPr>
          <w:szCs w:val="20"/>
          <w:lang w:eastAsia="ar-SA"/>
        </w:rPr>
        <w:t>IKP) novirzi no tās ilgtermiņa tendences (t</w:t>
      </w:r>
      <w:r w:rsidR="00FA3214">
        <w:rPr>
          <w:szCs w:val="20"/>
          <w:lang w:eastAsia="ar-SA"/>
        </w:rPr>
        <w:t>āl</w:t>
      </w:r>
      <w:r w:rsidRPr="0020207E">
        <w:rPr>
          <w:szCs w:val="20"/>
          <w:lang w:eastAsia="ar-SA"/>
        </w:rPr>
        <w:t>āk tekstā – kredīta un IKP novirze). </w:t>
      </w:r>
    </w:p>
    <w:p w:rsidR="0020207E" w:rsidRPr="0020207E" w:rsidRDefault="0020207E" w:rsidP="0020207E">
      <w:pPr>
        <w:pStyle w:val="BodyText"/>
        <w:tabs>
          <w:tab w:val="left" w:pos="284"/>
        </w:tabs>
        <w:jc w:val="both"/>
        <w:rPr>
          <w:szCs w:val="20"/>
          <w:lang w:eastAsia="ar-SA"/>
        </w:rPr>
      </w:pPr>
      <w:r w:rsidRPr="0020207E">
        <w:rPr>
          <w:szCs w:val="20"/>
          <w:lang w:eastAsia="ar-SA"/>
        </w:rPr>
        <w:t>Saskaņā ar ESRK rekomendāciju</w:t>
      </w:r>
      <w:r w:rsidR="00052106">
        <w:rPr>
          <w:rStyle w:val="FootnoteReference"/>
          <w:szCs w:val="20"/>
          <w:lang w:eastAsia="ar-SA"/>
        </w:rPr>
        <w:footnoteReference w:id="1"/>
      </w:r>
      <w:r w:rsidRPr="0020207E">
        <w:rPr>
          <w:szCs w:val="20"/>
          <w:lang w:eastAsia="ar-SA"/>
        </w:rPr>
        <w:t>  (tālāk tekstā – Rekomendācija) PKR orientieri ir iespējams aprēķināt</w:t>
      </w:r>
      <w:r w:rsidR="00FA3214">
        <w:rPr>
          <w:szCs w:val="20"/>
          <w:lang w:eastAsia="ar-SA"/>
        </w:rPr>
        <w:t>,</w:t>
      </w:r>
      <w:r w:rsidRPr="0020207E">
        <w:rPr>
          <w:szCs w:val="20"/>
          <w:lang w:eastAsia="ar-SA"/>
        </w:rPr>
        <w:t xml:space="preserve"> izmantojot laikrindas, kas balstās uz "plašo" un "šauro" kredīt</w:t>
      </w:r>
      <w:r w:rsidR="0001074C">
        <w:rPr>
          <w:szCs w:val="20"/>
          <w:lang w:eastAsia="ar-SA"/>
        </w:rPr>
        <w:t>a</w:t>
      </w:r>
      <w:r w:rsidRPr="0020207E">
        <w:rPr>
          <w:szCs w:val="20"/>
          <w:lang w:eastAsia="ar-SA"/>
        </w:rPr>
        <w:t xml:space="preserve"> definīciju. "Plašā" kredīta definīcija  ir kredīt</w:t>
      </w:r>
      <w:r w:rsidR="0001074C">
        <w:rPr>
          <w:szCs w:val="20"/>
          <w:lang w:eastAsia="ar-SA"/>
        </w:rPr>
        <w:t>u</w:t>
      </w:r>
      <w:r w:rsidRPr="0020207E">
        <w:rPr>
          <w:szCs w:val="20"/>
          <w:lang w:eastAsia="ar-SA"/>
        </w:rPr>
        <w:t xml:space="preserve"> vietējam privātajam nefinanšu sektoram  atlikums</w:t>
      </w:r>
      <w:r w:rsidR="004209EF">
        <w:rPr>
          <w:rStyle w:val="FootnoteReference"/>
          <w:szCs w:val="20"/>
          <w:lang w:eastAsia="ar-SA"/>
        </w:rPr>
        <w:footnoteReference w:id="2"/>
      </w:r>
      <w:r w:rsidRPr="0020207E">
        <w:rPr>
          <w:szCs w:val="20"/>
          <w:lang w:eastAsia="ar-SA"/>
        </w:rPr>
        <w:t>. Uz š</w:t>
      </w:r>
      <w:r w:rsidR="0001074C">
        <w:rPr>
          <w:szCs w:val="20"/>
          <w:lang w:eastAsia="ar-SA"/>
        </w:rPr>
        <w:t>o</w:t>
      </w:r>
      <w:r w:rsidRPr="0020207E">
        <w:rPr>
          <w:szCs w:val="20"/>
          <w:lang w:eastAsia="ar-SA"/>
        </w:rPr>
        <w:t xml:space="preserve"> definīcij</w:t>
      </w:r>
      <w:r w:rsidR="0001074C">
        <w:rPr>
          <w:szCs w:val="20"/>
          <w:lang w:eastAsia="ar-SA"/>
        </w:rPr>
        <w:t>u</w:t>
      </w:r>
      <w:r w:rsidRPr="0020207E">
        <w:rPr>
          <w:szCs w:val="20"/>
          <w:lang w:eastAsia="ar-SA"/>
        </w:rPr>
        <w:t xml:space="preserve"> balstīto laikrindu izmanto, lai novērtētu </w:t>
      </w:r>
      <w:r w:rsidRPr="0020207E">
        <w:rPr>
          <w:b/>
          <w:bCs/>
          <w:szCs w:val="20"/>
          <w:lang w:eastAsia="ar-SA"/>
        </w:rPr>
        <w:t>standartizēto kredīta un IKP novirzi.</w:t>
      </w:r>
      <w:r w:rsidRPr="0020207E">
        <w:rPr>
          <w:szCs w:val="20"/>
          <w:lang w:eastAsia="ar-SA"/>
        </w:rPr>
        <w:t> "Šaurā" kredīta definīcija Latvijas gadījumā ir banku kredītu vietējam privātajam nefinanšu sektoram atlikums (tas neietver aizņēmumus no nebanku finanšu institūcijām). Uz š</w:t>
      </w:r>
      <w:r w:rsidR="0001074C">
        <w:rPr>
          <w:szCs w:val="20"/>
          <w:lang w:eastAsia="ar-SA"/>
        </w:rPr>
        <w:t>o</w:t>
      </w:r>
      <w:r w:rsidRPr="0020207E">
        <w:rPr>
          <w:szCs w:val="20"/>
          <w:lang w:eastAsia="ar-SA"/>
        </w:rPr>
        <w:t xml:space="preserve"> definīcij</w:t>
      </w:r>
      <w:r w:rsidR="0001074C">
        <w:rPr>
          <w:szCs w:val="20"/>
          <w:lang w:eastAsia="ar-SA"/>
        </w:rPr>
        <w:t>u</w:t>
      </w:r>
      <w:r w:rsidRPr="0020207E">
        <w:rPr>
          <w:szCs w:val="20"/>
          <w:lang w:eastAsia="ar-SA"/>
        </w:rPr>
        <w:t xml:space="preserve"> balstīto laikrindu izmanto, lai novērtētu </w:t>
      </w:r>
      <w:r w:rsidRPr="0020207E">
        <w:rPr>
          <w:b/>
          <w:bCs/>
          <w:szCs w:val="20"/>
          <w:lang w:eastAsia="ar-SA"/>
        </w:rPr>
        <w:t>papildu kredīta un IKP novirzi. </w:t>
      </w:r>
    </w:p>
    <w:p w:rsidR="00A967B2" w:rsidRPr="00A967B2" w:rsidRDefault="0020207E" w:rsidP="00A967B2">
      <w:pPr>
        <w:pStyle w:val="BodyText"/>
        <w:tabs>
          <w:tab w:val="left" w:pos="284"/>
        </w:tabs>
        <w:jc w:val="both"/>
        <w:rPr>
          <w:szCs w:val="20"/>
          <w:lang w:eastAsia="ar-SA"/>
        </w:rPr>
      </w:pPr>
      <w:r w:rsidRPr="00244120">
        <w:rPr>
          <w:szCs w:val="20"/>
          <w:lang w:eastAsia="ar-SA"/>
        </w:rPr>
        <w:t>Latvijā</w:t>
      </w:r>
      <w:r w:rsidR="0001074C">
        <w:rPr>
          <w:szCs w:val="20"/>
          <w:lang w:eastAsia="ar-SA"/>
        </w:rPr>
        <w:t>,</w:t>
      </w:r>
      <w:r w:rsidRPr="00244120">
        <w:rPr>
          <w:szCs w:val="20"/>
          <w:lang w:eastAsia="ar-SA"/>
        </w:rPr>
        <w:t xml:space="preserve"> </w:t>
      </w:r>
      <w:r w:rsidRPr="00F674A4">
        <w:rPr>
          <w:szCs w:val="20"/>
          <w:lang w:eastAsia="ar-SA"/>
        </w:rPr>
        <w:t>izmantojot "plašo" kredīt</w:t>
      </w:r>
      <w:r w:rsidR="0001074C" w:rsidRPr="00F674A4">
        <w:rPr>
          <w:szCs w:val="20"/>
          <w:lang w:eastAsia="ar-SA"/>
        </w:rPr>
        <w:t>a</w:t>
      </w:r>
      <w:r w:rsidRPr="00F674A4">
        <w:rPr>
          <w:szCs w:val="20"/>
          <w:lang w:eastAsia="ar-SA"/>
        </w:rPr>
        <w:t xml:space="preserve"> definīciju, kredī</w:t>
      </w:r>
      <w:r w:rsidR="00F02345" w:rsidRPr="00F674A4">
        <w:rPr>
          <w:szCs w:val="20"/>
          <w:lang w:eastAsia="ar-SA"/>
        </w:rPr>
        <w:t xml:space="preserve">ta un IKP attiecība 2016. gada </w:t>
      </w:r>
      <w:r w:rsidR="008A750A" w:rsidRPr="00F674A4">
        <w:rPr>
          <w:szCs w:val="20"/>
          <w:lang w:eastAsia="ar-SA"/>
        </w:rPr>
        <w:t>2</w:t>
      </w:r>
      <w:r w:rsidR="003C2450" w:rsidRPr="00F674A4">
        <w:rPr>
          <w:szCs w:val="20"/>
          <w:lang w:eastAsia="ar-SA"/>
        </w:rPr>
        <w:t xml:space="preserve">. ceturksnī bija </w:t>
      </w:r>
      <w:r w:rsidR="008A750A" w:rsidRPr="00F674A4">
        <w:rPr>
          <w:szCs w:val="20"/>
          <w:lang w:eastAsia="ar-SA"/>
        </w:rPr>
        <w:t>99</w:t>
      </w:r>
      <w:r w:rsidRPr="00F674A4">
        <w:rPr>
          <w:szCs w:val="20"/>
          <w:lang w:eastAsia="ar-SA"/>
        </w:rPr>
        <w:t>%, bet tās standartizētā novirze bija -</w:t>
      </w:r>
      <w:r w:rsidR="00F02345" w:rsidRPr="00F674A4">
        <w:rPr>
          <w:szCs w:val="20"/>
          <w:lang w:eastAsia="ar-SA"/>
        </w:rPr>
        <w:t>3</w:t>
      </w:r>
      <w:r w:rsidR="00F674A4" w:rsidRPr="007702F3">
        <w:rPr>
          <w:szCs w:val="20"/>
          <w:lang w:eastAsia="ar-SA"/>
        </w:rPr>
        <w:t>8</w:t>
      </w:r>
      <w:r w:rsidRPr="00F674A4">
        <w:rPr>
          <w:szCs w:val="20"/>
          <w:lang w:eastAsia="ar-SA"/>
        </w:rPr>
        <w:t>%.</w:t>
      </w:r>
      <w:r w:rsidR="000D0311" w:rsidRPr="00F674A4">
        <w:rPr>
          <w:rStyle w:val="FootnoteReference"/>
          <w:szCs w:val="20"/>
          <w:lang w:eastAsia="ar-SA"/>
        </w:rPr>
        <w:footnoteReference w:id="3"/>
      </w:r>
      <w:r w:rsidRPr="00F674A4">
        <w:rPr>
          <w:szCs w:val="20"/>
          <w:lang w:eastAsia="ar-SA"/>
        </w:rPr>
        <w:t xml:space="preserve">  Ja kredīta un IKP attiecība par 2 procentu punktiem pārsniedz ilgtermiņa tendenci, tad PKR etalonnorma lineāri  pieaug no nulles līdz augšējai robežai 2.5% apmērā no riska svērto aktīvu apjoma, kad kredīta un IKP novirze sasniedz 10 procentu p</w:t>
      </w:r>
      <w:r w:rsidR="00244120" w:rsidRPr="00F674A4">
        <w:rPr>
          <w:szCs w:val="20"/>
          <w:lang w:eastAsia="ar-SA"/>
        </w:rPr>
        <w:t>unktus. Pastāvot -3</w:t>
      </w:r>
      <w:r w:rsidR="00F674A4" w:rsidRPr="007702F3">
        <w:rPr>
          <w:szCs w:val="20"/>
          <w:lang w:eastAsia="ar-SA"/>
        </w:rPr>
        <w:t>8</w:t>
      </w:r>
      <w:r w:rsidRPr="00F674A4">
        <w:rPr>
          <w:szCs w:val="20"/>
          <w:lang w:eastAsia="ar-SA"/>
        </w:rPr>
        <w:t>% novirzei, PKR</w:t>
      </w:r>
      <w:r w:rsidRPr="00244120">
        <w:rPr>
          <w:szCs w:val="20"/>
          <w:lang w:eastAsia="ar-SA"/>
        </w:rPr>
        <w:t xml:space="preserve"> </w:t>
      </w:r>
      <w:proofErr w:type="spellStart"/>
      <w:r w:rsidRPr="00244120">
        <w:rPr>
          <w:szCs w:val="20"/>
          <w:lang w:eastAsia="ar-SA"/>
        </w:rPr>
        <w:t>etalonnorma</w:t>
      </w:r>
      <w:proofErr w:type="spellEnd"/>
      <w:r w:rsidRPr="00244120">
        <w:rPr>
          <w:szCs w:val="20"/>
          <w:lang w:eastAsia="ar-SA"/>
        </w:rPr>
        <w:t xml:space="preserve"> ir 0%.</w:t>
      </w:r>
      <w:r w:rsidR="002B271C">
        <w:rPr>
          <w:szCs w:val="20"/>
          <w:lang w:eastAsia="ar-SA"/>
        </w:rPr>
        <w:t xml:space="preserve"> </w:t>
      </w:r>
      <w:r w:rsidRPr="00CB1D1B">
        <w:rPr>
          <w:szCs w:val="20"/>
          <w:lang w:eastAsia="ar-SA"/>
        </w:rPr>
        <w:t>Izmantojot "šauro" kredīt</w:t>
      </w:r>
      <w:r w:rsidR="0001074C" w:rsidRPr="00CB1D1B">
        <w:rPr>
          <w:szCs w:val="20"/>
          <w:lang w:eastAsia="ar-SA"/>
        </w:rPr>
        <w:t>a</w:t>
      </w:r>
      <w:r w:rsidRPr="00CB1D1B">
        <w:rPr>
          <w:szCs w:val="20"/>
          <w:lang w:eastAsia="ar-SA"/>
        </w:rPr>
        <w:t xml:space="preserve"> definīcij</w:t>
      </w:r>
      <w:r w:rsidR="003C2450" w:rsidRPr="00CB1D1B">
        <w:rPr>
          <w:szCs w:val="20"/>
          <w:lang w:eastAsia="ar-SA"/>
        </w:rPr>
        <w:t>u, kredīt</w:t>
      </w:r>
      <w:r w:rsidR="00CB1D1B" w:rsidRPr="00CB1D1B">
        <w:rPr>
          <w:szCs w:val="20"/>
          <w:lang w:eastAsia="ar-SA"/>
        </w:rPr>
        <w:t>u atlikuma</w:t>
      </w:r>
      <w:proofErr w:type="gramStart"/>
      <w:r w:rsidR="00CB1D1B" w:rsidRPr="00CB1D1B">
        <w:rPr>
          <w:szCs w:val="20"/>
          <w:lang w:eastAsia="ar-SA"/>
        </w:rPr>
        <w:t xml:space="preserve"> </w:t>
      </w:r>
      <w:r w:rsidR="003C2450" w:rsidRPr="00CB1D1B">
        <w:rPr>
          <w:szCs w:val="20"/>
          <w:lang w:eastAsia="ar-SA"/>
        </w:rPr>
        <w:t xml:space="preserve"> </w:t>
      </w:r>
      <w:proofErr w:type="gramEnd"/>
      <w:r w:rsidR="003C2450" w:rsidRPr="00CB1D1B">
        <w:rPr>
          <w:szCs w:val="20"/>
          <w:lang w:eastAsia="ar-SA"/>
        </w:rPr>
        <w:t>un IKP attiecība 2016</w:t>
      </w:r>
      <w:r w:rsidRPr="00CB1D1B">
        <w:rPr>
          <w:szCs w:val="20"/>
          <w:lang w:eastAsia="ar-SA"/>
        </w:rPr>
        <w:t xml:space="preserve">. gada </w:t>
      </w:r>
      <w:r w:rsidR="00D630B9" w:rsidRPr="00CB1D1B">
        <w:rPr>
          <w:szCs w:val="20"/>
          <w:lang w:eastAsia="ar-SA"/>
        </w:rPr>
        <w:t>3</w:t>
      </w:r>
      <w:r w:rsidR="00244120" w:rsidRPr="00CB1D1B">
        <w:rPr>
          <w:szCs w:val="20"/>
          <w:lang w:eastAsia="ar-SA"/>
        </w:rPr>
        <w:t>. ceturksnī bija 45</w:t>
      </w:r>
      <w:r w:rsidRPr="00CB1D1B">
        <w:rPr>
          <w:szCs w:val="20"/>
          <w:lang w:eastAsia="ar-SA"/>
        </w:rPr>
        <w:t>%, b</w:t>
      </w:r>
      <w:r w:rsidR="00244120" w:rsidRPr="00CB1D1B">
        <w:rPr>
          <w:szCs w:val="20"/>
          <w:lang w:eastAsia="ar-SA"/>
        </w:rPr>
        <w:t>et tās papildu novirze bija -</w:t>
      </w:r>
      <w:r w:rsidR="00D630B9" w:rsidRPr="00CB1D1B">
        <w:rPr>
          <w:szCs w:val="20"/>
          <w:lang w:eastAsia="ar-SA"/>
        </w:rPr>
        <w:t>29</w:t>
      </w:r>
      <w:r w:rsidRPr="00CB1D1B">
        <w:rPr>
          <w:szCs w:val="20"/>
          <w:lang w:eastAsia="ar-SA"/>
        </w:rPr>
        <w:t>%</w:t>
      </w:r>
      <w:r w:rsidR="004A6AA0" w:rsidRPr="00CB1D1B">
        <w:rPr>
          <w:rStyle w:val="FootnoteReference"/>
          <w:szCs w:val="20"/>
          <w:lang w:eastAsia="ar-SA"/>
        </w:rPr>
        <w:footnoteReference w:id="4"/>
      </w:r>
      <w:r w:rsidRPr="00CB1D1B">
        <w:rPr>
          <w:szCs w:val="20"/>
          <w:lang w:eastAsia="ar-SA"/>
        </w:rPr>
        <w:t xml:space="preserve">, kā rezultātā uz papildu kredīta un IKP novirzi balstītā PKR etalonnorma bija 0%. Saskaņā ar </w:t>
      </w:r>
      <w:r w:rsidRPr="00CB1D1B">
        <w:rPr>
          <w:szCs w:val="20"/>
          <w:lang w:eastAsia="ar-SA"/>
        </w:rPr>
        <w:lastRenderedPageBreak/>
        <w:t>Rekomendāciju par PKR orientieri tiek izvēlēta tā PKR etalonnorma, kas vislabāk atspoguļo nacionālās ekonomikas īpatnības. Latvijas gadījumā PKR etalonnorma, kas aprēķināta</w:t>
      </w:r>
      <w:r w:rsidR="00FA3214" w:rsidRPr="00CB1D1B">
        <w:rPr>
          <w:szCs w:val="20"/>
          <w:lang w:eastAsia="ar-SA"/>
        </w:rPr>
        <w:t>,</w:t>
      </w:r>
      <w:r w:rsidRPr="00CB1D1B">
        <w:rPr>
          <w:szCs w:val="20"/>
          <w:lang w:eastAsia="ar-SA"/>
        </w:rPr>
        <w:t xml:space="preserve"> balstoties uz "šauro" kredīta definīciju</w:t>
      </w:r>
      <w:r w:rsidR="00FA3214" w:rsidRPr="00CB1D1B">
        <w:rPr>
          <w:szCs w:val="20"/>
          <w:lang w:eastAsia="ar-SA"/>
        </w:rPr>
        <w:t>,</w:t>
      </w:r>
      <w:r w:rsidRPr="00CB1D1B">
        <w:rPr>
          <w:szCs w:val="20"/>
          <w:lang w:eastAsia="ar-SA"/>
        </w:rPr>
        <w:t xml:space="preserve"> sniedz pamatotākus rezultātus</w:t>
      </w:r>
      <w:r w:rsidR="00FA3214" w:rsidRPr="00CB1D1B">
        <w:rPr>
          <w:szCs w:val="20"/>
          <w:lang w:eastAsia="ar-SA"/>
        </w:rPr>
        <w:t>,</w:t>
      </w:r>
      <w:r w:rsidRPr="00CB1D1B">
        <w:rPr>
          <w:szCs w:val="20"/>
          <w:lang w:eastAsia="ar-SA"/>
        </w:rPr>
        <w:t xml:space="preserve"> nekā izmantojot "plašo" kredīt</w:t>
      </w:r>
      <w:r w:rsidR="0001074C" w:rsidRPr="00CB1D1B">
        <w:rPr>
          <w:szCs w:val="20"/>
          <w:lang w:eastAsia="ar-SA"/>
        </w:rPr>
        <w:t>a</w:t>
      </w:r>
      <w:r w:rsidRPr="00CB1D1B">
        <w:rPr>
          <w:szCs w:val="20"/>
          <w:lang w:eastAsia="ar-SA"/>
        </w:rPr>
        <w:t xml:space="preserve"> definīciju. "Šaurās"</w:t>
      </w:r>
      <w:r w:rsidR="00C866ED" w:rsidRPr="00CB1D1B">
        <w:rPr>
          <w:szCs w:val="20"/>
          <w:lang w:eastAsia="ar-SA"/>
        </w:rPr>
        <w:t xml:space="preserve"> kredīta</w:t>
      </w:r>
      <w:r w:rsidRPr="00CB1D1B">
        <w:rPr>
          <w:szCs w:val="20"/>
          <w:lang w:eastAsia="ar-SA"/>
        </w:rPr>
        <w:t xml:space="preserve"> definīcijas kredītu laikrindas dati ir stabilāki (tie netiek retrospektīvi koriģēti) un ir operatīvāk pieejami. Līdz ar to Latvijas gadījumā par PKR orientieri tiek pieņemta PKR etalonnorma, kas aprēķināta no papildu kreditēšanas un IKP novirzes.</w:t>
      </w:r>
      <w:r w:rsidR="00A967B2">
        <w:rPr>
          <w:szCs w:val="20"/>
          <w:lang w:eastAsia="ar-SA"/>
        </w:rPr>
        <w:t xml:space="preserve"> Kopumā var secināt, ka k</w:t>
      </w:r>
      <w:r w:rsidR="00A967B2" w:rsidRPr="00A967B2">
        <w:rPr>
          <w:szCs w:val="20"/>
          <w:lang w:eastAsia="ar-SA"/>
        </w:rPr>
        <w:t>redītu atlikuma un IKP attiecības kritums, kas bija novērojams kopš 2010. gada beigām, 2016. gadā ir apstājies, taču šī rādītāja novirze no ilgtermiņa tendences joprojām saglabājas ievērojami negatīva.</w:t>
      </w:r>
      <w:proofErr w:type="gramStart"/>
      <w:r w:rsidR="00A967B2" w:rsidRPr="00A967B2">
        <w:rPr>
          <w:szCs w:val="20"/>
          <w:lang w:eastAsia="ar-SA"/>
        </w:rPr>
        <w:t xml:space="preserve">  </w:t>
      </w:r>
      <w:proofErr w:type="gramEnd"/>
    </w:p>
    <w:p w:rsidR="00554D47" w:rsidRPr="00244120" w:rsidRDefault="0020207E" w:rsidP="0020207E">
      <w:pPr>
        <w:pStyle w:val="BodyText"/>
        <w:tabs>
          <w:tab w:val="left" w:pos="284"/>
        </w:tabs>
        <w:jc w:val="both"/>
        <w:rPr>
          <w:szCs w:val="20"/>
          <w:lang w:eastAsia="ar-SA"/>
        </w:rPr>
      </w:pPr>
      <w:r w:rsidRPr="00244120">
        <w:rPr>
          <w:szCs w:val="20"/>
          <w:lang w:eastAsia="ar-SA"/>
        </w:rPr>
        <w:t>Kopumā indikatori</w:t>
      </w:r>
      <w:r w:rsidR="00FA3214">
        <w:rPr>
          <w:szCs w:val="20"/>
          <w:lang w:eastAsia="ar-SA"/>
        </w:rPr>
        <w:t>,</w:t>
      </w:r>
      <w:r w:rsidRPr="00244120">
        <w:rPr>
          <w:szCs w:val="20"/>
          <w:lang w:eastAsia="ar-SA"/>
        </w:rPr>
        <w:t xml:space="preserve"> </w:t>
      </w:r>
      <w:r w:rsidR="00554D47" w:rsidRPr="00244120">
        <w:rPr>
          <w:szCs w:val="20"/>
          <w:lang w:eastAsia="ar-SA"/>
        </w:rPr>
        <w:t xml:space="preserve">kas tiek izmantoti, nosakot </w:t>
      </w:r>
      <w:proofErr w:type="spellStart"/>
      <w:r w:rsidR="00554D47" w:rsidRPr="00244120">
        <w:rPr>
          <w:szCs w:val="20"/>
          <w:lang w:eastAsia="ar-SA"/>
        </w:rPr>
        <w:t>pretcikliskās</w:t>
      </w:r>
      <w:proofErr w:type="spellEnd"/>
      <w:r w:rsidR="00F6670B">
        <w:rPr>
          <w:szCs w:val="20"/>
          <w:lang w:eastAsia="ar-SA"/>
        </w:rPr>
        <w:t xml:space="preserve"> </w:t>
      </w:r>
      <w:r w:rsidR="00554D47" w:rsidRPr="00244120">
        <w:rPr>
          <w:szCs w:val="20"/>
          <w:lang w:eastAsia="ar-SA"/>
        </w:rPr>
        <w:t xml:space="preserve">rezerves normu, neliecina par ciklisko sistēmisko risku pieaugumu finanšu sektorā. </w:t>
      </w:r>
    </w:p>
    <w:p w:rsidR="008A750A" w:rsidRPr="008A750A" w:rsidRDefault="008A750A" w:rsidP="007702F3">
      <w:pPr>
        <w:pStyle w:val="BodyText"/>
        <w:tabs>
          <w:tab w:val="left" w:pos="284"/>
        </w:tabs>
        <w:jc w:val="both"/>
        <w:rPr>
          <w:szCs w:val="20"/>
          <w:lang w:eastAsia="ar-SA"/>
        </w:rPr>
      </w:pPr>
      <w:r w:rsidRPr="008A750A">
        <w:rPr>
          <w:szCs w:val="20"/>
          <w:lang w:eastAsia="ar-SA"/>
        </w:rPr>
        <w:t xml:space="preserve">Kopš 2016. gada sākuma </w:t>
      </w:r>
      <w:r w:rsidR="00F6670B" w:rsidRPr="008A750A">
        <w:rPr>
          <w:szCs w:val="20"/>
          <w:lang w:eastAsia="ar-SA"/>
        </w:rPr>
        <w:t xml:space="preserve">kreditēšanā </w:t>
      </w:r>
      <w:r w:rsidRPr="008A750A">
        <w:rPr>
          <w:szCs w:val="20"/>
          <w:lang w:eastAsia="ar-SA"/>
        </w:rPr>
        <w:t>ir vērojamas skaidras pozitīvas tendences. Lai gan mājsaimniecību kredītportfelis vēl samazinās, taču tā sarukuma temps ir ievērojami palēninājies. Savukārt nefinanšu sabiedrībām izsniegtā kredītportfeļa atlikums jau nedaudz pieaudzis</w:t>
      </w:r>
      <w:r w:rsidR="00F6670B">
        <w:rPr>
          <w:szCs w:val="20"/>
          <w:lang w:eastAsia="ar-SA"/>
        </w:rPr>
        <w:t>,</w:t>
      </w:r>
      <w:r w:rsidRPr="008A750A">
        <w:rPr>
          <w:szCs w:val="20"/>
          <w:lang w:eastAsia="ar-SA"/>
        </w:rPr>
        <w:t xml:space="preserve"> salīdzinot ar tā līmeni pirms gada.</w:t>
      </w:r>
      <w:proofErr w:type="gramStart"/>
      <w:r w:rsidRPr="008A750A">
        <w:rPr>
          <w:szCs w:val="20"/>
          <w:lang w:eastAsia="ar-SA"/>
        </w:rPr>
        <w:t xml:space="preserve">  </w:t>
      </w:r>
      <w:proofErr w:type="gramEnd"/>
      <w:r w:rsidRPr="008A750A">
        <w:rPr>
          <w:szCs w:val="20"/>
          <w:lang w:eastAsia="ar-SA"/>
        </w:rPr>
        <w:t>Kopumā banku sektora kredīt</w:t>
      </w:r>
      <w:r w:rsidR="00F6670B">
        <w:rPr>
          <w:szCs w:val="20"/>
          <w:lang w:eastAsia="ar-SA"/>
        </w:rPr>
        <w:t>u</w:t>
      </w:r>
      <w:r w:rsidRPr="008A750A">
        <w:rPr>
          <w:szCs w:val="20"/>
          <w:lang w:eastAsia="ar-SA"/>
        </w:rPr>
        <w:t xml:space="preserve"> privātajam nefinanšu sektoram atlikums 2016. gada 3. ceturksnī pret 2015. gada  3. ceturksni vēl uzrāda kritumu (-1.2%), taču pret 2015. gada beigām – jau nelielu pieaugumu (0.6%). </w:t>
      </w:r>
    </w:p>
    <w:p w:rsidR="008A750A" w:rsidRPr="008A750A" w:rsidRDefault="008A750A" w:rsidP="007702F3">
      <w:pPr>
        <w:pStyle w:val="BodyText"/>
        <w:tabs>
          <w:tab w:val="left" w:pos="284"/>
        </w:tabs>
        <w:jc w:val="both"/>
        <w:rPr>
          <w:szCs w:val="20"/>
          <w:lang w:eastAsia="ar-SA"/>
        </w:rPr>
      </w:pPr>
      <w:r w:rsidRPr="00CB1D1B">
        <w:rPr>
          <w:szCs w:val="20"/>
          <w:lang w:eastAsia="ar-SA"/>
        </w:rPr>
        <w:t>Kopš 2015. gada gan mājokļ</w:t>
      </w:r>
      <w:r w:rsidR="00F6670B" w:rsidRPr="00CB1D1B">
        <w:rPr>
          <w:szCs w:val="20"/>
          <w:lang w:eastAsia="ar-SA"/>
        </w:rPr>
        <w:t>u</w:t>
      </w:r>
      <w:r w:rsidRPr="00CB1D1B">
        <w:rPr>
          <w:szCs w:val="20"/>
          <w:lang w:eastAsia="ar-SA"/>
        </w:rPr>
        <w:t xml:space="preserve"> cenas, gan darījumu skaits nekustamā īpašuma nozarē turpina stabili pieaugt, pieauguma tempam paātrinoties </w:t>
      </w:r>
      <w:r w:rsidR="00F6670B" w:rsidRPr="00CB1D1B">
        <w:rPr>
          <w:szCs w:val="20"/>
          <w:lang w:eastAsia="ar-SA"/>
        </w:rPr>
        <w:t>2016. gada</w:t>
      </w:r>
      <w:r w:rsidRPr="00CB1D1B">
        <w:rPr>
          <w:szCs w:val="20"/>
          <w:lang w:eastAsia="ar-SA"/>
        </w:rPr>
        <w:t xml:space="preserve"> otrajā pusgadā. Straujāks cenu pieaugums 2016.</w:t>
      </w:r>
      <w:r w:rsidR="00F6670B" w:rsidRPr="00CB1D1B">
        <w:rPr>
          <w:szCs w:val="20"/>
          <w:lang w:eastAsia="ar-SA"/>
        </w:rPr>
        <w:t xml:space="preserve"> </w:t>
      </w:r>
      <w:r w:rsidRPr="00CB1D1B">
        <w:rPr>
          <w:szCs w:val="20"/>
          <w:lang w:eastAsia="ar-SA"/>
        </w:rPr>
        <w:t>gadā daļēji ir izskaidrojams ar bāzes efektu, kas saistās ar mājokļu cenu kritumu 2014.</w:t>
      </w:r>
      <w:r w:rsidR="00F6670B" w:rsidRPr="00CB1D1B">
        <w:rPr>
          <w:szCs w:val="20"/>
          <w:lang w:eastAsia="ar-SA"/>
        </w:rPr>
        <w:t> </w:t>
      </w:r>
      <w:r w:rsidRPr="00CB1D1B">
        <w:rPr>
          <w:szCs w:val="20"/>
          <w:lang w:eastAsia="ar-SA"/>
        </w:rPr>
        <w:t>gada beigās un tam sekojošu zemo līmeni 2015. gadā. Taču mājokļu cenu dinamiku ietekmē arī mājsaimniecību finansiālās situācijas uzlabojums, ievērojami samazinoties to parāda slogam un pieaugot darba samaksai, kā arī kredītu pieejamības uzlabojums saistībā ar valsts atbalsta programmu mājokļa iegādei. Nefinanšu sabiedrību un mājsaimniecību parāda apkalpošanas izdevumi kopš 2015. gada beigām ir nostabilizējušies vēsturiski zemākajā līmenī – 1.5% no IKP.</w:t>
      </w:r>
      <w:r w:rsidRPr="008A750A">
        <w:rPr>
          <w:szCs w:val="20"/>
          <w:lang w:eastAsia="ar-SA"/>
        </w:rPr>
        <w:t xml:space="preserve"> </w:t>
      </w:r>
    </w:p>
    <w:p w:rsidR="008A750A" w:rsidRPr="008A750A" w:rsidRDefault="008A750A" w:rsidP="007702F3">
      <w:pPr>
        <w:pStyle w:val="BodyText"/>
        <w:tabs>
          <w:tab w:val="left" w:pos="284"/>
        </w:tabs>
        <w:jc w:val="both"/>
        <w:rPr>
          <w:szCs w:val="20"/>
          <w:lang w:eastAsia="ar-SA"/>
        </w:rPr>
      </w:pPr>
      <w:r w:rsidRPr="008A750A">
        <w:rPr>
          <w:szCs w:val="20"/>
          <w:lang w:eastAsia="ar-SA"/>
        </w:rPr>
        <w:t xml:space="preserve">2016. gadā Latvijas ekonomiskais </w:t>
      </w:r>
      <w:r w:rsidRPr="00E26B0A">
        <w:rPr>
          <w:szCs w:val="20"/>
          <w:lang w:eastAsia="ar-SA"/>
        </w:rPr>
        <w:t xml:space="preserve">pieaugums bija </w:t>
      </w:r>
      <w:r w:rsidR="00E26B0A" w:rsidRPr="00E26B0A">
        <w:rPr>
          <w:szCs w:val="20"/>
          <w:lang w:eastAsia="ar-SA"/>
        </w:rPr>
        <w:t xml:space="preserve">lēnākais </w:t>
      </w:r>
      <w:r w:rsidRPr="00E26B0A">
        <w:rPr>
          <w:szCs w:val="20"/>
          <w:lang w:eastAsia="ar-SA"/>
        </w:rPr>
        <w:t xml:space="preserve">kopš 2010. gada – gada, kurš iezīmēja Latvijas finanšu krīzes beigas. Iekšzemes tautsaimniecības attīstības palēnināšanos ietekmēja vairāki </w:t>
      </w:r>
      <w:r w:rsidR="00525044" w:rsidRPr="00E26B0A">
        <w:rPr>
          <w:szCs w:val="20"/>
          <w:lang w:eastAsia="ar-SA"/>
        </w:rPr>
        <w:t xml:space="preserve">nelabvēlīgi </w:t>
      </w:r>
      <w:r w:rsidRPr="00E26B0A">
        <w:rPr>
          <w:szCs w:val="20"/>
          <w:lang w:eastAsia="ar-SA"/>
        </w:rPr>
        <w:t>ārējās vides faktori, kā arī pārrāvums E</w:t>
      </w:r>
      <w:r w:rsidR="00525044" w:rsidRPr="00E26B0A">
        <w:rPr>
          <w:szCs w:val="20"/>
          <w:lang w:eastAsia="ar-SA"/>
        </w:rPr>
        <w:t xml:space="preserve">iropas </w:t>
      </w:r>
      <w:r w:rsidRPr="00E26B0A">
        <w:rPr>
          <w:szCs w:val="20"/>
          <w:lang w:eastAsia="ar-SA"/>
        </w:rPr>
        <w:t>S</w:t>
      </w:r>
      <w:r w:rsidR="00525044" w:rsidRPr="00E26B0A">
        <w:rPr>
          <w:szCs w:val="20"/>
          <w:lang w:eastAsia="ar-SA"/>
        </w:rPr>
        <w:t>avienī</w:t>
      </w:r>
      <w:r w:rsidR="00525044">
        <w:rPr>
          <w:szCs w:val="20"/>
          <w:lang w:eastAsia="ar-SA"/>
        </w:rPr>
        <w:t>bas</w:t>
      </w:r>
      <w:r w:rsidRPr="008A750A">
        <w:rPr>
          <w:szCs w:val="20"/>
          <w:lang w:eastAsia="ar-SA"/>
        </w:rPr>
        <w:t xml:space="preserve"> fondu </w:t>
      </w:r>
      <w:r w:rsidR="00525044">
        <w:rPr>
          <w:szCs w:val="20"/>
          <w:lang w:eastAsia="ar-SA"/>
        </w:rPr>
        <w:t xml:space="preserve">līdzekļu </w:t>
      </w:r>
      <w:r w:rsidRPr="008A750A">
        <w:rPr>
          <w:szCs w:val="20"/>
          <w:lang w:eastAsia="ar-SA"/>
        </w:rPr>
        <w:t xml:space="preserve">apguvē. Savukārt 2017. gadā ekonomika varētu augt par 3.0%, ko noteiks </w:t>
      </w:r>
      <w:r w:rsidR="00525044" w:rsidRPr="008A750A">
        <w:rPr>
          <w:szCs w:val="20"/>
          <w:lang w:eastAsia="ar-SA"/>
        </w:rPr>
        <w:t>E</w:t>
      </w:r>
      <w:r w:rsidR="00525044">
        <w:rPr>
          <w:szCs w:val="20"/>
          <w:lang w:eastAsia="ar-SA"/>
        </w:rPr>
        <w:t xml:space="preserve">iropas </w:t>
      </w:r>
      <w:r w:rsidR="00525044" w:rsidRPr="008A750A">
        <w:rPr>
          <w:szCs w:val="20"/>
          <w:lang w:eastAsia="ar-SA"/>
        </w:rPr>
        <w:t>S</w:t>
      </w:r>
      <w:r w:rsidR="00525044">
        <w:rPr>
          <w:szCs w:val="20"/>
          <w:lang w:eastAsia="ar-SA"/>
        </w:rPr>
        <w:t>avienības</w:t>
      </w:r>
      <w:r w:rsidRPr="008A750A">
        <w:rPr>
          <w:szCs w:val="20"/>
          <w:lang w:eastAsia="ar-SA"/>
        </w:rPr>
        <w:t xml:space="preserve"> fondu finansēto investīciju projektu aktivitātes kāpums. Joprojām saglabājas augsta nenoteiktība un riski tautsaimniecības turpmākai izaugsmei saistībā ar ārējiem faktoriem un vāju banku kreditēšanu.</w:t>
      </w:r>
      <w:r w:rsidR="00525044">
        <w:rPr>
          <w:szCs w:val="20"/>
          <w:lang w:eastAsia="ar-SA"/>
        </w:rPr>
        <w:t xml:space="preserve"> </w:t>
      </w:r>
      <w:r w:rsidRPr="008A750A">
        <w:rPr>
          <w:szCs w:val="20"/>
          <w:lang w:eastAsia="ar-SA"/>
        </w:rPr>
        <w:t xml:space="preserve"> </w:t>
      </w:r>
    </w:p>
    <w:p w:rsidR="008A750A" w:rsidRPr="008A750A" w:rsidRDefault="008A750A" w:rsidP="007702F3">
      <w:pPr>
        <w:pStyle w:val="BodyText"/>
        <w:tabs>
          <w:tab w:val="left" w:pos="284"/>
        </w:tabs>
        <w:jc w:val="both"/>
        <w:rPr>
          <w:szCs w:val="20"/>
          <w:lang w:eastAsia="ar-SA"/>
        </w:rPr>
      </w:pPr>
      <w:r w:rsidRPr="008A750A">
        <w:rPr>
          <w:szCs w:val="20"/>
          <w:lang w:eastAsia="ar-SA"/>
        </w:rPr>
        <w:t xml:space="preserve">Kapitāla rādītāji joprojām ievērojami pārsniedz gan minimālās, gan kopējās kapitāla prasības, kā arī </w:t>
      </w:r>
      <w:r w:rsidR="00525044" w:rsidRPr="008A750A">
        <w:rPr>
          <w:szCs w:val="20"/>
          <w:lang w:eastAsia="ar-SA"/>
        </w:rPr>
        <w:t>E</w:t>
      </w:r>
      <w:r w:rsidR="00525044">
        <w:rPr>
          <w:szCs w:val="20"/>
          <w:lang w:eastAsia="ar-SA"/>
        </w:rPr>
        <w:t xml:space="preserve">iropas </w:t>
      </w:r>
      <w:r w:rsidR="00525044" w:rsidRPr="008A750A">
        <w:rPr>
          <w:szCs w:val="20"/>
          <w:lang w:eastAsia="ar-SA"/>
        </w:rPr>
        <w:t>S</w:t>
      </w:r>
      <w:r w:rsidR="00525044">
        <w:rPr>
          <w:szCs w:val="20"/>
          <w:lang w:eastAsia="ar-SA"/>
        </w:rPr>
        <w:t>avienības</w:t>
      </w:r>
      <w:r w:rsidRPr="008A750A">
        <w:rPr>
          <w:szCs w:val="20"/>
          <w:lang w:eastAsia="ar-SA"/>
        </w:rPr>
        <w:t xml:space="preserve"> kredītiestāžu vidējos kapitāla rādītājus. </w:t>
      </w:r>
      <w:r w:rsidR="00525044">
        <w:rPr>
          <w:szCs w:val="20"/>
          <w:lang w:eastAsia="ar-SA"/>
        </w:rPr>
        <w:t xml:space="preserve">2016. gada </w:t>
      </w:r>
      <w:r w:rsidRPr="008A750A">
        <w:rPr>
          <w:szCs w:val="20"/>
          <w:lang w:eastAsia="ar-SA"/>
        </w:rPr>
        <w:t>3. ceturksnī kopējais un pirmā līmeņa pamata (CET1</w:t>
      </w:r>
      <w:proofErr w:type="gramStart"/>
      <w:r w:rsidRPr="008A750A">
        <w:rPr>
          <w:szCs w:val="20"/>
          <w:lang w:eastAsia="ar-SA"/>
        </w:rPr>
        <w:t xml:space="preserve"> )</w:t>
      </w:r>
      <w:proofErr w:type="gramEnd"/>
      <w:r w:rsidRPr="008A750A">
        <w:rPr>
          <w:szCs w:val="20"/>
          <w:lang w:eastAsia="ar-SA"/>
        </w:rPr>
        <w:t xml:space="preserve"> kapitāla rādītājs banku sektorā sasniedza attiecīgi 20.4% un 17.4%.</w:t>
      </w:r>
    </w:p>
    <w:p w:rsidR="008A750A" w:rsidRPr="008A750A" w:rsidRDefault="008A750A" w:rsidP="007702F3">
      <w:pPr>
        <w:pStyle w:val="BodyText"/>
        <w:tabs>
          <w:tab w:val="left" w:pos="284"/>
        </w:tabs>
        <w:jc w:val="both"/>
        <w:rPr>
          <w:szCs w:val="20"/>
          <w:lang w:eastAsia="ar-SA"/>
        </w:rPr>
      </w:pPr>
      <w:r w:rsidRPr="008A750A">
        <w:rPr>
          <w:szCs w:val="20"/>
          <w:lang w:eastAsia="ar-SA"/>
        </w:rPr>
        <w:t>Banku sektors kopumā 2016. gada 3.</w:t>
      </w:r>
      <w:r w:rsidR="00525044">
        <w:rPr>
          <w:szCs w:val="20"/>
          <w:lang w:eastAsia="ar-SA"/>
        </w:rPr>
        <w:t xml:space="preserve"> </w:t>
      </w:r>
      <w:r w:rsidRPr="008A750A">
        <w:rPr>
          <w:szCs w:val="20"/>
          <w:lang w:eastAsia="ar-SA"/>
        </w:rPr>
        <w:t>cet</w:t>
      </w:r>
      <w:r w:rsidR="00525044">
        <w:rPr>
          <w:szCs w:val="20"/>
          <w:lang w:eastAsia="ar-SA"/>
        </w:rPr>
        <w:t>urksnī</w:t>
      </w:r>
      <w:r w:rsidRPr="008A750A">
        <w:rPr>
          <w:szCs w:val="20"/>
          <w:lang w:eastAsia="ar-SA"/>
        </w:rPr>
        <w:t xml:space="preserve"> darbojās ar peļņu ~374 milj. eiro apmērā, t.i.</w:t>
      </w:r>
      <w:r w:rsidR="00525044">
        <w:rPr>
          <w:szCs w:val="20"/>
          <w:lang w:eastAsia="ar-SA"/>
        </w:rPr>
        <w:t>,</w:t>
      </w:r>
      <w:r w:rsidRPr="008A750A">
        <w:rPr>
          <w:szCs w:val="20"/>
          <w:lang w:eastAsia="ar-SA"/>
        </w:rPr>
        <w:t xml:space="preserve"> par 19% vairāk nekā iepriekšējā gada attiecīgajā periodā. Taču jāatzīmē, ka banku sektora peļņu pozitīvi ietekmēja vienreizējs efekts – pēc </w:t>
      </w:r>
      <w:r w:rsidRPr="00CB1D1B">
        <w:rPr>
          <w:i/>
          <w:szCs w:val="20"/>
          <w:lang w:eastAsia="ar-SA"/>
        </w:rPr>
        <w:t>VISA Inc.</w:t>
      </w:r>
      <w:r w:rsidRPr="008A750A">
        <w:rPr>
          <w:szCs w:val="20"/>
          <w:lang w:eastAsia="ar-SA"/>
        </w:rPr>
        <w:t xml:space="preserve"> prasībām veiktā </w:t>
      </w:r>
      <w:r w:rsidRPr="00CB1D1B">
        <w:rPr>
          <w:i/>
          <w:szCs w:val="20"/>
          <w:lang w:eastAsia="ar-SA"/>
        </w:rPr>
        <w:t>VISA EUROPE</w:t>
      </w:r>
      <w:r w:rsidRPr="008A750A">
        <w:rPr>
          <w:szCs w:val="20"/>
          <w:lang w:eastAsia="ar-SA"/>
        </w:rPr>
        <w:t xml:space="preserve"> akciju pārdošana. 2016.</w:t>
      </w:r>
      <w:r w:rsidR="00525044">
        <w:rPr>
          <w:szCs w:val="20"/>
          <w:lang w:eastAsia="ar-SA"/>
        </w:rPr>
        <w:t xml:space="preserve"> </w:t>
      </w:r>
      <w:r w:rsidRPr="008A750A">
        <w:rPr>
          <w:szCs w:val="20"/>
          <w:lang w:eastAsia="ar-SA"/>
        </w:rPr>
        <w:t>gada 3. ceturkšņa beigās ROE bija 15.7%, bet</w:t>
      </w:r>
      <w:r w:rsidR="00525044">
        <w:rPr>
          <w:szCs w:val="20"/>
          <w:lang w:eastAsia="ar-SA"/>
        </w:rPr>
        <w:t>,</w:t>
      </w:r>
      <w:r w:rsidRPr="008A750A">
        <w:rPr>
          <w:szCs w:val="20"/>
          <w:lang w:eastAsia="ar-SA"/>
        </w:rPr>
        <w:t xml:space="preserve"> izslēdzot </w:t>
      </w:r>
      <w:r w:rsidRPr="00CB1D1B">
        <w:rPr>
          <w:i/>
          <w:szCs w:val="20"/>
          <w:lang w:eastAsia="ar-SA"/>
        </w:rPr>
        <w:t>VISA</w:t>
      </w:r>
      <w:r w:rsidRPr="008A750A">
        <w:rPr>
          <w:szCs w:val="20"/>
          <w:lang w:eastAsia="ar-SA"/>
        </w:rPr>
        <w:t xml:space="preserve"> darījuma ietekmi, banku sektora ROE bija zemāks, t.i.</w:t>
      </w:r>
      <w:r w:rsidR="00525044">
        <w:rPr>
          <w:szCs w:val="20"/>
          <w:lang w:eastAsia="ar-SA"/>
        </w:rPr>
        <w:t>,</w:t>
      </w:r>
      <w:r w:rsidRPr="008A750A">
        <w:rPr>
          <w:szCs w:val="20"/>
          <w:lang w:eastAsia="ar-SA"/>
        </w:rPr>
        <w:t xml:space="preserve"> 10.6%.  </w:t>
      </w:r>
    </w:p>
    <w:p w:rsidR="008A750A" w:rsidRPr="008A750A" w:rsidRDefault="008A750A" w:rsidP="007702F3">
      <w:pPr>
        <w:pStyle w:val="BodyText"/>
        <w:tabs>
          <w:tab w:val="left" w:pos="284"/>
        </w:tabs>
        <w:jc w:val="both"/>
        <w:rPr>
          <w:szCs w:val="20"/>
          <w:lang w:eastAsia="ar-SA"/>
        </w:rPr>
      </w:pPr>
      <w:r w:rsidRPr="008A750A">
        <w:rPr>
          <w:szCs w:val="20"/>
          <w:lang w:eastAsia="ar-SA"/>
        </w:rPr>
        <w:t>Ņemot vērā minētos apsvērumus</w:t>
      </w:r>
      <w:r w:rsidR="00525044">
        <w:rPr>
          <w:szCs w:val="20"/>
          <w:lang w:eastAsia="ar-SA"/>
        </w:rPr>
        <w:t>,</w:t>
      </w:r>
      <w:r w:rsidRPr="008A750A">
        <w:rPr>
          <w:szCs w:val="20"/>
          <w:lang w:eastAsia="ar-SA"/>
        </w:rPr>
        <w:t xml:space="preserve"> secinā</w:t>
      </w:r>
      <w:r w:rsidR="00525044">
        <w:rPr>
          <w:szCs w:val="20"/>
          <w:lang w:eastAsia="ar-SA"/>
        </w:rPr>
        <w:t>m</w:t>
      </w:r>
      <w:r w:rsidRPr="008A750A">
        <w:rPr>
          <w:szCs w:val="20"/>
          <w:lang w:eastAsia="ar-SA"/>
        </w:rPr>
        <w:t xml:space="preserve">s, ka Latvijas banku sektora pakļautība cikliskajam riskam ir minimāla, un līdz ar to Komisija nosaka PKR normu 0% apmērā. </w:t>
      </w:r>
    </w:p>
    <w:p w:rsidR="008A750A" w:rsidRPr="008A750A" w:rsidRDefault="008A750A" w:rsidP="007702F3">
      <w:pPr>
        <w:pStyle w:val="BodyText"/>
        <w:tabs>
          <w:tab w:val="left" w:pos="284"/>
        </w:tabs>
        <w:jc w:val="both"/>
        <w:rPr>
          <w:szCs w:val="20"/>
          <w:lang w:eastAsia="ar-SA"/>
        </w:rPr>
      </w:pPr>
    </w:p>
    <w:p w:rsidR="008A750A" w:rsidRPr="008A750A" w:rsidRDefault="008A750A" w:rsidP="007702F3">
      <w:pPr>
        <w:pStyle w:val="BodyText"/>
        <w:tabs>
          <w:tab w:val="left" w:pos="284"/>
        </w:tabs>
        <w:jc w:val="both"/>
        <w:rPr>
          <w:szCs w:val="20"/>
          <w:lang w:eastAsia="ar-SA"/>
        </w:rPr>
      </w:pPr>
    </w:p>
    <w:p w:rsidR="008A750A" w:rsidRPr="008A750A" w:rsidRDefault="008A750A" w:rsidP="007702F3">
      <w:pPr>
        <w:pStyle w:val="BodyText"/>
        <w:tabs>
          <w:tab w:val="left" w:pos="284"/>
        </w:tabs>
        <w:jc w:val="both"/>
        <w:rPr>
          <w:szCs w:val="20"/>
          <w:lang w:eastAsia="ar-SA"/>
        </w:rPr>
      </w:pPr>
    </w:p>
    <w:p w:rsidR="00713987" w:rsidRDefault="00713987">
      <w:pPr>
        <w:pStyle w:val="BodyText"/>
        <w:tabs>
          <w:tab w:val="left" w:pos="284"/>
        </w:tabs>
        <w:jc w:val="both"/>
        <w:rPr>
          <w:sz w:val="20"/>
        </w:rPr>
      </w:pPr>
    </w:p>
    <w:sectPr w:rsidR="00713987" w:rsidSect="00803841">
      <w:headerReference w:type="default" r:id="rId9"/>
      <w:footerReference w:type="default" r:id="rId10"/>
      <w:pgSz w:w="11906" w:h="16838"/>
      <w:pgMar w:top="964" w:right="1134" w:bottom="1134" w:left="1134" w:header="709" w:footer="4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E18" w:rsidRDefault="00921E18">
      <w:r>
        <w:separator/>
      </w:r>
    </w:p>
  </w:endnote>
  <w:endnote w:type="continuationSeparator" w:id="0">
    <w:p w:rsidR="00921E18" w:rsidRDefault="0092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eutonica">
    <w:altName w:val="Times New Roman"/>
    <w:charset w:val="BA"/>
    <w:family w:val="roman"/>
    <w:pitch w:val="variable"/>
    <w:sig w:usb0="00000001" w:usb1="00000048" w:usb2="00000000" w:usb3="00000000" w:csb0="00000097"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7E" w:rsidRDefault="006D2AED">
    <w:pPr>
      <w:pStyle w:val="Footer"/>
      <w:jc w:val="right"/>
      <w:rPr>
        <w:b/>
      </w:rPr>
    </w:pPr>
    <w:r>
      <w:rPr>
        <w:b/>
        <w:noProof/>
        <w:lang w:eastAsia="lv-LV"/>
      </w:rPr>
      <mc:AlternateContent>
        <mc:Choice Requires="wps">
          <w:drawing>
            <wp:anchor distT="4294967295" distB="4294967295" distL="114300" distR="114300" simplePos="0" relativeHeight="251656704" behindDoc="0" locked="0" layoutInCell="1" allowOverlap="1" wp14:anchorId="6C57DE32" wp14:editId="01F42319">
              <wp:simplePos x="0" y="0"/>
              <wp:positionH relativeFrom="column">
                <wp:posOffset>0</wp:posOffset>
              </wp:positionH>
              <wp:positionV relativeFrom="paragraph">
                <wp:posOffset>59689</wp:posOffset>
              </wp:positionV>
              <wp:extent cx="8814435" cy="0"/>
              <wp:effectExtent l="0" t="0" r="2476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443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7pt" to="694.0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bIjEwIAACk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" strokeweight="1.5pt"/>
          </w:pict>
        </mc:Fallback>
      </mc:AlternateContent>
    </w:r>
  </w:p>
  <w:p w:rsidR="00A6627E" w:rsidRDefault="00A6627E">
    <w:pPr>
      <w:pStyle w:val="Footer"/>
      <w:jc w:val="right"/>
      <w:rPr>
        <w:b/>
      </w:rPr>
    </w:pPr>
  </w:p>
  <w:p w:rsidR="00A6627E" w:rsidRDefault="00BA53C7">
    <w:pPr>
      <w:pStyle w:val="Footer"/>
      <w:jc w:val="right"/>
    </w:pPr>
    <w:r>
      <w:rPr>
        <w:b/>
      </w:rPr>
      <w:fldChar w:fldCharType="begin"/>
    </w:r>
    <w:r w:rsidR="00A6627E">
      <w:rPr>
        <w:b/>
      </w:rPr>
      <w:instrText xml:space="preserve"> PAGE </w:instrText>
    </w:r>
    <w:r>
      <w:rPr>
        <w:b/>
      </w:rPr>
      <w:fldChar w:fldCharType="separate"/>
    </w:r>
    <w:r w:rsidR="002B271C">
      <w:rPr>
        <w:b/>
        <w:noProof/>
      </w:rPr>
      <w:t>3</w:t>
    </w:r>
    <w:r>
      <w:rPr>
        <w:b/>
      </w:rPr>
      <w:fldChar w:fldCharType="end"/>
    </w:r>
    <w:r w:rsidR="00B73137">
      <w:rPr>
        <w:b/>
      </w:rPr>
      <w:t>.</w:t>
    </w:r>
    <w:r w:rsidR="00A6627E">
      <w:t xml:space="preserve"> lappuse</w:t>
    </w:r>
    <w:r w:rsidR="00B73137">
      <w:t xml:space="preserve"> no</w:t>
    </w:r>
    <w:r w:rsidR="00A6627E">
      <w:t xml:space="preserve"> </w:t>
    </w:r>
    <w:r>
      <w:rPr>
        <w:b/>
      </w:rPr>
      <w:fldChar w:fldCharType="begin"/>
    </w:r>
    <w:r w:rsidR="00A6627E">
      <w:rPr>
        <w:b/>
      </w:rPr>
      <w:instrText xml:space="preserve"> NUMPAGES  </w:instrText>
    </w:r>
    <w:r>
      <w:rPr>
        <w:b/>
      </w:rPr>
      <w:fldChar w:fldCharType="separate"/>
    </w:r>
    <w:r w:rsidR="002B271C">
      <w:rPr>
        <w:b/>
        <w:noProof/>
      </w:rPr>
      <w:t>3</w:t>
    </w:r>
    <w:r>
      <w:rPr>
        <w:b/>
      </w:rPr>
      <w:fldChar w:fldCharType="end"/>
    </w:r>
  </w:p>
  <w:p w:rsidR="00A6627E" w:rsidRDefault="00A662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E18" w:rsidRDefault="00921E18">
      <w:r>
        <w:separator/>
      </w:r>
    </w:p>
  </w:footnote>
  <w:footnote w:type="continuationSeparator" w:id="0">
    <w:p w:rsidR="00921E18" w:rsidRDefault="00921E18">
      <w:r>
        <w:continuationSeparator/>
      </w:r>
    </w:p>
  </w:footnote>
  <w:footnote w:id="1">
    <w:p w:rsidR="00052106" w:rsidRDefault="00052106" w:rsidP="001F2906">
      <w:pPr>
        <w:pStyle w:val="FootnoteText"/>
        <w:jc w:val="both"/>
      </w:pPr>
      <w:r>
        <w:rPr>
          <w:rStyle w:val="FootnoteReference"/>
        </w:rPr>
        <w:footnoteRef/>
      </w:r>
      <w:r>
        <w:t xml:space="preserve"> </w:t>
      </w:r>
      <w:r w:rsidRPr="00052106">
        <w:t>ES</w:t>
      </w:r>
      <w:r w:rsidR="00FA3214">
        <w:t>RK</w:t>
      </w:r>
      <w:r w:rsidRPr="00052106">
        <w:t xml:space="preserve"> 2014. gada 18. jūnija ieteikums par norādījumiem pretciklisko kapitāla rezervju normas noteikšanai (ESRK/2014/1).</w:t>
      </w:r>
    </w:p>
  </w:footnote>
  <w:footnote w:id="2">
    <w:p w:rsidR="004209EF" w:rsidRDefault="004209EF" w:rsidP="001F2906">
      <w:pPr>
        <w:pStyle w:val="FootnoteText"/>
        <w:jc w:val="both"/>
      </w:pPr>
      <w:r>
        <w:rPr>
          <w:rStyle w:val="FootnoteReference"/>
        </w:rPr>
        <w:footnoteRef/>
      </w:r>
      <w:r>
        <w:t xml:space="preserve"> </w:t>
      </w:r>
      <w:r w:rsidRPr="004209EF">
        <w:t xml:space="preserve">Ietver nefinanšu </w:t>
      </w:r>
      <w:r>
        <w:t>uzņēmumus</w:t>
      </w:r>
      <w:r w:rsidRPr="004209EF">
        <w:t>, mājsaimniecības un mājsaimniecības apkalpojošās bezpeļņas institūcijas. Kredīt</w:t>
      </w:r>
      <w:r w:rsidR="00C866ED">
        <w:t>u</w:t>
      </w:r>
      <w:r w:rsidRPr="004209EF">
        <w:t xml:space="preserve"> atlikums atspoguļo ne tikai privātā sektora saistības pret kredītiestādēm, bet arī aizņēmumus no nebanku finanšu institūcijām. </w:t>
      </w:r>
    </w:p>
  </w:footnote>
  <w:footnote w:id="3">
    <w:p w:rsidR="000D0311" w:rsidRDefault="000D0311">
      <w:pPr>
        <w:pStyle w:val="FootnoteText"/>
      </w:pPr>
      <w:r>
        <w:rPr>
          <w:rStyle w:val="FootnoteReference"/>
        </w:rPr>
        <w:footnoteRef/>
      </w:r>
      <w:r>
        <w:t xml:space="preserve"> </w:t>
      </w:r>
      <w:r w:rsidRPr="000D0311">
        <w:t>Kredīta laikrinda no 1995. gada 4. ceturkšņa līdz 201</w:t>
      </w:r>
      <w:r w:rsidR="00F674A4">
        <w:t>6</w:t>
      </w:r>
      <w:r w:rsidRPr="000D0311">
        <w:t xml:space="preserve">. gada </w:t>
      </w:r>
      <w:r w:rsidR="00F674A4">
        <w:t>2</w:t>
      </w:r>
      <w:r w:rsidRPr="000D0311">
        <w:t>. ceturksnim</w:t>
      </w:r>
      <w:r w:rsidR="00FA3214">
        <w:t>.</w:t>
      </w:r>
    </w:p>
  </w:footnote>
  <w:footnote w:id="4">
    <w:p w:rsidR="004A6AA0" w:rsidRDefault="004A6AA0">
      <w:pPr>
        <w:pStyle w:val="FootnoteText"/>
      </w:pPr>
      <w:r>
        <w:rPr>
          <w:rStyle w:val="FootnoteReference"/>
        </w:rPr>
        <w:footnoteRef/>
      </w:r>
      <w:r>
        <w:t xml:space="preserve"> </w:t>
      </w:r>
      <w:r w:rsidRPr="004A6AA0">
        <w:t>Kredīta laikrinda no 1</w:t>
      </w:r>
      <w:r>
        <w:t>999. gada 1. ceturkšņa līdz 2016</w:t>
      </w:r>
      <w:r w:rsidRPr="004A6AA0">
        <w:t xml:space="preserve">. gada </w:t>
      </w:r>
      <w:r w:rsidR="00F674A4">
        <w:t>3</w:t>
      </w:r>
      <w:r w:rsidRPr="004A6AA0">
        <w:t>. ceturksnim</w:t>
      </w:r>
      <w:r w:rsidR="00FA321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27E" w:rsidRDefault="00A6627E">
    <w:pPr>
      <w:pStyle w:val="Header"/>
      <w:rPr>
        <w:sz w:val="28"/>
      </w:rPr>
    </w:pPr>
    <w:r>
      <w:object w:dxaOrig="75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6.5pt" o:ole="" o:bullet="t">
          <v:imagedata r:id="rId1" o:title=""/>
        </v:shape>
        <o:OLEObject Type="Embed" ProgID="MSPhotoEd.3" ShapeID="_x0000_i1025" DrawAspect="Content" ObjectID="_1545822548" r:id="rId2"/>
      </w:object>
    </w:r>
    <w:r>
      <w:t xml:space="preserve">     </w:t>
    </w:r>
    <w:r>
      <w:rPr>
        <w:sz w:val="28"/>
      </w:rPr>
      <w:t>Finanšu un kapitāla tirgus komisija</w:t>
    </w:r>
  </w:p>
  <w:p w:rsidR="00A6627E" w:rsidRDefault="006D2AED">
    <w:pPr>
      <w:pStyle w:val="Header"/>
      <w:rPr>
        <w:sz w:val="28"/>
      </w:rPr>
    </w:pPr>
    <w:r>
      <w:rPr>
        <w:noProof/>
        <w:sz w:val="28"/>
        <w:lang w:eastAsia="lv-LV"/>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102234</wp:posOffset>
              </wp:positionV>
              <wp:extent cx="8814435" cy="0"/>
              <wp:effectExtent l="0" t="19050" r="571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443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694.0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" strokeweight="2.25pt"/>
          </w:pict>
        </mc:Fallback>
      </mc:AlternateContent>
    </w:r>
  </w:p>
  <w:p w:rsidR="00A6627E" w:rsidRPr="002062CF" w:rsidRDefault="00B169BD">
    <w:pPr>
      <w:pStyle w:val="Header"/>
      <w:jc w:val="center"/>
      <w:rPr>
        <w:b/>
        <w:color w:val="808080"/>
        <w:sz w:val="28"/>
      </w:rPr>
    </w:pPr>
    <w:r>
      <w:rPr>
        <w:b/>
        <w:color w:val="808080"/>
        <w:sz w:val="28"/>
      </w:rPr>
      <w:t>Regulējošo prasību daļa</w:t>
    </w:r>
  </w:p>
  <w:p w:rsidR="00A6627E" w:rsidRDefault="006D2AED">
    <w:pPr>
      <w:pStyle w:val="Header"/>
      <w:jc w:val="center"/>
      <w:rPr>
        <w:b/>
        <w:color w:val="808080"/>
        <w:sz w:val="28"/>
      </w:rPr>
    </w:pPr>
    <w:r>
      <w:rPr>
        <w:b/>
        <w:noProof/>
        <w:color w:val="808080"/>
        <w:sz w:val="28"/>
        <w:lang w:eastAsia="lv-LV"/>
      </w:rPr>
      <mc:AlternateContent>
        <mc:Choice Requires="wps">
          <w:drawing>
            <wp:anchor distT="4294967295" distB="4294967295" distL="114300" distR="114300" simplePos="0" relativeHeight="251658752" behindDoc="0" locked="0" layoutInCell="1" allowOverlap="1">
              <wp:simplePos x="0" y="0"/>
              <wp:positionH relativeFrom="column">
                <wp:posOffset>0</wp:posOffset>
              </wp:positionH>
              <wp:positionV relativeFrom="paragraph">
                <wp:posOffset>151129</wp:posOffset>
              </wp:positionV>
              <wp:extent cx="8814435" cy="0"/>
              <wp:effectExtent l="0" t="19050" r="571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443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9pt" to="694.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" strokeweight="2.25pt"/>
          </w:pict>
        </mc:Fallback>
      </mc:AlternateContent>
    </w:r>
  </w:p>
  <w:p w:rsidR="00A6627E" w:rsidRDefault="00A6627E">
    <w:pPr>
      <w:pStyle w:val="Header"/>
      <w:rPr>
        <w:sz w:val="28"/>
      </w:rPr>
    </w:pPr>
  </w:p>
  <w:p w:rsidR="00A6627E" w:rsidRDefault="00A6627E">
    <w:pPr>
      <w:pStyle w:val="Head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05D22"/>
    <w:multiLevelType w:val="hybridMultilevel"/>
    <w:tmpl w:val="9C7E0B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76631208"/>
    <w:multiLevelType w:val="hybridMultilevel"/>
    <w:tmpl w:val="DA14E3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36"/>
    <w:rsid w:val="0001074C"/>
    <w:rsid w:val="00026765"/>
    <w:rsid w:val="00052106"/>
    <w:rsid w:val="00062122"/>
    <w:rsid w:val="00070CA9"/>
    <w:rsid w:val="00085422"/>
    <w:rsid w:val="000A365A"/>
    <w:rsid w:val="000A5E19"/>
    <w:rsid w:val="000B77E9"/>
    <w:rsid w:val="000C2BC7"/>
    <w:rsid w:val="000C5050"/>
    <w:rsid w:val="000C530C"/>
    <w:rsid w:val="000C601A"/>
    <w:rsid w:val="000C65B2"/>
    <w:rsid w:val="000D0311"/>
    <w:rsid w:val="000D5E64"/>
    <w:rsid w:val="000E2216"/>
    <w:rsid w:val="000E7492"/>
    <w:rsid w:val="0011273E"/>
    <w:rsid w:val="00125732"/>
    <w:rsid w:val="00140F14"/>
    <w:rsid w:val="00154449"/>
    <w:rsid w:val="00156676"/>
    <w:rsid w:val="00163DE0"/>
    <w:rsid w:val="00170C57"/>
    <w:rsid w:val="00186559"/>
    <w:rsid w:val="00192E49"/>
    <w:rsid w:val="001B2030"/>
    <w:rsid w:val="001D0EC6"/>
    <w:rsid w:val="001D2386"/>
    <w:rsid w:val="001E1182"/>
    <w:rsid w:val="001E3579"/>
    <w:rsid w:val="001E58D8"/>
    <w:rsid w:val="001F08F3"/>
    <w:rsid w:val="001F2906"/>
    <w:rsid w:val="00201CF3"/>
    <w:rsid w:val="0020207E"/>
    <w:rsid w:val="002062CF"/>
    <w:rsid w:val="0020657E"/>
    <w:rsid w:val="00206C81"/>
    <w:rsid w:val="002077B6"/>
    <w:rsid w:val="0021196A"/>
    <w:rsid w:val="0021295A"/>
    <w:rsid w:val="002132E6"/>
    <w:rsid w:val="00214B17"/>
    <w:rsid w:val="00215E17"/>
    <w:rsid w:val="00224077"/>
    <w:rsid w:val="002269F6"/>
    <w:rsid w:val="002322C0"/>
    <w:rsid w:val="00234656"/>
    <w:rsid w:val="00244120"/>
    <w:rsid w:val="002540E0"/>
    <w:rsid w:val="00255911"/>
    <w:rsid w:val="0026248C"/>
    <w:rsid w:val="002671C3"/>
    <w:rsid w:val="002745EE"/>
    <w:rsid w:val="002763F4"/>
    <w:rsid w:val="00276A18"/>
    <w:rsid w:val="002834DA"/>
    <w:rsid w:val="00283C01"/>
    <w:rsid w:val="00284EDA"/>
    <w:rsid w:val="00285418"/>
    <w:rsid w:val="00290121"/>
    <w:rsid w:val="00293CDA"/>
    <w:rsid w:val="002A047A"/>
    <w:rsid w:val="002B271C"/>
    <w:rsid w:val="002B3046"/>
    <w:rsid w:val="002B6F26"/>
    <w:rsid w:val="002B719B"/>
    <w:rsid w:val="002B7E0F"/>
    <w:rsid w:val="002C18D3"/>
    <w:rsid w:val="002D076D"/>
    <w:rsid w:val="002D2980"/>
    <w:rsid w:val="002E7934"/>
    <w:rsid w:val="002F2B27"/>
    <w:rsid w:val="0030548B"/>
    <w:rsid w:val="00337220"/>
    <w:rsid w:val="00363621"/>
    <w:rsid w:val="00387611"/>
    <w:rsid w:val="00390E6A"/>
    <w:rsid w:val="003A0ECF"/>
    <w:rsid w:val="003C2450"/>
    <w:rsid w:val="003C3BEB"/>
    <w:rsid w:val="003C7CDB"/>
    <w:rsid w:val="003D3EDA"/>
    <w:rsid w:val="003E265B"/>
    <w:rsid w:val="003E4D41"/>
    <w:rsid w:val="00402206"/>
    <w:rsid w:val="004175DF"/>
    <w:rsid w:val="004209EF"/>
    <w:rsid w:val="00434469"/>
    <w:rsid w:val="00440793"/>
    <w:rsid w:val="00447357"/>
    <w:rsid w:val="004501D4"/>
    <w:rsid w:val="00461F39"/>
    <w:rsid w:val="00464F04"/>
    <w:rsid w:val="004954DB"/>
    <w:rsid w:val="004A6AA0"/>
    <w:rsid w:val="004C49B5"/>
    <w:rsid w:val="004D302D"/>
    <w:rsid w:val="004E0C46"/>
    <w:rsid w:val="004E6A0C"/>
    <w:rsid w:val="004F05CB"/>
    <w:rsid w:val="004F7A42"/>
    <w:rsid w:val="0050695E"/>
    <w:rsid w:val="00520565"/>
    <w:rsid w:val="00521428"/>
    <w:rsid w:val="00525044"/>
    <w:rsid w:val="005264C7"/>
    <w:rsid w:val="005321A4"/>
    <w:rsid w:val="005373C8"/>
    <w:rsid w:val="00554D47"/>
    <w:rsid w:val="005615B8"/>
    <w:rsid w:val="00561937"/>
    <w:rsid w:val="00566DD2"/>
    <w:rsid w:val="00575715"/>
    <w:rsid w:val="005762D1"/>
    <w:rsid w:val="0058290F"/>
    <w:rsid w:val="00586832"/>
    <w:rsid w:val="005937EE"/>
    <w:rsid w:val="00596CC7"/>
    <w:rsid w:val="00597358"/>
    <w:rsid w:val="005A0E20"/>
    <w:rsid w:val="005C4212"/>
    <w:rsid w:val="005C514E"/>
    <w:rsid w:val="005C5C55"/>
    <w:rsid w:val="005D2B8F"/>
    <w:rsid w:val="005D6BEB"/>
    <w:rsid w:val="005E0B20"/>
    <w:rsid w:val="005E6ABF"/>
    <w:rsid w:val="005F35FF"/>
    <w:rsid w:val="005F6FAB"/>
    <w:rsid w:val="00600BA5"/>
    <w:rsid w:val="0060585E"/>
    <w:rsid w:val="00616FC5"/>
    <w:rsid w:val="00617BBB"/>
    <w:rsid w:val="006310D3"/>
    <w:rsid w:val="00642415"/>
    <w:rsid w:val="006438E0"/>
    <w:rsid w:val="006455C5"/>
    <w:rsid w:val="00653415"/>
    <w:rsid w:val="00672E19"/>
    <w:rsid w:val="00681437"/>
    <w:rsid w:val="00694DCD"/>
    <w:rsid w:val="0069544D"/>
    <w:rsid w:val="006B4F9D"/>
    <w:rsid w:val="006B6CC4"/>
    <w:rsid w:val="006D087D"/>
    <w:rsid w:val="006D2AED"/>
    <w:rsid w:val="006D6727"/>
    <w:rsid w:val="006D76D1"/>
    <w:rsid w:val="006E1A62"/>
    <w:rsid w:val="006E2D7B"/>
    <w:rsid w:val="006E765F"/>
    <w:rsid w:val="006E7FAD"/>
    <w:rsid w:val="006F0185"/>
    <w:rsid w:val="006F3D3C"/>
    <w:rsid w:val="006F45C4"/>
    <w:rsid w:val="006F5A10"/>
    <w:rsid w:val="007006E5"/>
    <w:rsid w:val="00700906"/>
    <w:rsid w:val="0070423D"/>
    <w:rsid w:val="00713987"/>
    <w:rsid w:val="00716CB9"/>
    <w:rsid w:val="007265C0"/>
    <w:rsid w:val="007336F1"/>
    <w:rsid w:val="00733BF4"/>
    <w:rsid w:val="007370E3"/>
    <w:rsid w:val="00737755"/>
    <w:rsid w:val="00742D60"/>
    <w:rsid w:val="007446E5"/>
    <w:rsid w:val="00746058"/>
    <w:rsid w:val="00747C09"/>
    <w:rsid w:val="007501B8"/>
    <w:rsid w:val="007557DB"/>
    <w:rsid w:val="00756C18"/>
    <w:rsid w:val="00767366"/>
    <w:rsid w:val="00767AC3"/>
    <w:rsid w:val="007702F3"/>
    <w:rsid w:val="00770596"/>
    <w:rsid w:val="00775F91"/>
    <w:rsid w:val="00781C27"/>
    <w:rsid w:val="007877D9"/>
    <w:rsid w:val="007922CD"/>
    <w:rsid w:val="007956DA"/>
    <w:rsid w:val="007B6AEC"/>
    <w:rsid w:val="007E5105"/>
    <w:rsid w:val="007F3B48"/>
    <w:rsid w:val="00803841"/>
    <w:rsid w:val="00807BC2"/>
    <w:rsid w:val="008126C9"/>
    <w:rsid w:val="00812EFB"/>
    <w:rsid w:val="008229B0"/>
    <w:rsid w:val="00833647"/>
    <w:rsid w:val="00837011"/>
    <w:rsid w:val="008456BD"/>
    <w:rsid w:val="0085611D"/>
    <w:rsid w:val="00862AB0"/>
    <w:rsid w:val="008643AF"/>
    <w:rsid w:val="00881EFA"/>
    <w:rsid w:val="00892D4D"/>
    <w:rsid w:val="00896103"/>
    <w:rsid w:val="00896291"/>
    <w:rsid w:val="008A234B"/>
    <w:rsid w:val="008A6E29"/>
    <w:rsid w:val="008A750A"/>
    <w:rsid w:val="008C02FC"/>
    <w:rsid w:val="008C0DD9"/>
    <w:rsid w:val="008C1EE3"/>
    <w:rsid w:val="008D3190"/>
    <w:rsid w:val="008D3761"/>
    <w:rsid w:val="008D5C84"/>
    <w:rsid w:val="008D7AAE"/>
    <w:rsid w:val="008E7815"/>
    <w:rsid w:val="008F2FC9"/>
    <w:rsid w:val="008F33AA"/>
    <w:rsid w:val="0090562E"/>
    <w:rsid w:val="009070F2"/>
    <w:rsid w:val="0090773C"/>
    <w:rsid w:val="00915272"/>
    <w:rsid w:val="00921871"/>
    <w:rsid w:val="00921E18"/>
    <w:rsid w:val="00923308"/>
    <w:rsid w:val="0093276A"/>
    <w:rsid w:val="00933C4E"/>
    <w:rsid w:val="00937A28"/>
    <w:rsid w:val="00956DD3"/>
    <w:rsid w:val="00956DFA"/>
    <w:rsid w:val="009615AC"/>
    <w:rsid w:val="009627C1"/>
    <w:rsid w:val="0097565B"/>
    <w:rsid w:val="009878F0"/>
    <w:rsid w:val="009A3BD8"/>
    <w:rsid w:val="009A74C1"/>
    <w:rsid w:val="009A7CAD"/>
    <w:rsid w:val="009C0BD5"/>
    <w:rsid w:val="009D2032"/>
    <w:rsid w:val="009D58D6"/>
    <w:rsid w:val="009E6893"/>
    <w:rsid w:val="009F0E65"/>
    <w:rsid w:val="00A01DF1"/>
    <w:rsid w:val="00A020A5"/>
    <w:rsid w:val="00A0361C"/>
    <w:rsid w:val="00A0371A"/>
    <w:rsid w:val="00A0659A"/>
    <w:rsid w:val="00A06C7C"/>
    <w:rsid w:val="00A24ACB"/>
    <w:rsid w:val="00A32BAD"/>
    <w:rsid w:val="00A410D2"/>
    <w:rsid w:val="00A52220"/>
    <w:rsid w:val="00A52841"/>
    <w:rsid w:val="00A55FA3"/>
    <w:rsid w:val="00A56C8D"/>
    <w:rsid w:val="00A63892"/>
    <w:rsid w:val="00A6627E"/>
    <w:rsid w:val="00A967B2"/>
    <w:rsid w:val="00AB7947"/>
    <w:rsid w:val="00AD2C2E"/>
    <w:rsid w:val="00AD5541"/>
    <w:rsid w:val="00AE614D"/>
    <w:rsid w:val="00AF3D07"/>
    <w:rsid w:val="00AF4446"/>
    <w:rsid w:val="00B169BD"/>
    <w:rsid w:val="00B46C93"/>
    <w:rsid w:val="00B61F6E"/>
    <w:rsid w:val="00B73137"/>
    <w:rsid w:val="00B76B33"/>
    <w:rsid w:val="00B92958"/>
    <w:rsid w:val="00BA3C8E"/>
    <w:rsid w:val="00BA4A46"/>
    <w:rsid w:val="00BA53C7"/>
    <w:rsid w:val="00BA73EF"/>
    <w:rsid w:val="00BB12F0"/>
    <w:rsid w:val="00BB6ADE"/>
    <w:rsid w:val="00BC4F18"/>
    <w:rsid w:val="00BC567F"/>
    <w:rsid w:val="00BD01FF"/>
    <w:rsid w:val="00BD5D45"/>
    <w:rsid w:val="00BD679C"/>
    <w:rsid w:val="00BE0615"/>
    <w:rsid w:val="00BF6640"/>
    <w:rsid w:val="00C06014"/>
    <w:rsid w:val="00C119A2"/>
    <w:rsid w:val="00C17851"/>
    <w:rsid w:val="00C204F0"/>
    <w:rsid w:val="00C24690"/>
    <w:rsid w:val="00C250A9"/>
    <w:rsid w:val="00C303FF"/>
    <w:rsid w:val="00C3762D"/>
    <w:rsid w:val="00C40E68"/>
    <w:rsid w:val="00C41EED"/>
    <w:rsid w:val="00C453AE"/>
    <w:rsid w:val="00C45D81"/>
    <w:rsid w:val="00C51B64"/>
    <w:rsid w:val="00C56B31"/>
    <w:rsid w:val="00C57E52"/>
    <w:rsid w:val="00C7078E"/>
    <w:rsid w:val="00C71349"/>
    <w:rsid w:val="00C8321D"/>
    <w:rsid w:val="00C866ED"/>
    <w:rsid w:val="00C86926"/>
    <w:rsid w:val="00CB1D1B"/>
    <w:rsid w:val="00CC3A77"/>
    <w:rsid w:val="00CD46C6"/>
    <w:rsid w:val="00CD4931"/>
    <w:rsid w:val="00CD4CCB"/>
    <w:rsid w:val="00CD52FF"/>
    <w:rsid w:val="00CD7DE5"/>
    <w:rsid w:val="00CE3DA3"/>
    <w:rsid w:val="00CE4B4A"/>
    <w:rsid w:val="00D053D8"/>
    <w:rsid w:val="00D0613E"/>
    <w:rsid w:val="00D06D13"/>
    <w:rsid w:val="00D13C43"/>
    <w:rsid w:val="00D14439"/>
    <w:rsid w:val="00D15404"/>
    <w:rsid w:val="00D24687"/>
    <w:rsid w:val="00D2768B"/>
    <w:rsid w:val="00D35E63"/>
    <w:rsid w:val="00D411C6"/>
    <w:rsid w:val="00D57735"/>
    <w:rsid w:val="00D630B9"/>
    <w:rsid w:val="00D65C0E"/>
    <w:rsid w:val="00D65DF8"/>
    <w:rsid w:val="00D72E91"/>
    <w:rsid w:val="00D92FCA"/>
    <w:rsid w:val="00DA35BC"/>
    <w:rsid w:val="00DC1A6A"/>
    <w:rsid w:val="00DD39F6"/>
    <w:rsid w:val="00DD5FD8"/>
    <w:rsid w:val="00DE5C36"/>
    <w:rsid w:val="00E00985"/>
    <w:rsid w:val="00E154C7"/>
    <w:rsid w:val="00E204A0"/>
    <w:rsid w:val="00E236FA"/>
    <w:rsid w:val="00E26B0A"/>
    <w:rsid w:val="00E44664"/>
    <w:rsid w:val="00E502CF"/>
    <w:rsid w:val="00E66162"/>
    <w:rsid w:val="00E756E4"/>
    <w:rsid w:val="00E840D3"/>
    <w:rsid w:val="00E90A35"/>
    <w:rsid w:val="00E93C48"/>
    <w:rsid w:val="00E96E62"/>
    <w:rsid w:val="00EB459D"/>
    <w:rsid w:val="00EC07B9"/>
    <w:rsid w:val="00EC0E27"/>
    <w:rsid w:val="00EE0A0C"/>
    <w:rsid w:val="00EE1AB6"/>
    <w:rsid w:val="00EE4B39"/>
    <w:rsid w:val="00EE4F6F"/>
    <w:rsid w:val="00EF04AC"/>
    <w:rsid w:val="00EF7F52"/>
    <w:rsid w:val="00F01436"/>
    <w:rsid w:val="00F02345"/>
    <w:rsid w:val="00F034A5"/>
    <w:rsid w:val="00F0415A"/>
    <w:rsid w:val="00F04FDE"/>
    <w:rsid w:val="00F05F01"/>
    <w:rsid w:val="00F120F8"/>
    <w:rsid w:val="00F14943"/>
    <w:rsid w:val="00F1506F"/>
    <w:rsid w:val="00F218E5"/>
    <w:rsid w:val="00F25110"/>
    <w:rsid w:val="00F31234"/>
    <w:rsid w:val="00F37662"/>
    <w:rsid w:val="00F417E6"/>
    <w:rsid w:val="00F570DA"/>
    <w:rsid w:val="00F63830"/>
    <w:rsid w:val="00F6670B"/>
    <w:rsid w:val="00F67494"/>
    <w:rsid w:val="00F674A4"/>
    <w:rsid w:val="00F67CA4"/>
    <w:rsid w:val="00F74D95"/>
    <w:rsid w:val="00F8003E"/>
    <w:rsid w:val="00F83A8D"/>
    <w:rsid w:val="00F92EEB"/>
    <w:rsid w:val="00FA1685"/>
    <w:rsid w:val="00FA26EE"/>
    <w:rsid w:val="00FA3214"/>
    <w:rsid w:val="00FB035E"/>
    <w:rsid w:val="00FB689D"/>
    <w:rsid w:val="00FC7936"/>
    <w:rsid w:val="00FD050A"/>
    <w:rsid w:val="00FD19AD"/>
    <w:rsid w:val="00FD70A6"/>
    <w:rsid w:val="00FE1AAC"/>
    <w:rsid w:val="00FE1E46"/>
    <w:rsid w:val="00FE211C"/>
    <w:rsid w:val="00FE479B"/>
    <w:rsid w:val="00FF07D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36"/>
    <w:rPr>
      <w:rFonts w:eastAsia="Times New Roman"/>
      <w:sz w:val="24"/>
      <w:szCs w:val="24"/>
      <w:lang w:eastAsia="en-US"/>
    </w:rPr>
  </w:style>
  <w:style w:type="paragraph" w:styleId="Heading1">
    <w:name w:val="heading 1"/>
    <w:basedOn w:val="Normal"/>
    <w:next w:val="Normal"/>
    <w:link w:val="Heading1Char"/>
    <w:uiPriority w:val="9"/>
    <w:qFormat/>
    <w:rsid w:val="00B16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autoRedefine/>
    <w:qFormat/>
    <w:rsid w:val="00B73137"/>
    <w:pPr>
      <w:keepLines/>
      <w:jc w:val="right"/>
      <w:outlineLvl w:val="3"/>
    </w:pPr>
    <w:rPr>
      <w:noProof/>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C7936"/>
    <w:pPr>
      <w:tabs>
        <w:tab w:val="center" w:pos="4153"/>
        <w:tab w:val="right" w:pos="8306"/>
      </w:tabs>
    </w:pPr>
    <w:rPr>
      <w:sz w:val="20"/>
    </w:rPr>
  </w:style>
  <w:style w:type="character" w:customStyle="1" w:styleId="HeaderChar">
    <w:name w:val="Header Char"/>
    <w:link w:val="Header"/>
    <w:rsid w:val="00FC7936"/>
    <w:rPr>
      <w:rFonts w:eastAsia="Times New Roman"/>
      <w:szCs w:val="24"/>
    </w:rPr>
  </w:style>
  <w:style w:type="paragraph" w:styleId="Footer">
    <w:name w:val="footer"/>
    <w:basedOn w:val="Normal"/>
    <w:link w:val="FooterChar"/>
    <w:unhideWhenUsed/>
    <w:rsid w:val="00FC7936"/>
    <w:pPr>
      <w:tabs>
        <w:tab w:val="center" w:pos="4153"/>
        <w:tab w:val="right" w:pos="8306"/>
      </w:tabs>
    </w:pPr>
    <w:rPr>
      <w:sz w:val="20"/>
    </w:rPr>
  </w:style>
  <w:style w:type="character" w:customStyle="1" w:styleId="FooterChar">
    <w:name w:val="Footer Char"/>
    <w:link w:val="Footer"/>
    <w:rsid w:val="00FC7936"/>
    <w:rPr>
      <w:rFonts w:eastAsia="Times New Roman"/>
      <w:szCs w:val="24"/>
    </w:rPr>
  </w:style>
  <w:style w:type="paragraph" w:customStyle="1" w:styleId="Nobeigums">
    <w:name w:val="Nobeigums"/>
    <w:basedOn w:val="Normal"/>
    <w:rsid w:val="00FC7936"/>
    <w:rPr>
      <w:szCs w:val="20"/>
      <w:lang w:val="en-US"/>
    </w:rPr>
  </w:style>
  <w:style w:type="paragraph" w:customStyle="1" w:styleId="Teksts1">
    <w:name w:val="Teksts1"/>
    <w:basedOn w:val="Normal"/>
    <w:rsid w:val="00FC7936"/>
    <w:pPr>
      <w:suppressAutoHyphens/>
      <w:spacing w:after="320"/>
      <w:jc w:val="both"/>
    </w:pPr>
    <w:rPr>
      <w:szCs w:val="20"/>
      <w:lang w:eastAsia="ar-SA"/>
    </w:rPr>
  </w:style>
  <w:style w:type="paragraph" w:customStyle="1" w:styleId="Datums">
    <w:name w:val="Datums"/>
    <w:basedOn w:val="Normal"/>
    <w:next w:val="Normal"/>
    <w:rsid w:val="00FC7936"/>
    <w:pPr>
      <w:spacing w:before="1700"/>
    </w:pPr>
    <w:rPr>
      <w:szCs w:val="20"/>
      <w:lang w:val="en-US"/>
    </w:rPr>
  </w:style>
  <w:style w:type="paragraph" w:customStyle="1" w:styleId="Registrnum">
    <w:name w:val="Registr. num"/>
    <w:basedOn w:val="Normal"/>
    <w:next w:val="Normal"/>
    <w:rsid w:val="00FC7936"/>
    <w:pPr>
      <w:spacing w:after="320"/>
    </w:pPr>
    <w:rPr>
      <w:szCs w:val="20"/>
      <w:lang w:val="en-US"/>
    </w:rPr>
  </w:style>
  <w:style w:type="paragraph" w:customStyle="1" w:styleId="Autors">
    <w:name w:val="Autors"/>
    <w:basedOn w:val="Normal"/>
    <w:next w:val="Normal"/>
    <w:rsid w:val="00FC7936"/>
    <w:pPr>
      <w:tabs>
        <w:tab w:val="right" w:pos="9072"/>
      </w:tabs>
      <w:spacing w:before="1440"/>
    </w:pPr>
    <w:rPr>
      <w:szCs w:val="20"/>
      <w:lang w:val="en-US"/>
    </w:rPr>
  </w:style>
  <w:style w:type="paragraph" w:customStyle="1" w:styleId="Valsts">
    <w:name w:val="Valsts"/>
    <w:basedOn w:val="Normal"/>
    <w:rsid w:val="00FC7936"/>
    <w:rPr>
      <w:caps/>
      <w:szCs w:val="20"/>
      <w:lang w:val="en-US"/>
    </w:rPr>
  </w:style>
  <w:style w:type="paragraph" w:styleId="BodyText2">
    <w:name w:val="Body Text 2"/>
    <w:basedOn w:val="Normal"/>
    <w:link w:val="BodyText2Char"/>
    <w:semiHidden/>
    <w:rsid w:val="00FC7936"/>
    <w:pPr>
      <w:spacing w:after="120" w:line="480" w:lineRule="auto"/>
      <w:jc w:val="both"/>
    </w:pPr>
    <w:rPr>
      <w:sz w:val="20"/>
      <w:szCs w:val="20"/>
    </w:rPr>
  </w:style>
  <w:style w:type="character" w:customStyle="1" w:styleId="BodyText2Char">
    <w:name w:val="Body Text 2 Char"/>
    <w:link w:val="BodyText2"/>
    <w:semiHidden/>
    <w:rsid w:val="00FC7936"/>
    <w:rPr>
      <w:rFonts w:eastAsia="Times New Roman"/>
      <w:szCs w:val="20"/>
    </w:rPr>
  </w:style>
  <w:style w:type="paragraph" w:customStyle="1" w:styleId="Mazaisvirsraksts">
    <w:name w:val="Mazais virsraksts"/>
    <w:basedOn w:val="Normal"/>
    <w:rsid w:val="00FC7936"/>
    <w:pPr>
      <w:spacing w:before="240" w:after="120"/>
    </w:pPr>
    <w:rPr>
      <w:rFonts w:ascii="Teutonica" w:hAnsi="Teutonica"/>
      <w:b/>
      <w:smallCaps/>
      <w:szCs w:val="20"/>
    </w:rPr>
  </w:style>
  <w:style w:type="paragraph" w:customStyle="1" w:styleId="Default">
    <w:name w:val="Default"/>
    <w:rsid w:val="00F034A5"/>
    <w:pPr>
      <w:autoSpaceDE w:val="0"/>
      <w:autoSpaceDN w:val="0"/>
      <w:adjustRightInd w:val="0"/>
    </w:pPr>
    <w:rPr>
      <w:color w:val="000000"/>
      <w:sz w:val="24"/>
      <w:szCs w:val="24"/>
    </w:rPr>
  </w:style>
  <w:style w:type="table" w:styleId="TableGrid">
    <w:name w:val="Table Grid"/>
    <w:basedOn w:val="TableNormal"/>
    <w:uiPriority w:val="59"/>
    <w:rsid w:val="00026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4077"/>
    <w:rPr>
      <w:color w:val="0000FF"/>
      <w:u w:val="single"/>
    </w:rPr>
  </w:style>
  <w:style w:type="paragraph" w:styleId="BodyText">
    <w:name w:val="Body Text"/>
    <w:basedOn w:val="Normal"/>
    <w:link w:val="BodyTextChar"/>
    <w:uiPriority w:val="99"/>
    <w:unhideWhenUsed/>
    <w:rsid w:val="002062CF"/>
    <w:pPr>
      <w:spacing w:after="120"/>
    </w:pPr>
  </w:style>
  <w:style w:type="character" w:customStyle="1" w:styleId="BodyTextChar">
    <w:name w:val="Body Text Char"/>
    <w:basedOn w:val="DefaultParagraphFont"/>
    <w:link w:val="BodyText"/>
    <w:uiPriority w:val="99"/>
    <w:rsid w:val="002062CF"/>
    <w:rPr>
      <w:rFonts w:eastAsia="Times New Roman"/>
      <w:sz w:val="24"/>
      <w:szCs w:val="24"/>
      <w:lang w:eastAsia="en-US"/>
    </w:rPr>
  </w:style>
  <w:style w:type="character" w:customStyle="1" w:styleId="Heading4Char">
    <w:name w:val="Heading 4 Char"/>
    <w:basedOn w:val="DefaultParagraphFont"/>
    <w:link w:val="Heading4"/>
    <w:rsid w:val="00B73137"/>
    <w:rPr>
      <w:rFonts w:eastAsia="Times New Roman"/>
      <w:noProof/>
      <w:sz w:val="22"/>
      <w:lang w:eastAsia="en-US"/>
    </w:rPr>
  </w:style>
  <w:style w:type="character" w:styleId="CommentReference">
    <w:name w:val="annotation reference"/>
    <w:basedOn w:val="DefaultParagraphFont"/>
    <w:uiPriority w:val="99"/>
    <w:semiHidden/>
    <w:unhideWhenUsed/>
    <w:rsid w:val="00FE211C"/>
    <w:rPr>
      <w:sz w:val="16"/>
      <w:szCs w:val="16"/>
    </w:rPr>
  </w:style>
  <w:style w:type="paragraph" w:styleId="CommentText">
    <w:name w:val="annotation text"/>
    <w:basedOn w:val="Normal"/>
    <w:link w:val="CommentTextChar"/>
    <w:uiPriority w:val="99"/>
    <w:semiHidden/>
    <w:unhideWhenUsed/>
    <w:rsid w:val="00FE211C"/>
    <w:rPr>
      <w:sz w:val="20"/>
      <w:szCs w:val="20"/>
    </w:rPr>
  </w:style>
  <w:style w:type="character" w:customStyle="1" w:styleId="CommentTextChar">
    <w:name w:val="Comment Text Char"/>
    <w:basedOn w:val="DefaultParagraphFont"/>
    <w:link w:val="CommentText"/>
    <w:uiPriority w:val="99"/>
    <w:semiHidden/>
    <w:rsid w:val="00FE211C"/>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FE211C"/>
    <w:rPr>
      <w:b/>
      <w:bCs/>
    </w:rPr>
  </w:style>
  <w:style w:type="character" w:customStyle="1" w:styleId="CommentSubjectChar">
    <w:name w:val="Comment Subject Char"/>
    <w:basedOn w:val="CommentTextChar"/>
    <w:link w:val="CommentSubject"/>
    <w:uiPriority w:val="99"/>
    <w:semiHidden/>
    <w:rsid w:val="00FE211C"/>
    <w:rPr>
      <w:rFonts w:eastAsia="Times New Roman"/>
      <w:b/>
      <w:bCs/>
      <w:lang w:eastAsia="en-US"/>
    </w:rPr>
  </w:style>
  <w:style w:type="paragraph" w:styleId="BalloonText">
    <w:name w:val="Balloon Text"/>
    <w:basedOn w:val="Normal"/>
    <w:link w:val="BalloonTextChar"/>
    <w:uiPriority w:val="99"/>
    <w:semiHidden/>
    <w:unhideWhenUsed/>
    <w:rsid w:val="00FE211C"/>
    <w:rPr>
      <w:rFonts w:ascii="Tahoma" w:hAnsi="Tahoma" w:cs="Tahoma"/>
      <w:sz w:val="16"/>
      <w:szCs w:val="16"/>
    </w:rPr>
  </w:style>
  <w:style w:type="character" w:customStyle="1" w:styleId="BalloonTextChar">
    <w:name w:val="Balloon Text Char"/>
    <w:basedOn w:val="DefaultParagraphFont"/>
    <w:link w:val="BalloonText"/>
    <w:uiPriority w:val="99"/>
    <w:semiHidden/>
    <w:rsid w:val="00FE211C"/>
    <w:rPr>
      <w:rFonts w:ascii="Tahoma" w:eastAsia="Times New Roman" w:hAnsi="Tahoma" w:cs="Tahoma"/>
      <w:sz w:val="16"/>
      <w:szCs w:val="16"/>
      <w:lang w:eastAsia="en-US"/>
    </w:rPr>
  </w:style>
  <w:style w:type="character" w:customStyle="1" w:styleId="Heading1Char">
    <w:name w:val="Heading 1 Char"/>
    <w:basedOn w:val="DefaultParagraphFont"/>
    <w:link w:val="Heading1"/>
    <w:uiPriority w:val="9"/>
    <w:rsid w:val="00B169BD"/>
    <w:rPr>
      <w:rFonts w:asciiTheme="majorHAnsi" w:eastAsiaTheme="majorEastAsia" w:hAnsiTheme="majorHAnsi" w:cstheme="majorBidi"/>
      <w:b/>
      <w:bCs/>
      <w:color w:val="365F91" w:themeColor="accent1" w:themeShade="BF"/>
      <w:sz w:val="28"/>
      <w:szCs w:val="28"/>
      <w:lang w:eastAsia="en-US"/>
    </w:rPr>
  </w:style>
  <w:style w:type="paragraph" w:styleId="FootnoteText">
    <w:name w:val="footnote text"/>
    <w:basedOn w:val="Normal"/>
    <w:link w:val="FootnoteTextChar"/>
    <w:uiPriority w:val="99"/>
    <w:semiHidden/>
    <w:unhideWhenUsed/>
    <w:rsid w:val="00052106"/>
    <w:rPr>
      <w:sz w:val="20"/>
      <w:szCs w:val="20"/>
    </w:rPr>
  </w:style>
  <w:style w:type="character" w:customStyle="1" w:styleId="FootnoteTextChar">
    <w:name w:val="Footnote Text Char"/>
    <w:basedOn w:val="DefaultParagraphFont"/>
    <w:link w:val="FootnoteText"/>
    <w:uiPriority w:val="99"/>
    <w:semiHidden/>
    <w:rsid w:val="00052106"/>
    <w:rPr>
      <w:rFonts w:eastAsia="Times New Roman"/>
      <w:lang w:eastAsia="en-US"/>
    </w:rPr>
  </w:style>
  <w:style w:type="character" w:styleId="FootnoteReference">
    <w:name w:val="footnote reference"/>
    <w:basedOn w:val="DefaultParagraphFont"/>
    <w:uiPriority w:val="99"/>
    <w:semiHidden/>
    <w:unhideWhenUsed/>
    <w:rsid w:val="0005210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36"/>
    <w:rPr>
      <w:rFonts w:eastAsia="Times New Roman"/>
      <w:sz w:val="24"/>
      <w:szCs w:val="24"/>
      <w:lang w:eastAsia="en-US"/>
    </w:rPr>
  </w:style>
  <w:style w:type="paragraph" w:styleId="Heading1">
    <w:name w:val="heading 1"/>
    <w:basedOn w:val="Normal"/>
    <w:next w:val="Normal"/>
    <w:link w:val="Heading1Char"/>
    <w:uiPriority w:val="9"/>
    <w:qFormat/>
    <w:rsid w:val="00B169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autoRedefine/>
    <w:qFormat/>
    <w:rsid w:val="00B73137"/>
    <w:pPr>
      <w:keepLines/>
      <w:jc w:val="right"/>
      <w:outlineLvl w:val="3"/>
    </w:pPr>
    <w:rPr>
      <w:noProof/>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C7936"/>
    <w:pPr>
      <w:tabs>
        <w:tab w:val="center" w:pos="4153"/>
        <w:tab w:val="right" w:pos="8306"/>
      </w:tabs>
    </w:pPr>
    <w:rPr>
      <w:sz w:val="20"/>
    </w:rPr>
  </w:style>
  <w:style w:type="character" w:customStyle="1" w:styleId="HeaderChar">
    <w:name w:val="Header Char"/>
    <w:link w:val="Header"/>
    <w:rsid w:val="00FC7936"/>
    <w:rPr>
      <w:rFonts w:eastAsia="Times New Roman"/>
      <w:szCs w:val="24"/>
    </w:rPr>
  </w:style>
  <w:style w:type="paragraph" w:styleId="Footer">
    <w:name w:val="footer"/>
    <w:basedOn w:val="Normal"/>
    <w:link w:val="FooterChar"/>
    <w:unhideWhenUsed/>
    <w:rsid w:val="00FC7936"/>
    <w:pPr>
      <w:tabs>
        <w:tab w:val="center" w:pos="4153"/>
        <w:tab w:val="right" w:pos="8306"/>
      </w:tabs>
    </w:pPr>
    <w:rPr>
      <w:sz w:val="20"/>
    </w:rPr>
  </w:style>
  <w:style w:type="character" w:customStyle="1" w:styleId="FooterChar">
    <w:name w:val="Footer Char"/>
    <w:link w:val="Footer"/>
    <w:rsid w:val="00FC7936"/>
    <w:rPr>
      <w:rFonts w:eastAsia="Times New Roman"/>
      <w:szCs w:val="24"/>
    </w:rPr>
  </w:style>
  <w:style w:type="paragraph" w:customStyle="1" w:styleId="Nobeigums">
    <w:name w:val="Nobeigums"/>
    <w:basedOn w:val="Normal"/>
    <w:rsid w:val="00FC7936"/>
    <w:rPr>
      <w:szCs w:val="20"/>
      <w:lang w:val="en-US"/>
    </w:rPr>
  </w:style>
  <w:style w:type="paragraph" w:customStyle="1" w:styleId="Teksts1">
    <w:name w:val="Teksts1"/>
    <w:basedOn w:val="Normal"/>
    <w:rsid w:val="00FC7936"/>
    <w:pPr>
      <w:suppressAutoHyphens/>
      <w:spacing w:after="320"/>
      <w:jc w:val="both"/>
    </w:pPr>
    <w:rPr>
      <w:szCs w:val="20"/>
      <w:lang w:eastAsia="ar-SA"/>
    </w:rPr>
  </w:style>
  <w:style w:type="paragraph" w:customStyle="1" w:styleId="Datums">
    <w:name w:val="Datums"/>
    <w:basedOn w:val="Normal"/>
    <w:next w:val="Normal"/>
    <w:rsid w:val="00FC7936"/>
    <w:pPr>
      <w:spacing w:before="1700"/>
    </w:pPr>
    <w:rPr>
      <w:szCs w:val="20"/>
      <w:lang w:val="en-US"/>
    </w:rPr>
  </w:style>
  <w:style w:type="paragraph" w:customStyle="1" w:styleId="Registrnum">
    <w:name w:val="Registr. num"/>
    <w:basedOn w:val="Normal"/>
    <w:next w:val="Normal"/>
    <w:rsid w:val="00FC7936"/>
    <w:pPr>
      <w:spacing w:after="320"/>
    </w:pPr>
    <w:rPr>
      <w:szCs w:val="20"/>
      <w:lang w:val="en-US"/>
    </w:rPr>
  </w:style>
  <w:style w:type="paragraph" w:customStyle="1" w:styleId="Autors">
    <w:name w:val="Autors"/>
    <w:basedOn w:val="Normal"/>
    <w:next w:val="Normal"/>
    <w:rsid w:val="00FC7936"/>
    <w:pPr>
      <w:tabs>
        <w:tab w:val="right" w:pos="9072"/>
      </w:tabs>
      <w:spacing w:before="1440"/>
    </w:pPr>
    <w:rPr>
      <w:szCs w:val="20"/>
      <w:lang w:val="en-US"/>
    </w:rPr>
  </w:style>
  <w:style w:type="paragraph" w:customStyle="1" w:styleId="Valsts">
    <w:name w:val="Valsts"/>
    <w:basedOn w:val="Normal"/>
    <w:rsid w:val="00FC7936"/>
    <w:rPr>
      <w:caps/>
      <w:szCs w:val="20"/>
      <w:lang w:val="en-US"/>
    </w:rPr>
  </w:style>
  <w:style w:type="paragraph" w:styleId="BodyText2">
    <w:name w:val="Body Text 2"/>
    <w:basedOn w:val="Normal"/>
    <w:link w:val="BodyText2Char"/>
    <w:semiHidden/>
    <w:rsid w:val="00FC7936"/>
    <w:pPr>
      <w:spacing w:after="120" w:line="480" w:lineRule="auto"/>
      <w:jc w:val="both"/>
    </w:pPr>
    <w:rPr>
      <w:sz w:val="20"/>
      <w:szCs w:val="20"/>
    </w:rPr>
  </w:style>
  <w:style w:type="character" w:customStyle="1" w:styleId="BodyText2Char">
    <w:name w:val="Body Text 2 Char"/>
    <w:link w:val="BodyText2"/>
    <w:semiHidden/>
    <w:rsid w:val="00FC7936"/>
    <w:rPr>
      <w:rFonts w:eastAsia="Times New Roman"/>
      <w:szCs w:val="20"/>
    </w:rPr>
  </w:style>
  <w:style w:type="paragraph" w:customStyle="1" w:styleId="Mazaisvirsraksts">
    <w:name w:val="Mazais virsraksts"/>
    <w:basedOn w:val="Normal"/>
    <w:rsid w:val="00FC7936"/>
    <w:pPr>
      <w:spacing w:before="240" w:after="120"/>
    </w:pPr>
    <w:rPr>
      <w:rFonts w:ascii="Teutonica" w:hAnsi="Teutonica"/>
      <w:b/>
      <w:smallCaps/>
      <w:szCs w:val="20"/>
    </w:rPr>
  </w:style>
  <w:style w:type="paragraph" w:customStyle="1" w:styleId="Default">
    <w:name w:val="Default"/>
    <w:rsid w:val="00F034A5"/>
    <w:pPr>
      <w:autoSpaceDE w:val="0"/>
      <w:autoSpaceDN w:val="0"/>
      <w:adjustRightInd w:val="0"/>
    </w:pPr>
    <w:rPr>
      <w:color w:val="000000"/>
      <w:sz w:val="24"/>
      <w:szCs w:val="24"/>
    </w:rPr>
  </w:style>
  <w:style w:type="table" w:styleId="TableGrid">
    <w:name w:val="Table Grid"/>
    <w:basedOn w:val="TableNormal"/>
    <w:uiPriority w:val="59"/>
    <w:rsid w:val="00026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4077"/>
    <w:rPr>
      <w:color w:val="0000FF"/>
      <w:u w:val="single"/>
    </w:rPr>
  </w:style>
  <w:style w:type="paragraph" w:styleId="BodyText">
    <w:name w:val="Body Text"/>
    <w:basedOn w:val="Normal"/>
    <w:link w:val="BodyTextChar"/>
    <w:uiPriority w:val="99"/>
    <w:unhideWhenUsed/>
    <w:rsid w:val="002062CF"/>
    <w:pPr>
      <w:spacing w:after="120"/>
    </w:pPr>
  </w:style>
  <w:style w:type="character" w:customStyle="1" w:styleId="BodyTextChar">
    <w:name w:val="Body Text Char"/>
    <w:basedOn w:val="DefaultParagraphFont"/>
    <w:link w:val="BodyText"/>
    <w:uiPriority w:val="99"/>
    <w:rsid w:val="002062CF"/>
    <w:rPr>
      <w:rFonts w:eastAsia="Times New Roman"/>
      <w:sz w:val="24"/>
      <w:szCs w:val="24"/>
      <w:lang w:eastAsia="en-US"/>
    </w:rPr>
  </w:style>
  <w:style w:type="character" w:customStyle="1" w:styleId="Heading4Char">
    <w:name w:val="Heading 4 Char"/>
    <w:basedOn w:val="DefaultParagraphFont"/>
    <w:link w:val="Heading4"/>
    <w:rsid w:val="00B73137"/>
    <w:rPr>
      <w:rFonts w:eastAsia="Times New Roman"/>
      <w:noProof/>
      <w:sz w:val="22"/>
      <w:lang w:eastAsia="en-US"/>
    </w:rPr>
  </w:style>
  <w:style w:type="character" w:styleId="CommentReference">
    <w:name w:val="annotation reference"/>
    <w:basedOn w:val="DefaultParagraphFont"/>
    <w:uiPriority w:val="99"/>
    <w:semiHidden/>
    <w:unhideWhenUsed/>
    <w:rsid w:val="00FE211C"/>
    <w:rPr>
      <w:sz w:val="16"/>
      <w:szCs w:val="16"/>
    </w:rPr>
  </w:style>
  <w:style w:type="paragraph" w:styleId="CommentText">
    <w:name w:val="annotation text"/>
    <w:basedOn w:val="Normal"/>
    <w:link w:val="CommentTextChar"/>
    <w:uiPriority w:val="99"/>
    <w:semiHidden/>
    <w:unhideWhenUsed/>
    <w:rsid w:val="00FE211C"/>
    <w:rPr>
      <w:sz w:val="20"/>
      <w:szCs w:val="20"/>
    </w:rPr>
  </w:style>
  <w:style w:type="character" w:customStyle="1" w:styleId="CommentTextChar">
    <w:name w:val="Comment Text Char"/>
    <w:basedOn w:val="DefaultParagraphFont"/>
    <w:link w:val="CommentText"/>
    <w:uiPriority w:val="99"/>
    <w:semiHidden/>
    <w:rsid w:val="00FE211C"/>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FE211C"/>
    <w:rPr>
      <w:b/>
      <w:bCs/>
    </w:rPr>
  </w:style>
  <w:style w:type="character" w:customStyle="1" w:styleId="CommentSubjectChar">
    <w:name w:val="Comment Subject Char"/>
    <w:basedOn w:val="CommentTextChar"/>
    <w:link w:val="CommentSubject"/>
    <w:uiPriority w:val="99"/>
    <w:semiHidden/>
    <w:rsid w:val="00FE211C"/>
    <w:rPr>
      <w:rFonts w:eastAsia="Times New Roman"/>
      <w:b/>
      <w:bCs/>
      <w:lang w:eastAsia="en-US"/>
    </w:rPr>
  </w:style>
  <w:style w:type="paragraph" w:styleId="BalloonText">
    <w:name w:val="Balloon Text"/>
    <w:basedOn w:val="Normal"/>
    <w:link w:val="BalloonTextChar"/>
    <w:uiPriority w:val="99"/>
    <w:semiHidden/>
    <w:unhideWhenUsed/>
    <w:rsid w:val="00FE211C"/>
    <w:rPr>
      <w:rFonts w:ascii="Tahoma" w:hAnsi="Tahoma" w:cs="Tahoma"/>
      <w:sz w:val="16"/>
      <w:szCs w:val="16"/>
    </w:rPr>
  </w:style>
  <w:style w:type="character" w:customStyle="1" w:styleId="BalloonTextChar">
    <w:name w:val="Balloon Text Char"/>
    <w:basedOn w:val="DefaultParagraphFont"/>
    <w:link w:val="BalloonText"/>
    <w:uiPriority w:val="99"/>
    <w:semiHidden/>
    <w:rsid w:val="00FE211C"/>
    <w:rPr>
      <w:rFonts w:ascii="Tahoma" w:eastAsia="Times New Roman" w:hAnsi="Tahoma" w:cs="Tahoma"/>
      <w:sz w:val="16"/>
      <w:szCs w:val="16"/>
      <w:lang w:eastAsia="en-US"/>
    </w:rPr>
  </w:style>
  <w:style w:type="character" w:customStyle="1" w:styleId="Heading1Char">
    <w:name w:val="Heading 1 Char"/>
    <w:basedOn w:val="DefaultParagraphFont"/>
    <w:link w:val="Heading1"/>
    <w:uiPriority w:val="9"/>
    <w:rsid w:val="00B169BD"/>
    <w:rPr>
      <w:rFonts w:asciiTheme="majorHAnsi" w:eastAsiaTheme="majorEastAsia" w:hAnsiTheme="majorHAnsi" w:cstheme="majorBidi"/>
      <w:b/>
      <w:bCs/>
      <w:color w:val="365F91" w:themeColor="accent1" w:themeShade="BF"/>
      <w:sz w:val="28"/>
      <w:szCs w:val="28"/>
      <w:lang w:eastAsia="en-US"/>
    </w:rPr>
  </w:style>
  <w:style w:type="paragraph" w:styleId="FootnoteText">
    <w:name w:val="footnote text"/>
    <w:basedOn w:val="Normal"/>
    <w:link w:val="FootnoteTextChar"/>
    <w:uiPriority w:val="99"/>
    <w:semiHidden/>
    <w:unhideWhenUsed/>
    <w:rsid w:val="00052106"/>
    <w:rPr>
      <w:sz w:val="20"/>
      <w:szCs w:val="20"/>
    </w:rPr>
  </w:style>
  <w:style w:type="character" w:customStyle="1" w:styleId="FootnoteTextChar">
    <w:name w:val="Footnote Text Char"/>
    <w:basedOn w:val="DefaultParagraphFont"/>
    <w:link w:val="FootnoteText"/>
    <w:uiPriority w:val="99"/>
    <w:semiHidden/>
    <w:rsid w:val="00052106"/>
    <w:rPr>
      <w:rFonts w:eastAsia="Times New Roman"/>
      <w:lang w:eastAsia="en-US"/>
    </w:rPr>
  </w:style>
  <w:style w:type="character" w:styleId="FootnoteReference">
    <w:name w:val="footnote reference"/>
    <w:basedOn w:val="DefaultParagraphFont"/>
    <w:uiPriority w:val="99"/>
    <w:semiHidden/>
    <w:unhideWhenUsed/>
    <w:rsid w:val="000521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296669">
      <w:bodyDiv w:val="1"/>
      <w:marLeft w:val="0"/>
      <w:marRight w:val="0"/>
      <w:marTop w:val="0"/>
      <w:marBottom w:val="0"/>
      <w:divBdr>
        <w:top w:val="none" w:sz="0" w:space="0" w:color="auto"/>
        <w:left w:val="none" w:sz="0" w:space="0" w:color="auto"/>
        <w:bottom w:val="none" w:sz="0" w:space="0" w:color="auto"/>
        <w:right w:val="none" w:sz="0" w:space="0" w:color="auto"/>
      </w:divBdr>
    </w:div>
    <w:div w:id="1180774641">
      <w:bodyDiv w:val="1"/>
      <w:marLeft w:val="0"/>
      <w:marRight w:val="0"/>
      <w:marTop w:val="0"/>
      <w:marBottom w:val="0"/>
      <w:divBdr>
        <w:top w:val="none" w:sz="0" w:space="0" w:color="auto"/>
        <w:left w:val="none" w:sz="0" w:space="0" w:color="auto"/>
        <w:bottom w:val="none" w:sz="0" w:space="0" w:color="auto"/>
        <w:right w:val="none" w:sz="0" w:space="0" w:color="auto"/>
      </w:divBdr>
    </w:div>
    <w:div w:id="177670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A076E-B478-4277-A3C5-AFCF9985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Pages>
  <Words>3884</Words>
  <Characters>2215</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FKTK</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Petersone</dc:creator>
  <cp:lastModifiedBy>Jelena Zubkova</cp:lastModifiedBy>
  <cp:revision>11</cp:revision>
  <cp:lastPrinted>2017-01-13T09:57:00Z</cp:lastPrinted>
  <dcterms:created xsi:type="dcterms:W3CDTF">2017-01-13T09:45:00Z</dcterms:created>
  <dcterms:modified xsi:type="dcterms:W3CDTF">2017-01-13T12:23:00Z</dcterms:modified>
</cp:coreProperties>
</file>