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68D" w:rsidRPr="0032368D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Cs w:val="20"/>
        </w:rPr>
      </w:pPr>
      <w:bookmarkStart w:id="0" w:name="_Toc403946511"/>
      <w:r w:rsidRPr="0032368D">
        <w:rPr>
          <w:rFonts w:ascii="Times New Roman" w:eastAsia="Times New Roman" w:hAnsi="Times New Roman" w:cs="Times New Roman"/>
          <w:b/>
          <w:bCs/>
          <w:kern w:val="28"/>
          <w:szCs w:val="20"/>
        </w:rPr>
        <w:t>2</w:t>
      </w:r>
      <w:r w:rsidR="005237C0">
        <w:rPr>
          <w:rFonts w:ascii="Times New Roman" w:eastAsia="Times New Roman" w:hAnsi="Times New Roman" w:cs="Times New Roman"/>
          <w:b/>
          <w:bCs/>
          <w:kern w:val="28"/>
          <w:szCs w:val="20"/>
        </w:rPr>
        <w:t>6</w:t>
      </w:r>
      <w:bookmarkStart w:id="1" w:name="_GoBack"/>
      <w:bookmarkEnd w:id="1"/>
      <w:r w:rsidRPr="0032368D">
        <w:rPr>
          <w:rFonts w:ascii="Times New Roman" w:eastAsia="Times New Roman" w:hAnsi="Times New Roman" w:cs="Times New Roman"/>
          <w:b/>
          <w:bCs/>
          <w:kern w:val="28"/>
          <w:szCs w:val="20"/>
        </w:rPr>
        <w:t>.</w:t>
      </w:r>
      <w:r w:rsidR="00DD7B69">
        <w:rPr>
          <w:rFonts w:ascii="Times New Roman" w:eastAsia="Times New Roman" w:hAnsi="Times New Roman" w:cs="Times New Roman"/>
          <w:b/>
          <w:bCs/>
          <w:kern w:val="28"/>
          <w:szCs w:val="20"/>
        </w:rPr>
        <w:t>0</w:t>
      </w:r>
      <w:r w:rsidR="00C4158C">
        <w:rPr>
          <w:rFonts w:ascii="Times New Roman" w:eastAsia="Times New Roman" w:hAnsi="Times New Roman" w:cs="Times New Roman"/>
          <w:b/>
          <w:bCs/>
          <w:kern w:val="28"/>
          <w:szCs w:val="20"/>
        </w:rPr>
        <w:t>4</w:t>
      </w:r>
      <w:r w:rsidRPr="0032368D">
        <w:rPr>
          <w:rFonts w:ascii="Times New Roman" w:eastAsia="Times New Roman" w:hAnsi="Times New Roman" w:cs="Times New Roman"/>
          <w:b/>
          <w:bCs/>
          <w:kern w:val="28"/>
          <w:szCs w:val="20"/>
        </w:rPr>
        <w:t>.201</w:t>
      </w:r>
      <w:r w:rsidR="0091533F">
        <w:rPr>
          <w:rFonts w:ascii="Times New Roman" w:eastAsia="Times New Roman" w:hAnsi="Times New Roman" w:cs="Times New Roman"/>
          <w:b/>
          <w:bCs/>
          <w:kern w:val="28"/>
          <w:szCs w:val="20"/>
        </w:rPr>
        <w:t>6</w:t>
      </w:r>
      <w:r w:rsidRPr="0032368D">
        <w:rPr>
          <w:rFonts w:ascii="Times New Roman" w:eastAsia="Times New Roman" w:hAnsi="Times New Roman" w:cs="Times New Roman"/>
          <w:b/>
          <w:bCs/>
          <w:kern w:val="28"/>
          <w:szCs w:val="20"/>
        </w:rPr>
        <w:t xml:space="preserve">. lēmums par </w:t>
      </w:r>
      <w:proofErr w:type="spellStart"/>
      <w:r w:rsidR="00C4158C">
        <w:rPr>
          <w:rFonts w:ascii="Times New Roman" w:eastAsia="Times New Roman" w:hAnsi="Times New Roman" w:cs="Times New Roman"/>
          <w:b/>
          <w:bCs/>
          <w:kern w:val="28"/>
          <w:szCs w:val="20"/>
        </w:rPr>
        <w:t>p</w:t>
      </w:r>
      <w:r w:rsidRPr="0032368D">
        <w:rPr>
          <w:rFonts w:ascii="Times New Roman" w:eastAsia="Times New Roman" w:hAnsi="Times New Roman" w:cs="Times New Roman"/>
          <w:b/>
          <w:bCs/>
          <w:kern w:val="28"/>
          <w:szCs w:val="20"/>
        </w:rPr>
        <w:t>retcikliskās</w:t>
      </w:r>
      <w:proofErr w:type="spellEnd"/>
      <w:r w:rsidRPr="0032368D">
        <w:rPr>
          <w:rFonts w:ascii="Times New Roman" w:eastAsia="Times New Roman" w:hAnsi="Times New Roman" w:cs="Times New Roman"/>
          <w:b/>
          <w:bCs/>
          <w:kern w:val="28"/>
          <w:szCs w:val="20"/>
        </w:rPr>
        <w:t xml:space="preserve"> kapitāla rezerves normas noteikšanu</w:t>
      </w:r>
    </w:p>
    <w:p w:rsidR="00C4158C" w:rsidRDefault="00C4158C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Cs w:val="20"/>
        </w:rPr>
      </w:pPr>
    </w:p>
    <w:p w:rsidR="0032368D" w:rsidRPr="0032368D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Cs w:val="20"/>
        </w:rPr>
      </w:pPr>
      <w:proofErr w:type="spellStart"/>
      <w:r w:rsidRPr="0032368D">
        <w:rPr>
          <w:rFonts w:ascii="Times New Roman" w:eastAsia="Times New Roman" w:hAnsi="Times New Roman" w:cs="Times New Roman"/>
          <w:b/>
          <w:kern w:val="28"/>
          <w:szCs w:val="20"/>
        </w:rPr>
        <w:t>Pretcikliskās</w:t>
      </w:r>
      <w:proofErr w:type="spellEnd"/>
      <w:r w:rsidRPr="0032368D">
        <w:rPr>
          <w:rFonts w:ascii="Times New Roman" w:eastAsia="Times New Roman" w:hAnsi="Times New Roman" w:cs="Times New Roman"/>
          <w:b/>
          <w:kern w:val="28"/>
          <w:szCs w:val="20"/>
        </w:rPr>
        <w:t xml:space="preserve"> kapitāla rezerves (PKR) norma tiek noteikta</w:t>
      </w:r>
      <w:r w:rsidRPr="0032368D">
        <w:rPr>
          <w:rFonts w:ascii="Times New Roman" w:eastAsia="Times New Roman" w:hAnsi="Times New Roman" w:cs="Times New Roman"/>
          <w:b/>
          <w:bCs/>
          <w:kern w:val="28"/>
          <w:szCs w:val="20"/>
        </w:rPr>
        <w:t> 0% apmērā</w:t>
      </w:r>
      <w:r w:rsidRPr="0032368D">
        <w:rPr>
          <w:rFonts w:ascii="Times New Roman" w:eastAsia="Times New Roman" w:hAnsi="Times New Roman" w:cs="Times New Roman"/>
          <w:b/>
          <w:kern w:val="28"/>
          <w:szCs w:val="20"/>
        </w:rPr>
        <w:t xml:space="preserve">. Noteikto PKR normu kredītiestādei specifiskās </w:t>
      </w:r>
      <w:proofErr w:type="spellStart"/>
      <w:r w:rsidRPr="0032368D">
        <w:rPr>
          <w:rFonts w:ascii="Times New Roman" w:eastAsia="Times New Roman" w:hAnsi="Times New Roman" w:cs="Times New Roman"/>
          <w:b/>
          <w:kern w:val="28"/>
          <w:szCs w:val="20"/>
        </w:rPr>
        <w:t>pretcikliskās</w:t>
      </w:r>
      <w:proofErr w:type="spellEnd"/>
      <w:r w:rsidRPr="0032368D">
        <w:rPr>
          <w:rFonts w:ascii="Times New Roman" w:eastAsia="Times New Roman" w:hAnsi="Times New Roman" w:cs="Times New Roman"/>
          <w:b/>
          <w:kern w:val="28"/>
          <w:szCs w:val="20"/>
        </w:rPr>
        <w:t xml:space="preserve"> kapitāla rezerves aprēķinā izmanto </w:t>
      </w:r>
      <w:r w:rsidRPr="0032368D">
        <w:rPr>
          <w:rFonts w:ascii="Times New Roman" w:eastAsia="Times New Roman" w:hAnsi="Times New Roman" w:cs="Times New Roman"/>
          <w:b/>
          <w:bCs/>
          <w:kern w:val="28"/>
          <w:szCs w:val="20"/>
        </w:rPr>
        <w:t>no 201</w:t>
      </w:r>
      <w:r w:rsidR="0091533F">
        <w:rPr>
          <w:rFonts w:ascii="Times New Roman" w:eastAsia="Times New Roman" w:hAnsi="Times New Roman" w:cs="Times New Roman"/>
          <w:b/>
          <w:bCs/>
          <w:kern w:val="28"/>
          <w:szCs w:val="20"/>
        </w:rPr>
        <w:t>7</w:t>
      </w:r>
      <w:r w:rsidRPr="0032368D">
        <w:rPr>
          <w:rFonts w:ascii="Times New Roman" w:eastAsia="Times New Roman" w:hAnsi="Times New Roman" w:cs="Times New Roman"/>
          <w:b/>
          <w:bCs/>
          <w:kern w:val="28"/>
          <w:szCs w:val="20"/>
        </w:rPr>
        <w:t xml:space="preserve">. gada 1. </w:t>
      </w:r>
      <w:r w:rsidR="00C4158C">
        <w:rPr>
          <w:rFonts w:ascii="Times New Roman" w:eastAsia="Times New Roman" w:hAnsi="Times New Roman" w:cs="Times New Roman"/>
          <w:b/>
          <w:bCs/>
          <w:kern w:val="28"/>
          <w:szCs w:val="20"/>
        </w:rPr>
        <w:t>maija</w:t>
      </w:r>
      <w:r w:rsidRPr="0032368D">
        <w:rPr>
          <w:rFonts w:ascii="Times New Roman" w:eastAsia="Times New Roman" w:hAnsi="Times New Roman" w:cs="Times New Roman"/>
          <w:b/>
          <w:kern w:val="28"/>
          <w:szCs w:val="20"/>
        </w:rPr>
        <w:t>. Nākamo divu gadu laikā nepieciešamība paaugstināt PKR normu nav paredzama.</w:t>
      </w:r>
    </w:p>
    <w:p w:rsidR="0032368D" w:rsidRPr="0032368D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Cs w:val="20"/>
        </w:rPr>
      </w:pPr>
    </w:p>
    <w:p w:rsidR="0032368D" w:rsidRPr="0032368D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  <w:r w:rsidRPr="0032368D">
        <w:rPr>
          <w:rFonts w:ascii="Times New Roman" w:eastAsia="Times New Roman" w:hAnsi="Times New Roman" w:cs="Times New Roman"/>
          <w:b/>
          <w:kern w:val="28"/>
          <w:szCs w:val="20"/>
        </w:rPr>
        <w:t>1.</w:t>
      </w:r>
      <w:r w:rsidRPr="0032368D">
        <w:rPr>
          <w:rFonts w:ascii="Times New Roman" w:eastAsia="Times New Roman" w:hAnsi="Times New Roman" w:cs="Times New Roman"/>
          <w:kern w:val="28"/>
          <w:szCs w:val="20"/>
        </w:rPr>
        <w:t xml:space="preserve"> Saskaņā ar Kredītiestāžu likuma 35</w:t>
      </w:r>
      <w:r w:rsidR="0091533F">
        <w:rPr>
          <w:rFonts w:ascii="Times New Roman" w:eastAsia="Times New Roman" w:hAnsi="Times New Roman" w:cs="Times New Roman"/>
          <w:kern w:val="28"/>
          <w:szCs w:val="20"/>
        </w:rPr>
        <w:t>.</w:t>
      </w:r>
      <w:r w:rsidRPr="0032368D">
        <w:rPr>
          <w:rFonts w:ascii="Times New Roman" w:eastAsia="Times New Roman" w:hAnsi="Times New Roman" w:cs="Times New Roman"/>
          <w:kern w:val="28"/>
          <w:szCs w:val="20"/>
          <w:vertAlign w:val="superscript"/>
        </w:rPr>
        <w:t>5</w:t>
      </w:r>
      <w:r w:rsidRPr="0032368D">
        <w:rPr>
          <w:rFonts w:ascii="Times New Roman" w:eastAsia="Times New Roman" w:hAnsi="Times New Roman" w:cs="Times New Roman"/>
          <w:kern w:val="28"/>
          <w:szCs w:val="20"/>
        </w:rPr>
        <w:t xml:space="preserve"> panta </w:t>
      </w:r>
      <w:r w:rsidR="005E27EE">
        <w:rPr>
          <w:rFonts w:ascii="Times New Roman" w:eastAsia="Times New Roman" w:hAnsi="Times New Roman" w:cs="Times New Roman"/>
          <w:kern w:val="28"/>
          <w:szCs w:val="20"/>
        </w:rPr>
        <w:t>pirmo</w:t>
      </w:r>
      <w:r w:rsidRPr="0032368D">
        <w:rPr>
          <w:rFonts w:ascii="Times New Roman" w:eastAsia="Times New Roman" w:hAnsi="Times New Roman" w:cs="Times New Roman"/>
          <w:kern w:val="28"/>
          <w:szCs w:val="20"/>
        </w:rPr>
        <w:t xml:space="preserve"> daļu Finanšu un kapitāla tirgus komisija (tālāk tekstā – Komisija) reizi ceturksnī nosaka </w:t>
      </w:r>
      <w:proofErr w:type="spellStart"/>
      <w:r w:rsidRPr="0032368D">
        <w:rPr>
          <w:rFonts w:ascii="Times New Roman" w:eastAsia="Times New Roman" w:hAnsi="Times New Roman" w:cs="Times New Roman"/>
          <w:kern w:val="28"/>
          <w:szCs w:val="20"/>
        </w:rPr>
        <w:t>pretcikliskās</w:t>
      </w:r>
      <w:proofErr w:type="spellEnd"/>
      <w:r w:rsidRPr="0032368D">
        <w:rPr>
          <w:rFonts w:ascii="Times New Roman" w:eastAsia="Times New Roman" w:hAnsi="Times New Roman" w:cs="Times New Roman"/>
          <w:kern w:val="28"/>
          <w:szCs w:val="20"/>
        </w:rPr>
        <w:t xml:space="preserve"> kapitāla rezerves (tālāk tekstā – PKR) normu, kas attiecināma uz riska darījumiem, kuri noslēgti ar Latvijas Republikas rezidentiem, ņemot vērā:</w:t>
      </w:r>
    </w:p>
    <w:p w:rsidR="0032368D" w:rsidRPr="0032368D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  <w:r w:rsidRPr="0032368D">
        <w:rPr>
          <w:rFonts w:ascii="Times New Roman" w:eastAsia="Times New Roman" w:hAnsi="Times New Roman" w:cs="Times New Roman"/>
          <w:kern w:val="28"/>
          <w:szCs w:val="20"/>
        </w:rPr>
        <w:t>1) attiecīgajam ceturksnim aprēķināto PKR orientieri;</w:t>
      </w:r>
    </w:p>
    <w:p w:rsidR="0032368D" w:rsidRPr="0032368D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  <w:r w:rsidRPr="0032368D">
        <w:rPr>
          <w:rFonts w:ascii="Times New Roman" w:eastAsia="Times New Roman" w:hAnsi="Times New Roman" w:cs="Times New Roman"/>
          <w:kern w:val="28"/>
          <w:szCs w:val="20"/>
        </w:rPr>
        <w:t>2) mainīgos lielumus, kurus tā uzskata par būtiskiem cikliskā sistēmiskā riska novērtēšanai;</w:t>
      </w:r>
    </w:p>
    <w:p w:rsidR="0032368D" w:rsidRPr="0032368D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  <w:r w:rsidRPr="0032368D">
        <w:rPr>
          <w:rFonts w:ascii="Times New Roman" w:eastAsia="Times New Roman" w:hAnsi="Times New Roman" w:cs="Times New Roman"/>
          <w:kern w:val="28"/>
          <w:szCs w:val="20"/>
        </w:rPr>
        <w:t>3) spēkā esošās Eiropas Sistēmisko risku kolēģijas (tālāk tekstā – ESRK) rekomendācijas par PKR normas noteikšanu.</w:t>
      </w:r>
    </w:p>
    <w:p w:rsidR="0032368D" w:rsidRPr="0032368D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Cs w:val="20"/>
        </w:rPr>
      </w:pPr>
    </w:p>
    <w:p w:rsidR="0032368D" w:rsidRPr="0032368D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  <w:r w:rsidRPr="0032368D">
        <w:rPr>
          <w:rFonts w:ascii="Times New Roman" w:eastAsia="Times New Roman" w:hAnsi="Times New Roman" w:cs="Times New Roman"/>
          <w:b/>
          <w:kern w:val="28"/>
          <w:szCs w:val="20"/>
        </w:rPr>
        <w:t>2.</w:t>
      </w:r>
      <w:r w:rsidRPr="0032368D">
        <w:rPr>
          <w:rFonts w:ascii="Times New Roman" w:eastAsia="Times New Roman" w:hAnsi="Times New Roman" w:cs="Times New Roman"/>
          <w:kern w:val="28"/>
          <w:szCs w:val="20"/>
        </w:rPr>
        <w:t xml:space="preserve"> PKR normu ir nepieciešams noteikt, lai nodrošinātu, ka kredītiestādes ekonomiskās izaugsmes laikā uzkrāj papildus kapitāla bāzi zaudējumu absorbēšanai ekonomiskās lejupslīdes un/vai spriedzes laikā. </w:t>
      </w:r>
    </w:p>
    <w:p w:rsidR="0032368D" w:rsidRPr="0032368D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Cs w:val="20"/>
        </w:rPr>
      </w:pPr>
    </w:p>
    <w:p w:rsidR="0032368D" w:rsidRPr="0032368D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  <w:r w:rsidRPr="0032368D">
        <w:rPr>
          <w:rFonts w:ascii="Times New Roman" w:eastAsia="Times New Roman" w:hAnsi="Times New Roman" w:cs="Times New Roman"/>
          <w:b/>
          <w:kern w:val="28"/>
          <w:szCs w:val="20"/>
        </w:rPr>
        <w:t>3.</w:t>
      </w:r>
      <w:r w:rsidRPr="0032368D">
        <w:rPr>
          <w:rFonts w:ascii="Times New Roman" w:eastAsia="Times New Roman" w:hAnsi="Times New Roman" w:cs="Times New Roman"/>
          <w:kern w:val="28"/>
          <w:szCs w:val="20"/>
        </w:rPr>
        <w:t xml:space="preserve"> PKR orientieri aprēķina, ņemot vērā Latvijas Republikas rezidentiem izsniegto aizdevumu dinamiku un to attiecības pret iekšzemes kopproduktu (IKP) novirzi no tās ilgtermiņa tendences (turpmāk tekstā – kredīta un IKP novirze). </w:t>
      </w:r>
    </w:p>
    <w:p w:rsidR="0032368D" w:rsidRPr="0032368D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Cs w:val="20"/>
        </w:rPr>
      </w:pPr>
    </w:p>
    <w:p w:rsidR="0032368D" w:rsidRPr="00A61938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  <w:lang w:val="x-none"/>
        </w:rPr>
      </w:pPr>
      <w:r w:rsidRPr="0032368D">
        <w:rPr>
          <w:rFonts w:ascii="Times New Roman" w:eastAsia="Times New Roman" w:hAnsi="Times New Roman" w:cs="Times New Roman"/>
          <w:b/>
          <w:kern w:val="28"/>
          <w:szCs w:val="20"/>
        </w:rPr>
        <w:t>4</w:t>
      </w:r>
      <w:r w:rsidRPr="0032368D">
        <w:rPr>
          <w:rFonts w:ascii="Times New Roman" w:eastAsia="Times New Roman" w:hAnsi="Times New Roman" w:cs="Times New Roman"/>
          <w:kern w:val="28"/>
          <w:szCs w:val="20"/>
        </w:rPr>
        <w:t>. Saskaņā ar ESRK rekomendāciju</w:t>
      </w:r>
      <w:r w:rsidRPr="0032368D">
        <w:rPr>
          <w:rFonts w:ascii="Times New Roman" w:eastAsia="Times New Roman" w:hAnsi="Times New Roman" w:cs="Times New Roman"/>
          <w:kern w:val="28"/>
          <w:szCs w:val="20"/>
          <w:vertAlign w:val="superscript"/>
        </w:rPr>
        <w:footnoteReference w:id="1"/>
      </w:r>
      <w:r w:rsidRPr="0032368D">
        <w:rPr>
          <w:rFonts w:ascii="Times New Roman" w:eastAsia="Times New Roman" w:hAnsi="Times New Roman" w:cs="Times New Roman"/>
          <w:kern w:val="28"/>
          <w:szCs w:val="20"/>
        </w:rPr>
        <w:t xml:space="preserve"> (tālāk tekstā – Rekomendācija), PKR orientieri ir iespējams aprēķināt izmantojot </w:t>
      </w:r>
      <w:r w:rsidR="004A6271">
        <w:rPr>
          <w:rFonts w:ascii="Times New Roman" w:eastAsia="Times New Roman" w:hAnsi="Times New Roman" w:cs="Times New Roman"/>
          <w:kern w:val="28"/>
          <w:szCs w:val="20"/>
        </w:rPr>
        <w:t xml:space="preserve">laikrindas, kas balstās uz </w:t>
      </w:r>
      <w:r w:rsidRPr="0032368D">
        <w:rPr>
          <w:rFonts w:ascii="Times New Roman" w:eastAsia="Times New Roman" w:hAnsi="Times New Roman" w:cs="Times New Roman"/>
          <w:kern w:val="28"/>
          <w:szCs w:val="20"/>
        </w:rPr>
        <w:t>"plašo" un "šauro" kredītu definīciju. "Plašā" kredīta definīcija</w:t>
      </w:r>
      <w:proofErr w:type="gramStart"/>
      <w:r w:rsidRPr="0032368D">
        <w:rPr>
          <w:rFonts w:ascii="Times New Roman" w:eastAsia="Times New Roman" w:hAnsi="Times New Roman" w:cs="Times New Roman"/>
          <w:kern w:val="28"/>
          <w:szCs w:val="20"/>
        </w:rPr>
        <w:t xml:space="preserve">  </w:t>
      </w:r>
      <w:proofErr w:type="gramEnd"/>
      <w:r w:rsidRPr="0032368D">
        <w:rPr>
          <w:rFonts w:ascii="Times New Roman" w:eastAsia="Times New Roman" w:hAnsi="Times New Roman" w:cs="Times New Roman"/>
          <w:kern w:val="28"/>
          <w:szCs w:val="20"/>
        </w:rPr>
        <w:t>ir kredīta vietējam privātajam nefinanšu sektoram</w:t>
      </w:r>
      <w:r w:rsidRPr="0032368D">
        <w:rPr>
          <w:rFonts w:ascii="Times New Roman" w:eastAsia="Times New Roman" w:hAnsi="Times New Roman" w:cs="Times New Roman"/>
          <w:kern w:val="28"/>
          <w:szCs w:val="20"/>
          <w:vertAlign w:val="superscript"/>
        </w:rPr>
        <w:footnoteReference w:id="2"/>
      </w:r>
      <w:r w:rsidRPr="0032368D">
        <w:rPr>
          <w:rFonts w:ascii="Times New Roman" w:eastAsia="Times New Roman" w:hAnsi="Times New Roman" w:cs="Times New Roman"/>
          <w:kern w:val="28"/>
          <w:szCs w:val="20"/>
        </w:rPr>
        <w:t xml:space="preserve"> atlikums. </w:t>
      </w:r>
      <w:r w:rsidR="004A6271">
        <w:rPr>
          <w:rFonts w:ascii="Times New Roman" w:eastAsia="Times New Roman" w:hAnsi="Times New Roman" w:cs="Times New Roman"/>
          <w:kern w:val="28"/>
          <w:szCs w:val="20"/>
        </w:rPr>
        <w:t>Uz šīs definīcijas balstīto</w:t>
      </w:r>
      <w:r w:rsidRPr="0032368D">
        <w:rPr>
          <w:rFonts w:ascii="Times New Roman" w:eastAsia="Times New Roman" w:hAnsi="Times New Roman" w:cs="Times New Roman"/>
          <w:kern w:val="28"/>
          <w:szCs w:val="20"/>
        </w:rPr>
        <w:t xml:space="preserve"> </w:t>
      </w:r>
      <w:r w:rsidR="004A6271">
        <w:rPr>
          <w:rFonts w:ascii="Times New Roman" w:eastAsia="Times New Roman" w:hAnsi="Times New Roman" w:cs="Times New Roman"/>
          <w:kern w:val="28"/>
          <w:szCs w:val="20"/>
        </w:rPr>
        <w:t xml:space="preserve">laikrindu izmanto, lai </w:t>
      </w:r>
      <w:r w:rsidRPr="0032368D">
        <w:rPr>
          <w:rFonts w:ascii="Times New Roman" w:eastAsia="Times New Roman" w:hAnsi="Times New Roman" w:cs="Times New Roman"/>
          <w:kern w:val="28"/>
          <w:szCs w:val="20"/>
        </w:rPr>
        <w:t>novērtē</w:t>
      </w:r>
      <w:r w:rsidR="004A6271">
        <w:rPr>
          <w:rFonts w:ascii="Times New Roman" w:eastAsia="Times New Roman" w:hAnsi="Times New Roman" w:cs="Times New Roman"/>
          <w:kern w:val="28"/>
          <w:szCs w:val="20"/>
        </w:rPr>
        <w:t>tu</w:t>
      </w:r>
      <w:r w:rsidRPr="0032368D">
        <w:rPr>
          <w:rFonts w:ascii="Times New Roman" w:eastAsia="Times New Roman" w:hAnsi="Times New Roman" w:cs="Times New Roman"/>
          <w:kern w:val="28"/>
          <w:szCs w:val="20"/>
        </w:rPr>
        <w:t xml:space="preserve"> </w:t>
      </w:r>
      <w:r w:rsidRPr="0032368D">
        <w:rPr>
          <w:rFonts w:ascii="Times New Roman" w:eastAsia="Times New Roman" w:hAnsi="Times New Roman" w:cs="Times New Roman"/>
          <w:b/>
          <w:kern w:val="28"/>
          <w:szCs w:val="20"/>
        </w:rPr>
        <w:t>standartizēto kredīta un IKP novirzi</w:t>
      </w:r>
      <w:r w:rsidRPr="0032368D">
        <w:rPr>
          <w:rFonts w:ascii="Times New Roman" w:eastAsia="Times New Roman" w:hAnsi="Times New Roman" w:cs="Times New Roman"/>
          <w:kern w:val="28"/>
          <w:szCs w:val="20"/>
        </w:rPr>
        <w:t>. "Šaurā" kredīta definīcija</w:t>
      </w:r>
      <w:r w:rsidR="005E27EE">
        <w:rPr>
          <w:rFonts w:ascii="Times New Roman" w:eastAsia="Times New Roman" w:hAnsi="Times New Roman" w:cs="Times New Roman"/>
          <w:kern w:val="28"/>
          <w:szCs w:val="20"/>
        </w:rPr>
        <w:t xml:space="preserve"> </w:t>
      </w:r>
      <w:r w:rsidRPr="0032368D">
        <w:rPr>
          <w:rFonts w:ascii="Times New Roman" w:eastAsia="Times New Roman" w:hAnsi="Times New Roman" w:cs="Times New Roman"/>
          <w:kern w:val="28"/>
          <w:szCs w:val="20"/>
        </w:rPr>
        <w:t xml:space="preserve">Latvijas gadījumā </w:t>
      </w:r>
      <w:r w:rsidR="005C192C">
        <w:rPr>
          <w:rFonts w:ascii="Times New Roman" w:eastAsia="Times New Roman" w:hAnsi="Times New Roman" w:cs="Times New Roman"/>
          <w:kern w:val="28"/>
          <w:szCs w:val="20"/>
        </w:rPr>
        <w:t xml:space="preserve">ir banku kredītu vietējam privātajam nefinanšu </w:t>
      </w:r>
      <w:r w:rsidR="005C192C" w:rsidRPr="00A61938">
        <w:rPr>
          <w:rFonts w:ascii="Times New Roman" w:eastAsia="Times New Roman" w:hAnsi="Times New Roman" w:cs="Times New Roman"/>
          <w:kern w:val="28"/>
          <w:szCs w:val="20"/>
        </w:rPr>
        <w:t xml:space="preserve">sektoram atlikums (tas 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>neietver sevī aizņēmumus no nebanku finanšu institūcijām</w:t>
      </w:r>
      <w:r w:rsidR="005C192C" w:rsidRPr="00A61938">
        <w:rPr>
          <w:rFonts w:ascii="Times New Roman" w:eastAsia="Times New Roman" w:hAnsi="Times New Roman" w:cs="Times New Roman"/>
          <w:kern w:val="28"/>
          <w:szCs w:val="20"/>
        </w:rPr>
        <w:t>)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. </w:t>
      </w:r>
      <w:r w:rsidR="004A6271" w:rsidRPr="00A61938">
        <w:rPr>
          <w:rFonts w:ascii="Times New Roman" w:eastAsia="Times New Roman" w:hAnsi="Times New Roman" w:cs="Times New Roman"/>
          <w:kern w:val="28"/>
          <w:szCs w:val="20"/>
        </w:rPr>
        <w:t>Uz šīs definīcijas balstīto laikrindu izmanto, lai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novērtē</w:t>
      </w:r>
      <w:r w:rsidR="004A6271" w:rsidRPr="00A61938">
        <w:rPr>
          <w:rFonts w:ascii="Times New Roman" w:eastAsia="Times New Roman" w:hAnsi="Times New Roman" w:cs="Times New Roman"/>
          <w:kern w:val="28"/>
          <w:szCs w:val="20"/>
        </w:rPr>
        <w:t>tu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</w:t>
      </w:r>
      <w:r w:rsidRPr="00A61938">
        <w:rPr>
          <w:rFonts w:ascii="Times New Roman" w:eastAsia="Times New Roman" w:hAnsi="Times New Roman" w:cs="Times New Roman"/>
          <w:b/>
          <w:kern w:val="28"/>
          <w:szCs w:val="20"/>
        </w:rPr>
        <w:t xml:space="preserve">papildus kredīta un IKP novirzi. </w:t>
      </w:r>
    </w:p>
    <w:p w:rsidR="0032368D" w:rsidRPr="00A61938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</w:p>
    <w:p w:rsidR="0032368D" w:rsidRPr="00A61938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  <w:r w:rsidRPr="00A61938">
        <w:rPr>
          <w:rFonts w:ascii="Times New Roman" w:eastAsia="Times New Roman" w:hAnsi="Times New Roman" w:cs="Times New Roman"/>
          <w:b/>
          <w:kern w:val="28"/>
          <w:szCs w:val="20"/>
        </w:rPr>
        <w:t>5.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Latvijā izmantojot "plašo" kredītu definīciju, kredīta un IKP attiecība </w:t>
      </w:r>
      <w:r w:rsidR="005C192C" w:rsidRPr="00A61938">
        <w:rPr>
          <w:rFonts w:ascii="Times New Roman" w:eastAsia="Times New Roman" w:hAnsi="Times New Roman" w:cs="Times New Roman"/>
          <w:kern w:val="28"/>
          <w:szCs w:val="20"/>
        </w:rPr>
        <w:t>2015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. </w:t>
      </w:r>
      <w:r w:rsidR="005E27EE" w:rsidRPr="00A61938">
        <w:rPr>
          <w:rFonts w:ascii="Times New Roman" w:eastAsia="Times New Roman" w:hAnsi="Times New Roman" w:cs="Times New Roman"/>
          <w:kern w:val="28"/>
          <w:szCs w:val="20"/>
        </w:rPr>
        <w:t>g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>ada</w:t>
      </w:r>
      <w:proofErr w:type="gramStart"/>
      <w:r w:rsidR="005E27EE" w:rsidRPr="00A61938">
        <w:rPr>
          <w:rFonts w:ascii="Times New Roman" w:eastAsia="Times New Roman" w:hAnsi="Times New Roman" w:cs="Times New Roman"/>
          <w:kern w:val="28"/>
          <w:szCs w:val="20"/>
        </w:rPr>
        <w:t xml:space="preserve">               </w:t>
      </w:r>
      <w:proofErr w:type="gramEnd"/>
      <w:r w:rsidR="00604075" w:rsidRPr="00A61938">
        <w:rPr>
          <w:rFonts w:ascii="Times New Roman" w:eastAsia="Times New Roman" w:hAnsi="Times New Roman" w:cs="Times New Roman"/>
          <w:kern w:val="28"/>
          <w:szCs w:val="20"/>
        </w:rPr>
        <w:t>3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>. ceturksnī bija 10</w:t>
      </w:r>
      <w:r w:rsidR="00604075" w:rsidRPr="00A61938">
        <w:rPr>
          <w:rFonts w:ascii="Times New Roman" w:eastAsia="Times New Roman" w:hAnsi="Times New Roman" w:cs="Times New Roman"/>
          <w:kern w:val="28"/>
          <w:szCs w:val="20"/>
        </w:rPr>
        <w:t>0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>%, bet tās standartizētā novirze bija -</w:t>
      </w:r>
      <w:r w:rsidR="005C192C" w:rsidRPr="00A61938">
        <w:rPr>
          <w:rFonts w:ascii="Times New Roman" w:eastAsia="Times New Roman" w:hAnsi="Times New Roman" w:cs="Times New Roman"/>
          <w:kern w:val="28"/>
          <w:szCs w:val="20"/>
        </w:rPr>
        <w:t>4</w:t>
      </w:r>
      <w:r w:rsidR="00604075" w:rsidRPr="00A61938">
        <w:rPr>
          <w:rFonts w:ascii="Times New Roman" w:eastAsia="Times New Roman" w:hAnsi="Times New Roman" w:cs="Times New Roman"/>
          <w:kern w:val="28"/>
          <w:szCs w:val="20"/>
        </w:rPr>
        <w:t>2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>%.</w:t>
      </w:r>
      <w:r w:rsidRPr="00A61938">
        <w:rPr>
          <w:rFonts w:ascii="Times New Roman" w:eastAsia="Times New Roman" w:hAnsi="Times New Roman" w:cs="Times New Roman"/>
          <w:kern w:val="28"/>
          <w:szCs w:val="20"/>
          <w:vertAlign w:val="superscript"/>
        </w:rPr>
        <w:footnoteReference w:id="3"/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Ja kopējā kredīta un IKP attiecība par 2 procentu punktiem pārsniedz ilgtermiņa tendenci, tad PKR </w:t>
      </w:r>
      <w:proofErr w:type="spellStart"/>
      <w:r w:rsidRPr="00A61938">
        <w:rPr>
          <w:rFonts w:ascii="Times New Roman" w:eastAsia="Times New Roman" w:hAnsi="Times New Roman" w:cs="Times New Roman"/>
          <w:kern w:val="28"/>
          <w:szCs w:val="20"/>
        </w:rPr>
        <w:t>etalonnorma</w:t>
      </w:r>
      <w:proofErr w:type="spellEnd"/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lineāri</w:t>
      </w:r>
      <w:r w:rsidRPr="00A61938">
        <w:rPr>
          <w:rFonts w:ascii="Times New Roman" w:eastAsia="Times New Roman" w:hAnsi="Times New Roman" w:cs="Times New Roman"/>
          <w:kern w:val="28"/>
          <w:szCs w:val="20"/>
          <w:vertAlign w:val="superscript"/>
        </w:rPr>
        <w:footnoteReference w:id="4"/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pieaug no nulles līdz augšējai robežai 2.5% apmērā no riska svērto aktīvu apjoma, kad kredīta un IKP novirze sasniedz 10 procentu punktus. Pastāvot -4</w:t>
      </w:r>
      <w:r w:rsidR="00604075" w:rsidRPr="00A61938">
        <w:rPr>
          <w:rFonts w:ascii="Times New Roman" w:eastAsia="Times New Roman" w:hAnsi="Times New Roman" w:cs="Times New Roman"/>
          <w:kern w:val="28"/>
          <w:szCs w:val="20"/>
        </w:rPr>
        <w:t>2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% novirzei, PKR </w:t>
      </w:r>
      <w:proofErr w:type="spellStart"/>
      <w:r w:rsidRPr="00A61938">
        <w:rPr>
          <w:rFonts w:ascii="Times New Roman" w:eastAsia="Times New Roman" w:hAnsi="Times New Roman" w:cs="Times New Roman"/>
          <w:kern w:val="28"/>
          <w:szCs w:val="20"/>
        </w:rPr>
        <w:t>etalonnorma</w:t>
      </w:r>
      <w:proofErr w:type="spellEnd"/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ir 0%.</w:t>
      </w:r>
    </w:p>
    <w:p w:rsidR="0032368D" w:rsidRPr="00A61938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</w:p>
    <w:p w:rsidR="00EE74AB" w:rsidRPr="00A61938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szCs w:val="24"/>
        </w:rPr>
      </w:pPr>
      <w:r w:rsidRPr="00A61938">
        <w:rPr>
          <w:rFonts w:ascii="Times New Roman" w:eastAsia="Times New Roman" w:hAnsi="Times New Roman" w:cs="Times New Roman"/>
          <w:b/>
          <w:szCs w:val="24"/>
        </w:rPr>
        <w:lastRenderedPageBreak/>
        <w:t>6</w:t>
      </w:r>
      <w:r w:rsidRPr="00A61938">
        <w:rPr>
          <w:rFonts w:ascii="Times New Roman" w:eastAsia="Times New Roman" w:hAnsi="Times New Roman" w:cs="Times New Roman"/>
          <w:b/>
          <w:szCs w:val="24"/>
          <w:lang w:val="x-none"/>
        </w:rPr>
        <w:t>.</w:t>
      </w:r>
      <w:r w:rsidRPr="00A61938">
        <w:rPr>
          <w:rFonts w:ascii="Times New Roman" w:eastAsia="Times New Roman" w:hAnsi="Times New Roman" w:cs="Times New Roman"/>
          <w:szCs w:val="24"/>
          <w:lang w:val="x-none"/>
        </w:rPr>
        <w:t xml:space="preserve"> </w:t>
      </w:r>
      <w:r w:rsidRPr="00A61938">
        <w:rPr>
          <w:rFonts w:ascii="Times New Roman" w:eastAsia="Times New Roman" w:hAnsi="Times New Roman" w:cs="Times New Roman"/>
          <w:szCs w:val="24"/>
        </w:rPr>
        <w:t>Izmantojot "šauro" kredītu definīciju, k</w:t>
      </w:r>
      <w:proofErr w:type="spellStart"/>
      <w:r w:rsidRPr="00A61938">
        <w:rPr>
          <w:rFonts w:ascii="Times New Roman" w:eastAsia="Times New Roman" w:hAnsi="Times New Roman" w:cs="Times New Roman"/>
          <w:szCs w:val="24"/>
          <w:lang w:val="x-none"/>
        </w:rPr>
        <w:t>red</w:t>
      </w:r>
      <w:r w:rsidRPr="00A61938">
        <w:rPr>
          <w:rFonts w:ascii="Times New Roman" w:eastAsia="Times New Roman" w:hAnsi="Times New Roman" w:cs="Times New Roman"/>
          <w:szCs w:val="24"/>
        </w:rPr>
        <w:t>ī</w:t>
      </w:r>
      <w:r w:rsidRPr="00A61938">
        <w:rPr>
          <w:rFonts w:ascii="Times New Roman" w:eastAsia="Times New Roman" w:hAnsi="Times New Roman" w:cs="Times New Roman"/>
          <w:szCs w:val="24"/>
          <w:lang w:val="x-none"/>
        </w:rPr>
        <w:t>t</w:t>
      </w:r>
      <w:r w:rsidRPr="00A61938">
        <w:rPr>
          <w:rFonts w:ascii="Times New Roman" w:eastAsia="Times New Roman" w:hAnsi="Times New Roman" w:cs="Times New Roman"/>
          <w:szCs w:val="24"/>
        </w:rPr>
        <w:t>a</w:t>
      </w:r>
      <w:proofErr w:type="spellEnd"/>
      <w:r w:rsidRPr="00A61938">
        <w:rPr>
          <w:rFonts w:ascii="Times New Roman" w:eastAsia="Times New Roman" w:hAnsi="Times New Roman" w:cs="Times New Roman"/>
          <w:szCs w:val="24"/>
          <w:lang w:val="x-none"/>
        </w:rPr>
        <w:t xml:space="preserve"> un IKP attiecība 201</w:t>
      </w:r>
      <w:r w:rsidRPr="00A61938">
        <w:rPr>
          <w:rFonts w:ascii="Times New Roman" w:eastAsia="Times New Roman" w:hAnsi="Times New Roman" w:cs="Times New Roman"/>
          <w:szCs w:val="24"/>
        </w:rPr>
        <w:t>5</w:t>
      </w:r>
      <w:r w:rsidRPr="00A61938">
        <w:rPr>
          <w:rFonts w:ascii="Times New Roman" w:eastAsia="Times New Roman" w:hAnsi="Times New Roman" w:cs="Times New Roman"/>
          <w:szCs w:val="24"/>
          <w:lang w:val="x-none"/>
        </w:rPr>
        <w:t xml:space="preserve">. gada </w:t>
      </w:r>
      <w:r w:rsidR="00836291" w:rsidRPr="00A61938">
        <w:rPr>
          <w:rFonts w:ascii="Times New Roman" w:eastAsia="Times New Roman" w:hAnsi="Times New Roman" w:cs="Times New Roman"/>
          <w:szCs w:val="24"/>
        </w:rPr>
        <w:t>4</w:t>
      </w:r>
      <w:r w:rsidRPr="00A61938">
        <w:rPr>
          <w:rFonts w:ascii="Times New Roman" w:eastAsia="Times New Roman" w:hAnsi="Times New Roman" w:cs="Times New Roman"/>
          <w:szCs w:val="24"/>
          <w:lang w:val="x-none"/>
        </w:rPr>
        <w:t>. ceturksnī bija 4</w:t>
      </w:r>
      <w:r w:rsidR="00836291" w:rsidRPr="00A61938">
        <w:rPr>
          <w:rFonts w:ascii="Times New Roman" w:eastAsia="Times New Roman" w:hAnsi="Times New Roman" w:cs="Times New Roman"/>
          <w:szCs w:val="24"/>
        </w:rPr>
        <w:t>5</w:t>
      </w:r>
      <w:r w:rsidRPr="00A61938">
        <w:rPr>
          <w:rFonts w:ascii="Times New Roman" w:eastAsia="Times New Roman" w:hAnsi="Times New Roman" w:cs="Times New Roman"/>
          <w:szCs w:val="24"/>
          <w:lang w:val="x-none"/>
        </w:rPr>
        <w:t xml:space="preserve">%, bet tās </w:t>
      </w:r>
      <w:r w:rsidRPr="00A61938">
        <w:rPr>
          <w:rFonts w:ascii="Times New Roman" w:eastAsia="Times New Roman" w:hAnsi="Times New Roman" w:cs="Times New Roman"/>
          <w:szCs w:val="24"/>
        </w:rPr>
        <w:t xml:space="preserve">papildus </w:t>
      </w:r>
      <w:r w:rsidRPr="00A61938">
        <w:rPr>
          <w:rFonts w:ascii="Times New Roman" w:eastAsia="Times New Roman" w:hAnsi="Times New Roman" w:cs="Times New Roman"/>
          <w:szCs w:val="24"/>
          <w:lang w:val="x-none"/>
        </w:rPr>
        <w:t>novirze bija -3</w:t>
      </w:r>
      <w:r w:rsidR="003811B7" w:rsidRPr="00A61938">
        <w:rPr>
          <w:rFonts w:ascii="Times New Roman" w:eastAsia="Times New Roman" w:hAnsi="Times New Roman" w:cs="Times New Roman"/>
          <w:szCs w:val="24"/>
        </w:rPr>
        <w:t>3</w:t>
      </w:r>
      <w:r w:rsidRPr="00A61938">
        <w:rPr>
          <w:rFonts w:ascii="Times New Roman" w:eastAsia="Times New Roman" w:hAnsi="Times New Roman" w:cs="Times New Roman"/>
          <w:szCs w:val="24"/>
          <w:lang w:val="x-none"/>
        </w:rPr>
        <w:t>%</w:t>
      </w:r>
      <w:r w:rsidRPr="00A61938">
        <w:rPr>
          <w:rFonts w:ascii="Times New Roman" w:eastAsia="Times New Roman" w:hAnsi="Times New Roman" w:cs="Times New Roman"/>
          <w:szCs w:val="24"/>
          <w:vertAlign w:val="superscript"/>
          <w:lang w:val="x-none"/>
        </w:rPr>
        <w:footnoteReference w:id="5"/>
      </w:r>
      <w:r w:rsidRPr="00A61938">
        <w:rPr>
          <w:rFonts w:ascii="Times New Roman" w:eastAsia="Times New Roman" w:hAnsi="Times New Roman" w:cs="Times New Roman"/>
          <w:szCs w:val="24"/>
          <w:lang w:val="x-none"/>
        </w:rPr>
        <w:t>, kā rezultātā uz papildus kredīt</w:t>
      </w:r>
      <w:r w:rsidRPr="00A61938">
        <w:rPr>
          <w:rFonts w:ascii="Times New Roman" w:eastAsia="Times New Roman" w:hAnsi="Times New Roman" w:cs="Times New Roman"/>
          <w:szCs w:val="24"/>
        </w:rPr>
        <w:t>a</w:t>
      </w:r>
      <w:r w:rsidRPr="00A61938">
        <w:rPr>
          <w:rFonts w:ascii="Times New Roman" w:eastAsia="Times New Roman" w:hAnsi="Times New Roman" w:cs="Times New Roman"/>
          <w:szCs w:val="24"/>
          <w:lang w:val="x-none"/>
        </w:rPr>
        <w:t xml:space="preserve"> un IKP novirzi balstītā PKR </w:t>
      </w:r>
      <w:proofErr w:type="spellStart"/>
      <w:r w:rsidRPr="00A61938">
        <w:rPr>
          <w:rFonts w:ascii="Times New Roman" w:eastAsia="Times New Roman" w:hAnsi="Times New Roman" w:cs="Times New Roman"/>
          <w:szCs w:val="24"/>
          <w:lang w:val="x-none"/>
        </w:rPr>
        <w:t>etalonnorma</w:t>
      </w:r>
      <w:proofErr w:type="spellEnd"/>
      <w:r w:rsidRPr="00A61938">
        <w:rPr>
          <w:rFonts w:ascii="Times New Roman" w:eastAsia="Times New Roman" w:hAnsi="Times New Roman" w:cs="Times New Roman"/>
          <w:szCs w:val="24"/>
          <w:lang w:val="x-none"/>
        </w:rPr>
        <w:t xml:space="preserve"> bija 0%. Saskaņā ar Rekomendāciju par PKR orientieri tiek izvēlēta tā PKR </w:t>
      </w:r>
      <w:proofErr w:type="spellStart"/>
      <w:r w:rsidRPr="00A61938">
        <w:rPr>
          <w:rFonts w:ascii="Times New Roman" w:eastAsia="Times New Roman" w:hAnsi="Times New Roman" w:cs="Times New Roman"/>
          <w:szCs w:val="24"/>
          <w:lang w:val="x-none"/>
        </w:rPr>
        <w:t>etalonnorma</w:t>
      </w:r>
      <w:proofErr w:type="spellEnd"/>
      <w:r w:rsidRPr="00A61938">
        <w:rPr>
          <w:rFonts w:ascii="Times New Roman" w:eastAsia="Times New Roman" w:hAnsi="Times New Roman" w:cs="Times New Roman"/>
          <w:szCs w:val="24"/>
          <w:lang w:val="x-none"/>
        </w:rPr>
        <w:t xml:space="preserve">, kas vislabāk atspoguļo nacionālās ekonomikas īpatnības. </w:t>
      </w:r>
      <w:r w:rsidRPr="00A61938">
        <w:rPr>
          <w:rFonts w:ascii="Times New Roman" w:eastAsia="Times New Roman" w:hAnsi="Times New Roman" w:cs="Times New Roman"/>
          <w:szCs w:val="24"/>
        </w:rPr>
        <w:t xml:space="preserve">Latvijas gadījumā </w:t>
      </w:r>
      <w:r w:rsidRPr="00A61938">
        <w:rPr>
          <w:rFonts w:ascii="Times New Roman" w:eastAsia="Times New Roman" w:hAnsi="Times New Roman" w:cs="Times New Roman"/>
          <w:szCs w:val="20"/>
          <w:lang w:val="x-none"/>
        </w:rPr>
        <w:t xml:space="preserve">PKR </w:t>
      </w:r>
      <w:proofErr w:type="spellStart"/>
      <w:r w:rsidRPr="00A61938">
        <w:rPr>
          <w:rFonts w:ascii="Times New Roman" w:eastAsia="Times New Roman" w:hAnsi="Times New Roman" w:cs="Times New Roman"/>
          <w:szCs w:val="20"/>
          <w:lang w:val="x-none"/>
        </w:rPr>
        <w:t>etalonnorma</w:t>
      </w:r>
      <w:proofErr w:type="spellEnd"/>
      <w:r w:rsidRPr="00A61938">
        <w:rPr>
          <w:rFonts w:ascii="Times New Roman" w:eastAsia="Times New Roman" w:hAnsi="Times New Roman" w:cs="Times New Roman"/>
          <w:szCs w:val="20"/>
        </w:rPr>
        <w:t>, kas aprēķināta balstoties uz "šauro" kredīta definīciju</w:t>
      </w:r>
      <w:r w:rsidRPr="00A61938">
        <w:rPr>
          <w:rFonts w:ascii="Times New Roman" w:eastAsia="Times New Roman" w:hAnsi="Times New Roman" w:cs="Times New Roman"/>
          <w:szCs w:val="20"/>
          <w:lang w:val="x-none"/>
        </w:rPr>
        <w:t xml:space="preserve"> sniedz pamatotākus rezultātus nekā izmantojot "plašo" kredītu definīciju. "</w:t>
      </w:r>
      <w:r w:rsidR="00732145" w:rsidRPr="00A61938">
        <w:rPr>
          <w:rFonts w:ascii="Times New Roman" w:eastAsia="Times New Roman" w:hAnsi="Times New Roman" w:cs="Times New Roman"/>
          <w:szCs w:val="20"/>
        </w:rPr>
        <w:t>Š</w:t>
      </w:r>
      <w:r w:rsidRPr="00A61938">
        <w:rPr>
          <w:rFonts w:ascii="Times New Roman" w:eastAsia="Times New Roman" w:hAnsi="Times New Roman" w:cs="Times New Roman"/>
          <w:szCs w:val="20"/>
          <w:lang w:val="x-none"/>
        </w:rPr>
        <w:t xml:space="preserve">aurās" </w:t>
      </w:r>
      <w:r w:rsidR="00732145" w:rsidRPr="00A61938">
        <w:rPr>
          <w:rFonts w:ascii="Times New Roman" w:eastAsia="Times New Roman" w:hAnsi="Times New Roman" w:cs="Times New Roman"/>
          <w:szCs w:val="20"/>
        </w:rPr>
        <w:t xml:space="preserve">definīcijas </w:t>
      </w:r>
      <w:r w:rsidRPr="00A61938">
        <w:rPr>
          <w:rFonts w:ascii="Times New Roman" w:eastAsia="Times New Roman" w:hAnsi="Times New Roman" w:cs="Times New Roman"/>
          <w:szCs w:val="20"/>
          <w:lang w:val="x-none"/>
        </w:rPr>
        <w:t xml:space="preserve">kredītu laikrindas dati ir stabilāki (tie netiek retrospektīvi koriģēti) un ir operatīvāk pieejami. </w:t>
      </w:r>
      <w:r w:rsidRPr="00A61938">
        <w:rPr>
          <w:rFonts w:ascii="Times New Roman" w:eastAsia="Times New Roman" w:hAnsi="Times New Roman" w:cs="Times New Roman"/>
          <w:szCs w:val="24"/>
        </w:rPr>
        <w:t xml:space="preserve">Līdz ar to, Latvijas gadījumā, </w:t>
      </w:r>
      <w:r w:rsidRPr="00A61938">
        <w:rPr>
          <w:rFonts w:ascii="Times New Roman" w:eastAsia="Times New Roman" w:hAnsi="Times New Roman" w:cs="Times New Roman"/>
          <w:szCs w:val="24"/>
          <w:lang w:val="x-none"/>
        </w:rPr>
        <w:t xml:space="preserve">par PKR orientieri </w:t>
      </w:r>
      <w:r w:rsidRPr="00A61938">
        <w:rPr>
          <w:rFonts w:ascii="Times New Roman" w:eastAsia="Times New Roman" w:hAnsi="Times New Roman" w:cs="Times New Roman"/>
          <w:szCs w:val="24"/>
        </w:rPr>
        <w:t xml:space="preserve">tiek </w:t>
      </w:r>
      <w:r w:rsidRPr="00A61938">
        <w:rPr>
          <w:rFonts w:ascii="Times New Roman" w:eastAsia="Times New Roman" w:hAnsi="Times New Roman" w:cs="Times New Roman"/>
          <w:szCs w:val="24"/>
          <w:lang w:val="x-none"/>
        </w:rPr>
        <w:t>pieņem</w:t>
      </w:r>
      <w:r w:rsidRPr="00A61938">
        <w:rPr>
          <w:rFonts w:ascii="Times New Roman" w:eastAsia="Times New Roman" w:hAnsi="Times New Roman" w:cs="Times New Roman"/>
          <w:szCs w:val="24"/>
        </w:rPr>
        <w:t>ta</w:t>
      </w:r>
      <w:r w:rsidRPr="00A61938">
        <w:rPr>
          <w:rFonts w:ascii="Times New Roman" w:eastAsia="Times New Roman" w:hAnsi="Times New Roman" w:cs="Times New Roman"/>
          <w:szCs w:val="24"/>
          <w:lang w:val="x-none"/>
        </w:rPr>
        <w:t xml:space="preserve"> PKR </w:t>
      </w:r>
      <w:proofErr w:type="spellStart"/>
      <w:r w:rsidRPr="00A61938">
        <w:rPr>
          <w:rFonts w:ascii="Times New Roman" w:eastAsia="Times New Roman" w:hAnsi="Times New Roman" w:cs="Times New Roman"/>
          <w:szCs w:val="24"/>
          <w:lang w:val="x-none"/>
        </w:rPr>
        <w:t>etalonnorm</w:t>
      </w:r>
      <w:r w:rsidRPr="00A61938">
        <w:rPr>
          <w:rFonts w:ascii="Times New Roman" w:eastAsia="Times New Roman" w:hAnsi="Times New Roman" w:cs="Times New Roman"/>
          <w:szCs w:val="24"/>
        </w:rPr>
        <w:t>a</w:t>
      </w:r>
      <w:proofErr w:type="spellEnd"/>
      <w:r w:rsidRPr="00A61938">
        <w:rPr>
          <w:rFonts w:ascii="Times New Roman" w:eastAsia="Times New Roman" w:hAnsi="Times New Roman" w:cs="Times New Roman"/>
          <w:szCs w:val="24"/>
          <w:lang w:val="x-none"/>
        </w:rPr>
        <w:t>, kas aprēķināta no papildus kreditēšanas un IKP novirzes.</w:t>
      </w:r>
    </w:p>
    <w:p w:rsidR="008018ED" w:rsidRPr="00A61938" w:rsidRDefault="003811B7" w:rsidP="008018E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  <w:r w:rsidRPr="00A61938">
        <w:rPr>
          <w:rFonts w:ascii="Times New Roman" w:eastAsia="Times New Roman" w:hAnsi="Times New Roman" w:cs="Times New Roman"/>
          <w:b/>
          <w:kern w:val="28"/>
          <w:szCs w:val="20"/>
        </w:rPr>
        <w:t>7.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</w:t>
      </w:r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>Neskatoties uz IKP pieaugumu un zemajām procentu likmēm, kreditēšanas izaugsmes tempi ir vāji</w:t>
      </w:r>
      <w:r w:rsidR="006D5AC3">
        <w:rPr>
          <w:rFonts w:ascii="Times New Roman" w:eastAsia="Times New Roman" w:hAnsi="Times New Roman" w:cs="Times New Roman"/>
          <w:kern w:val="28"/>
          <w:szCs w:val="20"/>
        </w:rPr>
        <w:t xml:space="preserve"> </w:t>
      </w:r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 xml:space="preserve">un cikliskie sistēmiskie riski saistībā ar pārmērīgu kreditēšanu ir niecīgi. </w:t>
      </w:r>
    </w:p>
    <w:p w:rsidR="008018ED" w:rsidRPr="00A61938" w:rsidRDefault="003811B7" w:rsidP="008018E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  <w:r w:rsidRPr="00A61938">
        <w:rPr>
          <w:rFonts w:ascii="Times New Roman" w:eastAsia="Times New Roman" w:hAnsi="Times New Roman" w:cs="Times New Roman"/>
          <w:b/>
          <w:kern w:val="28"/>
          <w:szCs w:val="20"/>
        </w:rPr>
        <w:t>8.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</w:t>
      </w:r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>Kredītiestāžu izsniegto kredītu vietējam privātajam nefinanšu sektoram atlikums kopš 2008. gada 4. ceturkšņa (kad kredītportfelis bija sasniedzis maksimumu) ir samazinājies par 4</w:t>
      </w:r>
      <w:r w:rsidR="00B2143A" w:rsidRPr="00A61938">
        <w:rPr>
          <w:rFonts w:ascii="Times New Roman" w:eastAsia="Times New Roman" w:hAnsi="Times New Roman" w:cs="Times New Roman"/>
          <w:kern w:val="28"/>
          <w:szCs w:val="20"/>
        </w:rPr>
        <w:t>2</w:t>
      </w:r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 xml:space="preserve">%. Kredītportfelim sarūkot, kredītu atlikuma attiecība pret IKP samazinājās no </w:t>
      </w:r>
      <w:r w:rsidR="00B2143A" w:rsidRPr="00A61938">
        <w:rPr>
          <w:rFonts w:ascii="Times New Roman" w:eastAsia="Times New Roman" w:hAnsi="Times New Roman" w:cs="Times New Roman"/>
          <w:kern w:val="28"/>
          <w:szCs w:val="20"/>
        </w:rPr>
        <w:t>48</w:t>
      </w:r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 xml:space="preserve">% 2014. gada </w:t>
      </w:r>
      <w:r w:rsidR="00B2143A" w:rsidRPr="00A61938">
        <w:rPr>
          <w:rFonts w:ascii="Times New Roman" w:eastAsia="Times New Roman" w:hAnsi="Times New Roman" w:cs="Times New Roman"/>
          <w:kern w:val="28"/>
          <w:szCs w:val="20"/>
        </w:rPr>
        <w:t>4</w:t>
      </w:r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>. ceturksnī līdz 4</w:t>
      </w:r>
      <w:r w:rsidR="00B2143A" w:rsidRPr="00A61938">
        <w:rPr>
          <w:rFonts w:ascii="Times New Roman" w:eastAsia="Times New Roman" w:hAnsi="Times New Roman" w:cs="Times New Roman"/>
          <w:kern w:val="28"/>
          <w:szCs w:val="20"/>
        </w:rPr>
        <w:t>5</w:t>
      </w:r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 xml:space="preserve">% 2015. gada </w:t>
      </w:r>
      <w:r w:rsidR="00B2143A" w:rsidRPr="00A61938">
        <w:rPr>
          <w:rFonts w:ascii="Times New Roman" w:eastAsia="Times New Roman" w:hAnsi="Times New Roman" w:cs="Times New Roman"/>
          <w:kern w:val="28"/>
          <w:szCs w:val="20"/>
        </w:rPr>
        <w:t>4</w:t>
      </w:r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 xml:space="preserve">. ceturksnī. </w:t>
      </w:r>
    </w:p>
    <w:p w:rsidR="008018ED" w:rsidRPr="00A61938" w:rsidRDefault="003811B7" w:rsidP="008018E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  <w:r w:rsidRPr="00A61938">
        <w:rPr>
          <w:rFonts w:ascii="Times New Roman" w:eastAsia="Times New Roman" w:hAnsi="Times New Roman" w:cs="Times New Roman"/>
          <w:b/>
          <w:kern w:val="28"/>
          <w:szCs w:val="20"/>
        </w:rPr>
        <w:t>9.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</w:t>
      </w:r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 xml:space="preserve">Pēc straujas nekustamā īpašuma tirgus aktivitātes samazinājuma 2015. gada sākumā, tirgus aktivitāte stabilizējās gada otrajā pusē un nekustamā īpašuma cenas piedzīvoja nenozīmīgu pieaugumu. </w:t>
      </w:r>
    </w:p>
    <w:p w:rsidR="00A65FB4" w:rsidRPr="00A61938" w:rsidRDefault="003811B7" w:rsidP="008018E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  <w:r w:rsidRPr="00A61938">
        <w:rPr>
          <w:rFonts w:ascii="Times New Roman" w:eastAsia="Times New Roman" w:hAnsi="Times New Roman" w:cs="Times New Roman"/>
          <w:b/>
          <w:kern w:val="28"/>
          <w:szCs w:val="20"/>
        </w:rPr>
        <w:t>10.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</w:t>
      </w:r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>Tautsaimniecības izaugsme 2015. gad</w:t>
      </w:r>
      <w:r w:rsidR="0050109D" w:rsidRPr="00A61938">
        <w:rPr>
          <w:rFonts w:ascii="Times New Roman" w:eastAsia="Times New Roman" w:hAnsi="Times New Roman" w:cs="Times New Roman"/>
          <w:kern w:val="28"/>
          <w:szCs w:val="20"/>
        </w:rPr>
        <w:t>ā</w:t>
      </w:r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 xml:space="preserve"> bija 2.6%</w:t>
      </w:r>
      <w:r w:rsidR="00A37284" w:rsidRPr="00A61938">
        <w:rPr>
          <w:rFonts w:ascii="Times New Roman" w:eastAsia="Times New Roman" w:hAnsi="Times New Roman" w:cs="Times New Roman"/>
          <w:kern w:val="28"/>
          <w:szCs w:val="20"/>
        </w:rPr>
        <w:t xml:space="preserve">, </w:t>
      </w:r>
      <w:r w:rsidR="0050109D" w:rsidRPr="00A61938">
        <w:rPr>
          <w:rFonts w:ascii="Times New Roman" w:eastAsia="Times New Roman" w:hAnsi="Times New Roman" w:cs="Times New Roman"/>
          <w:kern w:val="28"/>
          <w:szCs w:val="20"/>
        </w:rPr>
        <w:t xml:space="preserve">jūtami palēninoties 2015. gada 4. ceturksnī. </w:t>
      </w:r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>IKP pieaugumu Latvijā ierobežo vāja izaugsme eiro zonā, vājš pieprasījums no Krievijas un rubļa vērtības krišanās</w:t>
      </w:r>
      <w:r w:rsidR="00A65FB4" w:rsidRPr="00A61938">
        <w:rPr>
          <w:rFonts w:ascii="Times New Roman" w:eastAsia="Times New Roman" w:hAnsi="Times New Roman" w:cs="Times New Roman"/>
          <w:kern w:val="28"/>
          <w:szCs w:val="20"/>
        </w:rPr>
        <w:t>, liecinot par augstu nenoteiktību un riskiem, ko rada ārējās vides faktori. IKP prognoze 2016. gadam ir 2.3%, inflācijai svārstoties ap 0%.</w:t>
      </w:r>
      <w:proofErr w:type="gramStart"/>
      <w:r w:rsidR="00A65FB4" w:rsidRPr="00A61938">
        <w:rPr>
          <w:rFonts w:ascii="Times New Roman" w:eastAsia="Times New Roman" w:hAnsi="Times New Roman" w:cs="Times New Roman"/>
          <w:kern w:val="28"/>
          <w:szCs w:val="20"/>
        </w:rPr>
        <w:t xml:space="preserve">  </w:t>
      </w:r>
      <w:proofErr w:type="gramEnd"/>
      <w:r w:rsidR="00A65FB4" w:rsidRPr="00A61938">
        <w:rPr>
          <w:rFonts w:ascii="Times New Roman" w:eastAsia="Times New Roman" w:hAnsi="Times New Roman" w:cs="Times New Roman"/>
          <w:kern w:val="28"/>
          <w:szCs w:val="20"/>
        </w:rPr>
        <w:t> </w:t>
      </w:r>
    </w:p>
    <w:p w:rsidR="008018ED" w:rsidRPr="00A61938" w:rsidRDefault="003811B7" w:rsidP="008018E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  <w:r w:rsidRPr="00A61938">
        <w:rPr>
          <w:rFonts w:ascii="Times New Roman" w:eastAsia="Times New Roman" w:hAnsi="Times New Roman" w:cs="Times New Roman"/>
          <w:b/>
          <w:kern w:val="28"/>
          <w:szCs w:val="20"/>
        </w:rPr>
        <w:t>11.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</w:t>
      </w:r>
      <w:proofErr w:type="gramStart"/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>Tekošā konta bilance</w:t>
      </w:r>
      <w:proofErr w:type="gramEnd"/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 xml:space="preserve"> pēc ievērojamām svārstībām 2007. gadā un 2009. gadā, kopš 2011. gada sākuma ir nostabilizējusies 0 līdz -5% koridora robežās. Privātā sektora gada procentu maksājumi pret IKP ir sarukuši no 5.5% 2009.gada 2. ceturksnī līdz 1.</w:t>
      </w:r>
      <w:r w:rsidR="00C22E6B" w:rsidRPr="00A61938">
        <w:rPr>
          <w:rFonts w:ascii="Times New Roman" w:eastAsia="Times New Roman" w:hAnsi="Times New Roman" w:cs="Times New Roman"/>
          <w:kern w:val="28"/>
          <w:szCs w:val="20"/>
        </w:rPr>
        <w:t>5</w:t>
      </w:r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>%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</w:t>
      </w:r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 xml:space="preserve">2015. gada </w:t>
      </w:r>
      <w:r w:rsidR="00C22E6B" w:rsidRPr="00A61938">
        <w:rPr>
          <w:rFonts w:ascii="Times New Roman" w:eastAsia="Times New Roman" w:hAnsi="Times New Roman" w:cs="Times New Roman"/>
          <w:kern w:val="28"/>
          <w:szCs w:val="20"/>
        </w:rPr>
        <w:t>4</w:t>
      </w:r>
      <w:r w:rsidR="008018ED" w:rsidRPr="00A61938">
        <w:rPr>
          <w:rFonts w:ascii="Times New Roman" w:eastAsia="Times New Roman" w:hAnsi="Times New Roman" w:cs="Times New Roman"/>
          <w:kern w:val="28"/>
          <w:szCs w:val="20"/>
        </w:rPr>
        <w:t xml:space="preserve">. ceturksnī (ko lielā mērā izskaidro vēsturiski zemais EURIBOR starpbanku likmes līmenis). </w:t>
      </w:r>
    </w:p>
    <w:bookmarkEnd w:id="0"/>
    <w:p w:rsidR="0032368D" w:rsidRPr="00A61938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  <w:r w:rsidRPr="00A61938">
        <w:rPr>
          <w:rFonts w:ascii="Times New Roman" w:eastAsia="Times New Roman" w:hAnsi="Times New Roman" w:cs="Times New Roman"/>
          <w:b/>
          <w:kern w:val="28"/>
          <w:szCs w:val="20"/>
        </w:rPr>
        <w:t>1</w:t>
      </w:r>
      <w:r w:rsidR="00B228F2" w:rsidRPr="00A61938">
        <w:rPr>
          <w:rFonts w:ascii="Times New Roman" w:eastAsia="Times New Roman" w:hAnsi="Times New Roman" w:cs="Times New Roman"/>
          <w:b/>
          <w:kern w:val="28"/>
          <w:szCs w:val="20"/>
        </w:rPr>
        <w:t>2</w:t>
      </w:r>
      <w:r w:rsidRPr="00A61938">
        <w:rPr>
          <w:rFonts w:ascii="Times New Roman" w:eastAsia="Times New Roman" w:hAnsi="Times New Roman" w:cs="Times New Roman"/>
          <w:b/>
          <w:kern w:val="28"/>
          <w:szCs w:val="20"/>
        </w:rPr>
        <w:t>.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Ņemot vērā augstākminētos apsvērumus, Komisija nosaka PKR normu 0% apmērā. Saskaņā ar pašreizējām kreditēšanas un IKP izaugsmes tempu prognozēm, nākamo divu gadu laikā nav paredzama nepieciešamība paaugstināt PKR. </w:t>
      </w:r>
    </w:p>
    <w:p w:rsidR="0032368D" w:rsidRPr="00A61938" w:rsidRDefault="0032368D" w:rsidP="0032368D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  <w:r w:rsidRPr="00A61938">
        <w:rPr>
          <w:rFonts w:ascii="Times New Roman" w:eastAsia="Times New Roman" w:hAnsi="Times New Roman" w:cs="Times New Roman"/>
          <w:b/>
          <w:kern w:val="28"/>
          <w:szCs w:val="20"/>
        </w:rPr>
        <w:t>1</w:t>
      </w:r>
      <w:r w:rsidR="00B228F2" w:rsidRPr="00A61938">
        <w:rPr>
          <w:rFonts w:ascii="Times New Roman" w:eastAsia="Times New Roman" w:hAnsi="Times New Roman" w:cs="Times New Roman"/>
          <w:b/>
          <w:kern w:val="28"/>
          <w:szCs w:val="20"/>
        </w:rPr>
        <w:t>3</w:t>
      </w:r>
      <w:r w:rsidRPr="00A61938">
        <w:rPr>
          <w:rFonts w:ascii="Times New Roman" w:eastAsia="Times New Roman" w:hAnsi="Times New Roman" w:cs="Times New Roman"/>
          <w:b/>
          <w:kern w:val="28"/>
          <w:szCs w:val="20"/>
        </w:rPr>
        <w:t>.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Komisija 201</w:t>
      </w:r>
      <w:r w:rsidR="00FC3F80" w:rsidRPr="00A61938">
        <w:rPr>
          <w:rFonts w:ascii="Times New Roman" w:eastAsia="Times New Roman" w:hAnsi="Times New Roman" w:cs="Times New Roman"/>
          <w:kern w:val="28"/>
          <w:szCs w:val="20"/>
        </w:rPr>
        <w:t>6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. gada </w:t>
      </w:r>
      <w:r w:rsidR="00FC3F80" w:rsidRPr="00A61938">
        <w:rPr>
          <w:rFonts w:ascii="Times New Roman" w:eastAsia="Times New Roman" w:hAnsi="Times New Roman" w:cs="Times New Roman"/>
          <w:kern w:val="28"/>
          <w:szCs w:val="20"/>
        </w:rPr>
        <w:t>14. martā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nosūtīja pārējiem </w:t>
      </w:r>
      <w:proofErr w:type="spellStart"/>
      <w:r w:rsidRPr="00A61938">
        <w:rPr>
          <w:rFonts w:ascii="Times New Roman" w:eastAsia="Times New Roman" w:hAnsi="Times New Roman" w:cs="Times New Roman"/>
          <w:kern w:val="28"/>
          <w:szCs w:val="20"/>
        </w:rPr>
        <w:t>Makrouzraudzības</w:t>
      </w:r>
      <w:proofErr w:type="spellEnd"/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padomes</w:t>
      </w:r>
      <w:proofErr w:type="gramStart"/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 </w:t>
      </w:r>
      <w:proofErr w:type="gramEnd"/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dalībniekiem (Latvijas Bankai un Finanšu ministrijai) vēstuli par nodomu noteikt PKR normu 0% apmērā; no abām institūcijām tika saņemta atbilde, ka nav iebildumu pret šādu nodomu. </w:t>
      </w:r>
    </w:p>
    <w:p w:rsidR="00554011" w:rsidRPr="00554011" w:rsidRDefault="0032368D" w:rsidP="0055401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Cs w:val="20"/>
        </w:rPr>
      </w:pPr>
      <w:r w:rsidRPr="00A61938">
        <w:rPr>
          <w:rFonts w:ascii="Times New Roman" w:eastAsia="Times New Roman" w:hAnsi="Times New Roman" w:cs="Times New Roman"/>
          <w:b/>
          <w:kern w:val="28"/>
          <w:szCs w:val="20"/>
        </w:rPr>
        <w:t>1</w:t>
      </w:r>
      <w:r w:rsidR="00B228F2" w:rsidRPr="00A61938">
        <w:rPr>
          <w:rFonts w:ascii="Times New Roman" w:eastAsia="Times New Roman" w:hAnsi="Times New Roman" w:cs="Times New Roman"/>
          <w:b/>
          <w:kern w:val="28"/>
          <w:szCs w:val="20"/>
        </w:rPr>
        <w:t>4</w:t>
      </w:r>
      <w:r w:rsidRPr="00A61938">
        <w:rPr>
          <w:rFonts w:ascii="Times New Roman" w:eastAsia="Times New Roman" w:hAnsi="Times New Roman" w:cs="Times New Roman"/>
          <w:b/>
          <w:kern w:val="28"/>
          <w:szCs w:val="20"/>
        </w:rPr>
        <w:t>.</w:t>
      </w:r>
      <w:r w:rsidRPr="00A61938">
        <w:rPr>
          <w:rFonts w:ascii="Times New Roman" w:eastAsia="Times New Roman" w:hAnsi="Times New Roman" w:cs="Times New Roman"/>
          <w:kern w:val="28"/>
          <w:szCs w:val="20"/>
        </w:rPr>
        <w:t xml:space="preserve"> </w:t>
      </w:r>
      <w:r w:rsidR="00554011" w:rsidRPr="00A61938">
        <w:rPr>
          <w:rFonts w:ascii="Times New Roman" w:eastAsia="Times New Roman" w:hAnsi="Times New Roman" w:cs="Times New Roman"/>
          <w:kern w:val="28"/>
          <w:szCs w:val="20"/>
        </w:rPr>
        <w:t>Komisija 2016. gada 8. aprīlī nosūtīja ECB formālu notifikāciju par nodomu noteikt PKR normu 0% apmērā. No ECB saņemta atbilde, ka nav iebildumu pret šādu nodomu.</w:t>
      </w:r>
      <w:r w:rsidR="00554011" w:rsidRPr="00554011">
        <w:rPr>
          <w:rFonts w:ascii="Times New Roman" w:eastAsia="Times New Roman" w:hAnsi="Times New Roman" w:cs="Times New Roman"/>
          <w:kern w:val="28"/>
          <w:szCs w:val="20"/>
        </w:rPr>
        <w:t xml:space="preserve"> </w:t>
      </w:r>
    </w:p>
    <w:p w:rsidR="00A63FA3" w:rsidRDefault="00A63FA3" w:rsidP="00554011">
      <w:pPr>
        <w:keepNext/>
        <w:keepLines/>
        <w:spacing w:before="120" w:after="0" w:line="240" w:lineRule="auto"/>
        <w:jc w:val="both"/>
        <w:outlineLvl w:val="0"/>
      </w:pPr>
    </w:p>
    <w:sectPr w:rsidR="00A63F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B87" w:rsidRDefault="00127B87" w:rsidP="0032368D">
      <w:pPr>
        <w:spacing w:after="0" w:line="240" w:lineRule="auto"/>
      </w:pPr>
      <w:r>
        <w:separator/>
      </w:r>
    </w:p>
  </w:endnote>
  <w:endnote w:type="continuationSeparator" w:id="0">
    <w:p w:rsidR="00127B87" w:rsidRDefault="00127B87" w:rsidP="00323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B87" w:rsidRDefault="00127B87" w:rsidP="0032368D">
      <w:pPr>
        <w:spacing w:after="0" w:line="240" w:lineRule="auto"/>
      </w:pPr>
      <w:r>
        <w:separator/>
      </w:r>
    </w:p>
  </w:footnote>
  <w:footnote w:type="continuationSeparator" w:id="0">
    <w:p w:rsidR="00127B87" w:rsidRDefault="00127B87" w:rsidP="0032368D">
      <w:pPr>
        <w:spacing w:after="0" w:line="240" w:lineRule="auto"/>
      </w:pPr>
      <w:r>
        <w:continuationSeparator/>
      </w:r>
    </w:p>
  </w:footnote>
  <w:footnote w:id="1">
    <w:p w:rsidR="0032368D" w:rsidRDefault="0032368D" w:rsidP="0032368D">
      <w:pPr>
        <w:pStyle w:val="FootnoteText"/>
      </w:pPr>
      <w:r>
        <w:rPr>
          <w:rStyle w:val="FootnoteReference"/>
        </w:rPr>
        <w:footnoteRef/>
      </w:r>
      <w:r>
        <w:t xml:space="preserve"> Eiropas Sistēmisko risku kolēģijas 2014. gada 18. jūnija ieteikums par norādījumiem </w:t>
      </w:r>
      <w:proofErr w:type="spellStart"/>
      <w:r>
        <w:t>pretciklisko</w:t>
      </w:r>
      <w:proofErr w:type="spellEnd"/>
      <w:r>
        <w:t xml:space="preserve"> kapitāla rezervju normas noteikšanai (ESRK/2014/1).</w:t>
      </w:r>
    </w:p>
  </w:footnote>
  <w:footnote w:id="2">
    <w:p w:rsidR="0032368D" w:rsidRPr="00344640" w:rsidRDefault="0032368D" w:rsidP="0032368D">
      <w:pPr>
        <w:pStyle w:val="FootnoteText"/>
      </w:pPr>
      <w:r>
        <w:rPr>
          <w:rStyle w:val="FootnoteReference"/>
        </w:rPr>
        <w:footnoteRef/>
      </w:r>
      <w:r>
        <w:t xml:space="preserve"> Ietver nefinanšu korporācijas, mājsaimniecības un mājsaimniecības apkalpojošās bezpeļņas institūcijas.</w:t>
      </w:r>
      <w:r w:rsidRPr="00344640">
        <w:t xml:space="preserve"> </w:t>
      </w:r>
      <w:r>
        <w:t xml:space="preserve">Kredīta atlikums </w:t>
      </w:r>
      <w:r w:rsidRPr="00344640">
        <w:t>atspoguļo ne tikai privātā sektora saistības pret kredītiestādēm, bet arī aizņēmumus no neba</w:t>
      </w:r>
      <w:r>
        <w:t xml:space="preserve">nku finanšu institūcijām. </w:t>
      </w:r>
    </w:p>
  </w:footnote>
  <w:footnote w:id="3">
    <w:p w:rsidR="0032368D" w:rsidRPr="00733B5F" w:rsidRDefault="0032368D" w:rsidP="0032368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069D7">
        <w:t>Kredīta laikrinda no 1995. gada 4. ceturkšņa līdz 201</w:t>
      </w:r>
      <w:r w:rsidR="00DC5BC8">
        <w:t>5</w:t>
      </w:r>
      <w:r w:rsidRPr="00A069D7">
        <w:t xml:space="preserve">. gada </w:t>
      </w:r>
      <w:r w:rsidR="00604075">
        <w:t>3</w:t>
      </w:r>
      <w:r w:rsidRPr="00A069D7">
        <w:t>. ceturksnim</w:t>
      </w:r>
    </w:p>
  </w:footnote>
  <w:footnote w:id="4">
    <w:p w:rsidR="0032368D" w:rsidRDefault="0032368D" w:rsidP="0032368D">
      <w:pPr>
        <w:pStyle w:val="FootnoteText"/>
      </w:pPr>
      <w:r>
        <w:rPr>
          <w:rStyle w:val="FootnoteReference"/>
        </w:rPr>
        <w:footnoteRef/>
      </w:r>
      <w:r>
        <w:t xml:space="preserve"> Atbilstoši Rekomendācijas pielikuma 2. daļas norādēm.</w:t>
      </w:r>
    </w:p>
  </w:footnote>
  <w:footnote w:id="5">
    <w:p w:rsidR="0032368D" w:rsidRPr="00D71EF5" w:rsidRDefault="0032368D" w:rsidP="0032368D">
      <w:pPr>
        <w:pStyle w:val="FootnoteText"/>
      </w:pPr>
      <w:r w:rsidRPr="00A069D7">
        <w:rPr>
          <w:rStyle w:val="FootnoteReference"/>
        </w:rPr>
        <w:footnoteRef/>
      </w:r>
      <w:r w:rsidRPr="00A069D7">
        <w:t xml:space="preserve"> Kred</w:t>
      </w:r>
      <w:r>
        <w:t>īta laik</w:t>
      </w:r>
      <w:r w:rsidRPr="00A069D7">
        <w:t xml:space="preserve">rinda no 1999. gada 1. ceturkšņa līdz 2015. gada </w:t>
      </w:r>
      <w:r w:rsidR="00A61938">
        <w:t>4</w:t>
      </w:r>
      <w:r w:rsidRPr="00A069D7">
        <w:t>. ceturksnim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68D"/>
    <w:rsid w:val="000219CE"/>
    <w:rsid w:val="000C5528"/>
    <w:rsid w:val="00127B87"/>
    <w:rsid w:val="00134E43"/>
    <w:rsid w:val="00174F2D"/>
    <w:rsid w:val="0019182F"/>
    <w:rsid w:val="001B4A29"/>
    <w:rsid w:val="001E4DEF"/>
    <w:rsid w:val="001F3CBB"/>
    <w:rsid w:val="00257798"/>
    <w:rsid w:val="002A6B0A"/>
    <w:rsid w:val="0032368D"/>
    <w:rsid w:val="003811B7"/>
    <w:rsid w:val="003950AB"/>
    <w:rsid w:val="003A788B"/>
    <w:rsid w:val="003D03F5"/>
    <w:rsid w:val="00483487"/>
    <w:rsid w:val="004A6271"/>
    <w:rsid w:val="004F663E"/>
    <w:rsid w:val="0050109D"/>
    <w:rsid w:val="005237C0"/>
    <w:rsid w:val="00554011"/>
    <w:rsid w:val="00597727"/>
    <w:rsid w:val="005C192C"/>
    <w:rsid w:val="005E0EC5"/>
    <w:rsid w:val="005E27EE"/>
    <w:rsid w:val="005F6B51"/>
    <w:rsid w:val="00604075"/>
    <w:rsid w:val="006A2EA8"/>
    <w:rsid w:val="006D5AC3"/>
    <w:rsid w:val="00732145"/>
    <w:rsid w:val="007F27EB"/>
    <w:rsid w:val="008018ED"/>
    <w:rsid w:val="008045C6"/>
    <w:rsid w:val="00823AC7"/>
    <w:rsid w:val="00836291"/>
    <w:rsid w:val="0091533F"/>
    <w:rsid w:val="009654B7"/>
    <w:rsid w:val="00970B53"/>
    <w:rsid w:val="00A06DCF"/>
    <w:rsid w:val="00A37284"/>
    <w:rsid w:val="00A61938"/>
    <w:rsid w:val="00A63FA3"/>
    <w:rsid w:val="00A65FB4"/>
    <w:rsid w:val="00AB6A72"/>
    <w:rsid w:val="00AC3B42"/>
    <w:rsid w:val="00B14758"/>
    <w:rsid w:val="00B2143A"/>
    <w:rsid w:val="00B228F2"/>
    <w:rsid w:val="00BC61BA"/>
    <w:rsid w:val="00BC7DA9"/>
    <w:rsid w:val="00C22E6B"/>
    <w:rsid w:val="00C4158C"/>
    <w:rsid w:val="00C41E6B"/>
    <w:rsid w:val="00C51304"/>
    <w:rsid w:val="00CE2367"/>
    <w:rsid w:val="00D07221"/>
    <w:rsid w:val="00D121EA"/>
    <w:rsid w:val="00D43F90"/>
    <w:rsid w:val="00DC5BC8"/>
    <w:rsid w:val="00DD7B69"/>
    <w:rsid w:val="00DF45EE"/>
    <w:rsid w:val="00E6384B"/>
    <w:rsid w:val="00E6583E"/>
    <w:rsid w:val="00E76600"/>
    <w:rsid w:val="00E9329D"/>
    <w:rsid w:val="00EA39EE"/>
    <w:rsid w:val="00EE74AB"/>
    <w:rsid w:val="00F40422"/>
    <w:rsid w:val="00F85351"/>
    <w:rsid w:val="00FC3F80"/>
    <w:rsid w:val="00FE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2368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368D"/>
    <w:rPr>
      <w:sz w:val="20"/>
      <w:szCs w:val="20"/>
    </w:rPr>
  </w:style>
  <w:style w:type="character" w:styleId="FootnoteReference">
    <w:name w:val="footnote reference"/>
    <w:rsid w:val="0032368D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2368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368D"/>
    <w:rPr>
      <w:sz w:val="20"/>
      <w:szCs w:val="20"/>
    </w:rPr>
  </w:style>
  <w:style w:type="character" w:styleId="FootnoteReference">
    <w:name w:val="footnote reference"/>
    <w:rsid w:val="0032368D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2</Pages>
  <Words>3361</Words>
  <Characters>1916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Zubkova</dc:creator>
  <cp:lastModifiedBy>Jelena Zubkova</cp:lastModifiedBy>
  <cp:revision>43</cp:revision>
  <cp:lastPrinted>2016-04-21T14:56:00Z</cp:lastPrinted>
  <dcterms:created xsi:type="dcterms:W3CDTF">2015-07-16T14:37:00Z</dcterms:created>
  <dcterms:modified xsi:type="dcterms:W3CDTF">2016-04-28T09:11:00Z</dcterms:modified>
</cp:coreProperties>
</file>