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7FD0" w:rsidRPr="00EB3B0F" w:rsidRDefault="00B72BB5" w:rsidP="00F77FD0">
      <w:pPr>
        <w:keepNext/>
        <w:keepLines/>
        <w:spacing w:before="120"/>
        <w:jc w:val="both"/>
        <w:outlineLvl w:val="0"/>
        <w:rPr>
          <w:rFonts w:ascii="Times New Roman" w:eastAsia="Times New Roman" w:hAnsi="Times New Roman" w:cs="Times New Roman"/>
          <w:b/>
          <w:kern w:val="28"/>
          <w:lang w:val="en-GB"/>
        </w:rPr>
      </w:pPr>
      <w:r>
        <w:rPr>
          <w:rFonts w:ascii="Times New Roman" w:eastAsia="Times New Roman" w:hAnsi="Times New Roman" w:cs="Times New Roman"/>
          <w:b/>
          <w:bCs/>
          <w:kern w:val="28"/>
          <w:lang w:val="en-GB"/>
        </w:rPr>
        <w:t>The 25</w:t>
      </w:r>
      <w:r w:rsidR="00F77FD0" w:rsidRPr="00EB3B0F">
        <w:rPr>
          <w:rFonts w:ascii="Times New Roman" w:eastAsia="Times New Roman" w:hAnsi="Times New Roman" w:cs="Times New Roman"/>
          <w:b/>
          <w:bCs/>
          <w:kern w:val="28"/>
          <w:lang w:val="en-GB"/>
        </w:rPr>
        <w:t>.</w:t>
      </w:r>
      <w:r w:rsidR="001879ED">
        <w:rPr>
          <w:rFonts w:ascii="Times New Roman" w:eastAsia="Times New Roman" w:hAnsi="Times New Roman" w:cs="Times New Roman"/>
          <w:b/>
          <w:bCs/>
          <w:kern w:val="28"/>
          <w:lang w:val="en-GB"/>
        </w:rPr>
        <w:t>10</w:t>
      </w:r>
      <w:r w:rsidR="00F77FD0" w:rsidRPr="00EB3B0F">
        <w:rPr>
          <w:rFonts w:ascii="Times New Roman" w:eastAsia="Times New Roman" w:hAnsi="Times New Roman" w:cs="Times New Roman"/>
          <w:b/>
          <w:bCs/>
          <w:kern w:val="28"/>
          <w:lang w:val="en-GB"/>
        </w:rPr>
        <w:t>.201</w:t>
      </w:r>
      <w:r w:rsidR="0045045A" w:rsidRPr="00EB3B0F">
        <w:rPr>
          <w:rFonts w:ascii="Times New Roman" w:eastAsia="Times New Roman" w:hAnsi="Times New Roman" w:cs="Times New Roman"/>
          <w:b/>
          <w:bCs/>
          <w:kern w:val="28"/>
          <w:lang w:val="en-GB"/>
        </w:rPr>
        <w:t>6</w:t>
      </w:r>
      <w:r w:rsidR="00F77FD0" w:rsidRPr="00EB3B0F">
        <w:rPr>
          <w:rFonts w:ascii="Times New Roman" w:eastAsia="Times New Roman" w:hAnsi="Times New Roman" w:cs="Times New Roman"/>
          <w:b/>
          <w:bCs/>
          <w:kern w:val="28"/>
          <w:lang w:val="en-GB"/>
        </w:rPr>
        <w:t xml:space="preserve"> </w:t>
      </w:r>
      <w:r w:rsidR="00F77FD0" w:rsidRPr="00EB3B0F">
        <w:rPr>
          <w:rStyle w:val="Strong"/>
          <w:rFonts w:ascii="Times New Roman" w:hAnsi="Times New Roman"/>
          <w:lang w:val="en-GB"/>
        </w:rPr>
        <w:t>decision on setting the countercyclical capital buffer rate</w:t>
      </w:r>
      <w:r w:rsidR="00F77FD0" w:rsidRPr="00EB3B0F">
        <w:rPr>
          <w:rFonts w:ascii="Times New Roman" w:eastAsia="Times New Roman" w:hAnsi="Times New Roman" w:cs="Times New Roman"/>
          <w:b/>
          <w:bCs/>
          <w:kern w:val="28"/>
          <w:lang w:val="en-GB"/>
        </w:rPr>
        <w:t xml:space="preserve"> </w:t>
      </w:r>
    </w:p>
    <w:p w:rsidR="00F77FD0" w:rsidRPr="00EB3B0F" w:rsidRDefault="00F77FD0" w:rsidP="00EB3B0F">
      <w:pPr>
        <w:keepNext/>
        <w:keepLines/>
        <w:spacing w:line="240" w:lineRule="auto"/>
        <w:jc w:val="both"/>
        <w:outlineLvl w:val="0"/>
        <w:rPr>
          <w:rFonts w:ascii="Times New Roman" w:eastAsia="Times New Roman" w:hAnsi="Times New Roman" w:cs="Times New Roman"/>
          <w:b/>
          <w:kern w:val="28"/>
          <w:lang w:val="en-US"/>
        </w:rPr>
      </w:pPr>
      <w:r w:rsidRPr="00EB3B0F">
        <w:rPr>
          <w:rFonts w:ascii="Times New Roman" w:eastAsia="Times New Roman" w:hAnsi="Times New Roman" w:cs="Times New Roman"/>
          <w:b/>
          <w:kern w:val="28"/>
          <w:lang w:val="en-US"/>
        </w:rPr>
        <w:t xml:space="preserve">The </w:t>
      </w:r>
      <w:r w:rsidRPr="00EB3B0F">
        <w:rPr>
          <w:rStyle w:val="Strong"/>
          <w:rFonts w:ascii="Times New Roman" w:hAnsi="Times New Roman"/>
          <w:lang w:val="en-US"/>
        </w:rPr>
        <w:t>countercyclical capital buffer (CCB) rate</w:t>
      </w:r>
      <w:r w:rsidRPr="00EB3B0F">
        <w:rPr>
          <w:rFonts w:ascii="Times New Roman" w:eastAsia="Times New Roman" w:hAnsi="Times New Roman" w:cs="Times New Roman"/>
          <w:b/>
          <w:bCs/>
          <w:kern w:val="28"/>
          <w:lang w:val="en-US"/>
        </w:rPr>
        <w:t xml:space="preserve"> </w:t>
      </w:r>
      <w:r w:rsidR="00B72BB5">
        <w:rPr>
          <w:rFonts w:ascii="Times New Roman" w:eastAsia="Times New Roman" w:hAnsi="Times New Roman" w:cs="Times New Roman"/>
          <w:b/>
          <w:bCs/>
          <w:kern w:val="28"/>
          <w:lang w:val="en-US"/>
        </w:rPr>
        <w:t xml:space="preserve">for the exposures to Latvian residents </w:t>
      </w:r>
      <w:r w:rsidRPr="00EB3B0F">
        <w:rPr>
          <w:rFonts w:ascii="Times New Roman" w:eastAsia="Times New Roman" w:hAnsi="Times New Roman" w:cs="Times New Roman"/>
          <w:b/>
          <w:bCs/>
          <w:kern w:val="28"/>
          <w:lang w:val="en-US"/>
        </w:rPr>
        <w:t>has been set at 0%</w:t>
      </w:r>
      <w:r w:rsidRPr="00EB3B0F">
        <w:rPr>
          <w:rFonts w:ascii="Times New Roman" w:eastAsia="Times New Roman" w:hAnsi="Times New Roman" w:cs="Times New Roman"/>
          <w:b/>
          <w:kern w:val="28"/>
          <w:lang w:val="en-US"/>
        </w:rPr>
        <w:t xml:space="preserve">. </w:t>
      </w:r>
      <w:r w:rsidRPr="00EB3B0F">
        <w:rPr>
          <w:rFonts w:ascii="Times New Roman" w:hAnsi="Times New Roman" w:cs="Times New Roman"/>
          <w:b/>
          <w:lang w:val="en-US"/>
        </w:rPr>
        <w:t>The established CCB rate will be used to calculate a credit institution-specific countercyclical capital buffer rate</w:t>
      </w:r>
      <w:r w:rsidRPr="00EB3B0F">
        <w:rPr>
          <w:rStyle w:val="apple-converted-space"/>
          <w:rFonts w:ascii="Times New Roman" w:hAnsi="Times New Roman" w:cs="Times New Roman"/>
          <w:lang w:val="en-US"/>
        </w:rPr>
        <w:t> </w:t>
      </w:r>
      <w:r w:rsidRPr="00EB3B0F">
        <w:rPr>
          <w:rStyle w:val="Strong"/>
          <w:rFonts w:ascii="Times New Roman" w:hAnsi="Times New Roman"/>
          <w:lang w:val="en-US"/>
        </w:rPr>
        <w:t xml:space="preserve">from 1 </w:t>
      </w:r>
      <w:r w:rsidR="001879ED">
        <w:rPr>
          <w:rStyle w:val="Strong"/>
          <w:rFonts w:ascii="Times New Roman" w:hAnsi="Times New Roman"/>
          <w:lang w:val="en-US"/>
        </w:rPr>
        <w:t>November</w:t>
      </w:r>
      <w:r w:rsidR="001879ED" w:rsidRPr="00EB3B0F">
        <w:rPr>
          <w:rStyle w:val="Strong"/>
          <w:rFonts w:ascii="Times New Roman" w:hAnsi="Times New Roman"/>
          <w:lang w:val="en-US"/>
        </w:rPr>
        <w:t xml:space="preserve"> </w:t>
      </w:r>
      <w:r w:rsidR="00B72BB5">
        <w:rPr>
          <w:rStyle w:val="Strong"/>
          <w:rFonts w:ascii="Times New Roman" w:hAnsi="Times New Roman"/>
          <w:lang w:val="en-US"/>
        </w:rPr>
        <w:t xml:space="preserve">2017 </w:t>
      </w:r>
      <w:r w:rsidR="00B72BB5">
        <w:rPr>
          <w:rFonts w:ascii="Times New Roman" w:eastAsia="Times New Roman" w:hAnsi="Times New Roman" w:cs="Times New Roman"/>
          <w:b/>
          <w:bCs/>
          <w:kern w:val="28"/>
          <w:lang w:val="en-US"/>
        </w:rPr>
        <w:t xml:space="preserve">till 31 </w:t>
      </w:r>
      <w:r w:rsidR="001879ED">
        <w:rPr>
          <w:rFonts w:ascii="Times New Roman" w:eastAsia="Times New Roman" w:hAnsi="Times New Roman" w:cs="Times New Roman"/>
          <w:b/>
          <w:bCs/>
          <w:kern w:val="28"/>
          <w:lang w:val="en-US"/>
        </w:rPr>
        <w:t xml:space="preserve">January </w:t>
      </w:r>
      <w:r w:rsidR="00B72BB5">
        <w:rPr>
          <w:rFonts w:ascii="Times New Roman" w:eastAsia="Times New Roman" w:hAnsi="Times New Roman" w:cs="Times New Roman"/>
          <w:b/>
          <w:bCs/>
          <w:kern w:val="28"/>
          <w:lang w:val="en-US"/>
        </w:rPr>
        <w:t>201</w:t>
      </w:r>
      <w:r w:rsidR="001879ED">
        <w:rPr>
          <w:rFonts w:ascii="Times New Roman" w:eastAsia="Times New Roman" w:hAnsi="Times New Roman" w:cs="Times New Roman"/>
          <w:b/>
          <w:bCs/>
          <w:kern w:val="28"/>
          <w:lang w:val="en-US"/>
        </w:rPr>
        <w:t>8</w:t>
      </w:r>
      <w:r w:rsidRPr="00EB3B0F">
        <w:rPr>
          <w:rFonts w:ascii="Times New Roman" w:eastAsia="Times New Roman" w:hAnsi="Times New Roman" w:cs="Times New Roman"/>
          <w:b/>
          <w:bCs/>
          <w:kern w:val="28"/>
          <w:lang w:val="en-US"/>
        </w:rPr>
        <w:t xml:space="preserve">. </w:t>
      </w:r>
      <w:r w:rsidRPr="00EB3B0F">
        <w:rPr>
          <w:rFonts w:ascii="Times New Roman" w:eastAsia="Times New Roman" w:hAnsi="Times New Roman" w:cs="Times New Roman"/>
          <w:b/>
          <w:kern w:val="28"/>
          <w:lang w:val="en-US"/>
        </w:rPr>
        <w:t xml:space="preserve">Over the next two years, </w:t>
      </w:r>
      <w:r w:rsidRPr="00EB3B0F">
        <w:rPr>
          <w:rFonts w:ascii="Times New Roman" w:eastAsia="Times New Roman" w:hAnsi="Times New Roman" w:cs="Times New Roman"/>
          <w:b/>
          <w:lang w:val="en-US"/>
        </w:rPr>
        <w:t>the need to increase the provision is not expected</w:t>
      </w:r>
      <w:r w:rsidRPr="00EB3B0F">
        <w:rPr>
          <w:rFonts w:ascii="Times New Roman" w:eastAsia="Times New Roman" w:hAnsi="Times New Roman" w:cs="Times New Roman"/>
          <w:b/>
          <w:kern w:val="28"/>
          <w:lang w:val="en-US"/>
        </w:rPr>
        <w:t>.</w:t>
      </w:r>
    </w:p>
    <w:p w:rsidR="00F77FD0" w:rsidRPr="00EB3B0F" w:rsidRDefault="00F77FD0" w:rsidP="00EB3B0F">
      <w:pPr>
        <w:keepNext/>
        <w:keepLines/>
        <w:spacing w:line="240" w:lineRule="auto"/>
        <w:jc w:val="both"/>
        <w:outlineLvl w:val="0"/>
        <w:rPr>
          <w:rFonts w:ascii="Times New Roman" w:eastAsia="Times New Roman" w:hAnsi="Times New Roman" w:cs="Times New Roman"/>
          <w:kern w:val="28"/>
          <w:lang w:val="en-US"/>
        </w:rPr>
      </w:pPr>
      <w:r w:rsidRPr="00926C57">
        <w:rPr>
          <w:rFonts w:ascii="Times New Roman" w:eastAsia="Times New Roman" w:hAnsi="Times New Roman" w:cs="Times New Roman"/>
          <w:kern w:val="28"/>
          <w:lang w:val="en-US"/>
        </w:rPr>
        <w:t xml:space="preserve">1. </w:t>
      </w:r>
      <w:r w:rsidRPr="00926C57">
        <w:rPr>
          <w:rFonts w:ascii="Times New Roman" w:hAnsi="Times New Roman" w:cs="Times New Roman"/>
          <w:lang w:val="en-US"/>
        </w:rPr>
        <w:t>In</w:t>
      </w:r>
      <w:r w:rsidRPr="00EB3B0F">
        <w:rPr>
          <w:rFonts w:ascii="Times New Roman" w:hAnsi="Times New Roman" w:cs="Times New Roman"/>
          <w:lang w:val="en-US"/>
        </w:rPr>
        <w:t xml:space="preserve"> accordance with paragraph 1 of Article 35</w:t>
      </w:r>
      <w:r w:rsidRPr="00EB3B0F">
        <w:rPr>
          <w:rFonts w:ascii="Times New Roman" w:hAnsi="Times New Roman" w:cs="Times New Roman"/>
          <w:vertAlign w:val="superscript"/>
          <w:lang w:val="en-US"/>
        </w:rPr>
        <w:t>5</w:t>
      </w:r>
      <w:r w:rsidRPr="00EB3B0F">
        <w:rPr>
          <w:rStyle w:val="apple-converted-space"/>
          <w:rFonts w:ascii="Times New Roman" w:hAnsi="Times New Roman" w:cs="Times New Roman"/>
          <w:lang w:val="en-US"/>
        </w:rPr>
        <w:t> </w:t>
      </w:r>
      <w:r w:rsidRPr="00EB3B0F">
        <w:rPr>
          <w:rFonts w:ascii="Times New Roman" w:hAnsi="Times New Roman" w:cs="Times New Roman"/>
          <w:lang w:val="en-US"/>
        </w:rPr>
        <w:t>of Credit Institution Law</w:t>
      </w:r>
      <w:r w:rsidRPr="00EB3B0F">
        <w:rPr>
          <w:rFonts w:ascii="Times New Roman" w:eastAsia="Times New Roman" w:hAnsi="Times New Roman" w:cs="Times New Roman"/>
          <w:kern w:val="28"/>
          <w:lang w:val="en-US"/>
        </w:rPr>
        <w:t xml:space="preserve"> </w:t>
      </w:r>
      <w:r w:rsidRPr="00EB3B0F">
        <w:rPr>
          <w:rFonts w:ascii="Times New Roman" w:hAnsi="Times New Roman" w:cs="Times New Roman"/>
          <w:lang w:val="en-US"/>
        </w:rPr>
        <w:t>every quarter the Financial and Capital Market Commission (hereinafter, the Commission) sets the countercyclical capital buffer (CCB) rate applicable to exposures to the residents of the Republic of Latvia taking into account:</w:t>
      </w:r>
    </w:p>
    <w:p w:rsidR="00F77FD0" w:rsidRPr="00EB3B0F" w:rsidRDefault="00F77FD0" w:rsidP="002A077C">
      <w:pPr>
        <w:keepNext/>
        <w:keepLines/>
        <w:spacing w:after="0" w:line="240" w:lineRule="auto"/>
        <w:jc w:val="both"/>
        <w:outlineLvl w:val="0"/>
        <w:rPr>
          <w:rFonts w:ascii="Times New Roman" w:eastAsia="Times New Roman" w:hAnsi="Times New Roman" w:cs="Times New Roman"/>
          <w:kern w:val="28"/>
          <w:lang w:val="en-US"/>
        </w:rPr>
      </w:pPr>
      <w:r w:rsidRPr="00EB3B0F">
        <w:rPr>
          <w:rFonts w:ascii="Times New Roman" w:eastAsia="Times New Roman" w:hAnsi="Times New Roman" w:cs="Times New Roman"/>
          <w:kern w:val="28"/>
          <w:lang w:val="en-US"/>
        </w:rPr>
        <w:t xml:space="preserve">1) </w:t>
      </w:r>
      <w:proofErr w:type="gramStart"/>
      <w:r w:rsidRPr="00EB3B0F">
        <w:rPr>
          <w:rFonts w:ascii="Times New Roman" w:eastAsia="Times New Roman" w:hAnsi="Times New Roman" w:cs="Times New Roman"/>
          <w:kern w:val="28"/>
          <w:lang w:val="en-US"/>
        </w:rPr>
        <w:t>the</w:t>
      </w:r>
      <w:proofErr w:type="gramEnd"/>
      <w:r w:rsidRPr="00EB3B0F">
        <w:rPr>
          <w:rFonts w:ascii="Times New Roman" w:eastAsia="Times New Roman" w:hAnsi="Times New Roman" w:cs="Times New Roman"/>
          <w:kern w:val="28"/>
          <w:lang w:val="en-US"/>
        </w:rPr>
        <w:t xml:space="preserve"> </w:t>
      </w:r>
      <w:r w:rsidRPr="00EB3B0F">
        <w:rPr>
          <w:rFonts w:ascii="Times New Roman" w:hAnsi="Times New Roman" w:cs="Times New Roman"/>
          <w:lang w:val="en-US"/>
        </w:rPr>
        <w:t>CCB guide calculated for the appropriate quarter</w:t>
      </w:r>
      <w:r w:rsidRPr="00EB3B0F">
        <w:rPr>
          <w:rFonts w:ascii="Times New Roman" w:eastAsia="Times New Roman" w:hAnsi="Times New Roman" w:cs="Times New Roman"/>
          <w:kern w:val="28"/>
          <w:lang w:val="en-US"/>
        </w:rPr>
        <w:t>;</w:t>
      </w:r>
    </w:p>
    <w:p w:rsidR="00F77FD0" w:rsidRPr="00EB3B0F" w:rsidRDefault="00F77FD0" w:rsidP="002A077C">
      <w:pPr>
        <w:keepNext/>
        <w:keepLines/>
        <w:spacing w:after="0" w:line="240" w:lineRule="auto"/>
        <w:jc w:val="both"/>
        <w:outlineLvl w:val="0"/>
        <w:rPr>
          <w:rFonts w:ascii="Times New Roman" w:hAnsi="Times New Roman" w:cs="Times New Roman"/>
          <w:lang w:val="en-US"/>
        </w:rPr>
      </w:pPr>
      <w:r w:rsidRPr="00EB3B0F">
        <w:rPr>
          <w:rFonts w:ascii="Times New Roman" w:eastAsia="Times New Roman" w:hAnsi="Times New Roman" w:cs="Times New Roman"/>
          <w:kern w:val="28"/>
          <w:lang w:val="en-US"/>
        </w:rPr>
        <w:t xml:space="preserve">2) </w:t>
      </w:r>
      <w:proofErr w:type="gramStart"/>
      <w:r w:rsidRPr="00EB3B0F">
        <w:rPr>
          <w:rFonts w:ascii="Times New Roman" w:hAnsi="Times New Roman" w:cs="Times New Roman"/>
          <w:lang w:val="en-US"/>
        </w:rPr>
        <w:t>variables</w:t>
      </w:r>
      <w:proofErr w:type="gramEnd"/>
      <w:r w:rsidRPr="00EB3B0F">
        <w:rPr>
          <w:rFonts w:ascii="Times New Roman" w:hAnsi="Times New Roman" w:cs="Times New Roman"/>
          <w:lang w:val="en-US"/>
        </w:rPr>
        <w:t xml:space="preserve"> that the Commission considers significant for assessing significant cyclical systemic risk</w:t>
      </w:r>
      <w:r w:rsidRPr="00EB3B0F">
        <w:rPr>
          <w:rFonts w:ascii="Times New Roman" w:eastAsia="Times New Roman" w:hAnsi="Times New Roman" w:cs="Times New Roman"/>
          <w:kern w:val="28"/>
          <w:lang w:val="en-US"/>
        </w:rPr>
        <w:t>;</w:t>
      </w:r>
    </w:p>
    <w:p w:rsidR="00F77FD0" w:rsidRPr="00EB3B0F" w:rsidRDefault="00F77FD0" w:rsidP="002A077C">
      <w:pPr>
        <w:keepNext/>
        <w:keepLines/>
        <w:spacing w:after="0" w:line="240" w:lineRule="auto"/>
        <w:jc w:val="both"/>
        <w:outlineLvl w:val="0"/>
        <w:rPr>
          <w:rFonts w:ascii="Times New Roman" w:hAnsi="Times New Roman" w:cs="Times New Roman"/>
          <w:lang w:val="en-US"/>
        </w:rPr>
      </w:pPr>
      <w:r w:rsidRPr="00EB3B0F">
        <w:rPr>
          <w:rFonts w:ascii="Times New Roman" w:eastAsia="Times New Roman" w:hAnsi="Times New Roman" w:cs="Times New Roman"/>
          <w:kern w:val="28"/>
          <w:lang w:val="en-US"/>
        </w:rPr>
        <w:t xml:space="preserve">3) </w:t>
      </w:r>
      <w:proofErr w:type="gramStart"/>
      <w:r w:rsidRPr="00EB3B0F">
        <w:rPr>
          <w:rFonts w:ascii="Times New Roman" w:hAnsi="Times New Roman" w:cs="Times New Roman"/>
          <w:lang w:val="en-US"/>
        </w:rPr>
        <w:t>effective</w:t>
      </w:r>
      <w:proofErr w:type="gramEnd"/>
      <w:r w:rsidRPr="00EB3B0F">
        <w:rPr>
          <w:rFonts w:ascii="Times New Roman" w:hAnsi="Times New Roman" w:cs="Times New Roman"/>
          <w:lang w:val="en-US"/>
        </w:rPr>
        <w:t xml:space="preserve"> European Systemic Risk Board's (ESRB) recommendations on the setting of the CCB rate.</w:t>
      </w:r>
    </w:p>
    <w:p w:rsidR="00F77FD0" w:rsidRPr="00EB3B0F" w:rsidRDefault="00913EF0" w:rsidP="00EB3B0F">
      <w:pPr>
        <w:keepNext/>
        <w:keepLines/>
        <w:spacing w:line="240" w:lineRule="auto"/>
        <w:jc w:val="both"/>
        <w:outlineLvl w:val="0"/>
        <w:rPr>
          <w:rFonts w:ascii="Times New Roman" w:eastAsia="Times New Roman" w:hAnsi="Times New Roman" w:cs="Times New Roman"/>
          <w:kern w:val="28"/>
          <w:lang w:val="en-US"/>
        </w:rPr>
      </w:pPr>
      <w:r w:rsidRPr="00913EF0">
        <w:rPr>
          <w:rFonts w:ascii="Times New Roman" w:eastAsia="Times New Roman" w:hAnsi="Times New Roman" w:cs="Times New Roman"/>
          <w:kern w:val="28"/>
          <w:lang w:val="en-US"/>
        </w:rPr>
        <w:t>2</w:t>
      </w:r>
      <w:r w:rsidR="00F77FD0" w:rsidRPr="00913EF0">
        <w:rPr>
          <w:rFonts w:ascii="Times New Roman" w:eastAsia="Times New Roman" w:hAnsi="Times New Roman" w:cs="Times New Roman"/>
          <w:kern w:val="28"/>
          <w:lang w:val="en-US"/>
        </w:rPr>
        <w:t>.</w:t>
      </w:r>
      <w:r w:rsidR="00F77FD0" w:rsidRPr="00EB3B0F">
        <w:rPr>
          <w:rFonts w:ascii="Times New Roman" w:eastAsia="Times New Roman" w:hAnsi="Times New Roman" w:cs="Times New Roman"/>
          <w:kern w:val="28"/>
          <w:lang w:val="en-US"/>
        </w:rPr>
        <w:t xml:space="preserve"> </w:t>
      </w:r>
      <w:r w:rsidR="00F77FD0" w:rsidRPr="00EB3B0F">
        <w:rPr>
          <w:rFonts w:ascii="Times New Roman" w:hAnsi="Times New Roman" w:cs="Times New Roman"/>
          <w:lang w:val="en-US"/>
        </w:rPr>
        <w:t>The calculation of the CCB guide shall be carried out taking into account the deviation of the credit (issued to the Latvian residents) to GDP ratio from its long-run trend</w:t>
      </w:r>
      <w:r w:rsidR="00F77FD0" w:rsidRPr="00EB3B0F">
        <w:rPr>
          <w:rFonts w:ascii="Times New Roman" w:eastAsia="Times New Roman" w:hAnsi="Times New Roman" w:cs="Times New Roman"/>
          <w:kern w:val="28"/>
          <w:lang w:val="en-US"/>
        </w:rPr>
        <w:t xml:space="preserve"> (hereinafter, the credit-to-GDP gap). </w:t>
      </w:r>
    </w:p>
    <w:p w:rsidR="00EB3B0F" w:rsidRPr="00EB3B0F" w:rsidRDefault="00913EF0" w:rsidP="00EB3B0F">
      <w:pPr>
        <w:keepNext/>
        <w:keepLines/>
        <w:spacing w:line="240" w:lineRule="auto"/>
        <w:jc w:val="both"/>
        <w:outlineLvl w:val="0"/>
        <w:rPr>
          <w:rFonts w:ascii="Times New Roman" w:eastAsia="Times New Roman" w:hAnsi="Times New Roman" w:cs="Times New Roman"/>
          <w:kern w:val="28"/>
          <w:lang w:val="en-US"/>
        </w:rPr>
      </w:pPr>
      <w:r>
        <w:rPr>
          <w:rFonts w:ascii="Times New Roman" w:eastAsia="Times New Roman" w:hAnsi="Times New Roman" w:cs="Times New Roman"/>
          <w:kern w:val="28"/>
          <w:lang w:val="en-US"/>
        </w:rPr>
        <w:t>3</w:t>
      </w:r>
      <w:r w:rsidR="00F77FD0" w:rsidRPr="00EB3B0F">
        <w:rPr>
          <w:rFonts w:ascii="Times New Roman" w:eastAsia="Times New Roman" w:hAnsi="Times New Roman" w:cs="Times New Roman"/>
          <w:kern w:val="28"/>
          <w:lang w:val="en-US"/>
        </w:rPr>
        <w:t xml:space="preserve">. In accordance with </w:t>
      </w:r>
      <w:r w:rsidR="00B47381" w:rsidRPr="00EB3B0F">
        <w:rPr>
          <w:rFonts w:ascii="Times New Roman" w:hAnsi="Times New Roman" w:cs="Times New Roman"/>
          <w:lang w:val="en-US"/>
        </w:rPr>
        <w:t>the ESRB Recommendation</w:t>
      </w:r>
      <w:r w:rsidR="00F77FD0" w:rsidRPr="00EB3B0F">
        <w:rPr>
          <w:rFonts w:ascii="Times New Roman" w:eastAsia="Times New Roman" w:hAnsi="Times New Roman" w:cs="Times New Roman"/>
          <w:kern w:val="28"/>
          <w:vertAlign w:val="superscript"/>
          <w:lang w:val="en-US"/>
        </w:rPr>
        <w:footnoteReference w:id="1"/>
      </w:r>
      <w:r w:rsidR="00F77FD0" w:rsidRPr="00EB3B0F">
        <w:rPr>
          <w:rFonts w:ascii="Times New Roman" w:eastAsia="Times New Roman" w:hAnsi="Times New Roman" w:cs="Times New Roman"/>
          <w:kern w:val="28"/>
          <w:lang w:val="en-US"/>
        </w:rPr>
        <w:t xml:space="preserve"> (hereinafter, the Recommendation), the CCB guide may be calculated using the data of broad and narrow definition time series. The broad credit definition covers banking loans and loans issued by non-bank financial institutions</w:t>
      </w:r>
      <w:r w:rsidR="00B47381" w:rsidRPr="00EB3B0F">
        <w:rPr>
          <w:rFonts w:ascii="Times New Roman" w:eastAsia="Times New Roman" w:hAnsi="Times New Roman" w:cs="Times New Roman"/>
          <w:kern w:val="28"/>
          <w:lang w:val="en-US"/>
        </w:rPr>
        <w:t xml:space="preserve"> </w:t>
      </w:r>
      <w:r w:rsidR="00F77FD0" w:rsidRPr="00EB3B0F">
        <w:rPr>
          <w:rFonts w:ascii="Times New Roman" w:eastAsia="Times New Roman" w:hAnsi="Times New Roman" w:cs="Times New Roman"/>
          <w:kern w:val="28"/>
          <w:lang w:val="en-US"/>
        </w:rPr>
        <w:t>to the domestic private non-financial sector</w:t>
      </w:r>
      <w:r w:rsidR="00B47381" w:rsidRPr="00EB3B0F">
        <w:rPr>
          <w:rStyle w:val="FootnoteReference"/>
          <w:rFonts w:ascii="Times New Roman" w:eastAsia="Times New Roman" w:hAnsi="Times New Roman"/>
          <w:kern w:val="28"/>
          <w:lang w:val="en-US"/>
        </w:rPr>
        <w:footnoteReference w:id="2"/>
      </w:r>
      <w:r w:rsidR="00F77FD0" w:rsidRPr="00EB3B0F">
        <w:rPr>
          <w:rFonts w:ascii="Times New Roman" w:eastAsia="Times New Roman" w:hAnsi="Times New Roman" w:cs="Times New Roman"/>
          <w:kern w:val="28"/>
          <w:lang w:val="en-US"/>
        </w:rPr>
        <w:t xml:space="preserve">. The </w:t>
      </w:r>
      <w:r w:rsidR="00F77FD0" w:rsidRPr="00913EF0">
        <w:rPr>
          <w:rFonts w:ascii="Times New Roman" w:eastAsia="Times New Roman" w:hAnsi="Times New Roman" w:cs="Times New Roman"/>
          <w:kern w:val="28"/>
          <w:lang w:val="en-US"/>
        </w:rPr>
        <w:t>standardized credit-to-GDP gap has been assessed using the broad definition time series. The narrow credit definition,</w:t>
      </w:r>
      <w:r w:rsidR="00F77FD0" w:rsidRPr="00913EF0">
        <w:rPr>
          <w:rFonts w:ascii="Times New Roman" w:hAnsi="Times New Roman" w:cs="Times New Roman"/>
          <w:lang w:val="en-US"/>
        </w:rPr>
        <w:t xml:space="preserve"> </w:t>
      </w:r>
      <w:r w:rsidR="00F77FD0" w:rsidRPr="00913EF0">
        <w:rPr>
          <w:rFonts w:ascii="Times New Roman" w:eastAsia="Times New Roman" w:hAnsi="Times New Roman" w:cs="Times New Roman"/>
          <w:kern w:val="28"/>
          <w:lang w:val="en-US"/>
        </w:rPr>
        <w:t xml:space="preserve">in the case of Latvia covers the </w:t>
      </w:r>
      <w:r w:rsidR="00F77FD0" w:rsidRPr="00913EF0">
        <w:rPr>
          <w:rFonts w:ascii="Times New Roman" w:hAnsi="Times New Roman" w:cs="Times New Roman"/>
          <w:lang w:val="en-US"/>
        </w:rPr>
        <w:t xml:space="preserve">balance of outstanding loans granted to the domestic private non-financial sector by banks (it </w:t>
      </w:r>
      <w:r w:rsidR="00F77FD0" w:rsidRPr="00913EF0">
        <w:rPr>
          <w:rFonts w:ascii="Times New Roman" w:eastAsia="Times New Roman" w:hAnsi="Times New Roman" w:cs="Times New Roman"/>
          <w:kern w:val="28"/>
          <w:lang w:val="en-US"/>
        </w:rPr>
        <w:t>does not include loans from non-bank financial institutions). The additional credit-to-GDP gap was assessed based on the narrow credit definition ti</w:t>
      </w:r>
      <w:r w:rsidR="00F77FD0" w:rsidRPr="00EB3B0F">
        <w:rPr>
          <w:rFonts w:ascii="Times New Roman" w:eastAsia="Times New Roman" w:hAnsi="Times New Roman" w:cs="Times New Roman"/>
          <w:kern w:val="28"/>
          <w:lang w:val="en-US"/>
        </w:rPr>
        <w:t xml:space="preserve">me series.  </w:t>
      </w:r>
    </w:p>
    <w:p w:rsidR="00F77FD0" w:rsidRPr="00913EF0" w:rsidRDefault="00913EF0" w:rsidP="00EB3B0F">
      <w:pPr>
        <w:keepNext/>
        <w:keepLines/>
        <w:spacing w:line="240" w:lineRule="auto"/>
        <w:jc w:val="both"/>
        <w:outlineLvl w:val="0"/>
        <w:rPr>
          <w:rFonts w:ascii="Times New Roman" w:eastAsia="Times New Roman" w:hAnsi="Times New Roman" w:cs="Times New Roman"/>
          <w:kern w:val="28"/>
          <w:lang w:val="en-US"/>
        </w:rPr>
      </w:pPr>
      <w:r w:rsidRPr="00913EF0">
        <w:rPr>
          <w:rFonts w:ascii="Times New Roman" w:eastAsia="Times New Roman" w:hAnsi="Times New Roman" w:cs="Times New Roman"/>
          <w:kern w:val="28"/>
          <w:lang w:val="en-US"/>
        </w:rPr>
        <w:t>4</w:t>
      </w:r>
      <w:r w:rsidR="00F77FD0" w:rsidRPr="00913EF0">
        <w:rPr>
          <w:rFonts w:ascii="Times New Roman" w:eastAsia="Times New Roman" w:hAnsi="Times New Roman" w:cs="Times New Roman"/>
          <w:kern w:val="28"/>
          <w:lang w:val="en-US"/>
        </w:rPr>
        <w:t>. In</w:t>
      </w:r>
      <w:r w:rsidR="00F77FD0" w:rsidRPr="00EB3B0F">
        <w:rPr>
          <w:rFonts w:ascii="Times New Roman" w:eastAsia="Times New Roman" w:hAnsi="Times New Roman" w:cs="Times New Roman"/>
          <w:kern w:val="28"/>
          <w:lang w:val="en-US"/>
        </w:rPr>
        <w:t xml:space="preserve"> Latvia, using the broad credit definition, the credit-to-GDP ratio was </w:t>
      </w:r>
      <w:r w:rsidR="009573B7">
        <w:rPr>
          <w:rFonts w:ascii="Times New Roman" w:eastAsia="Times New Roman" w:hAnsi="Times New Roman" w:cs="Times New Roman"/>
          <w:kern w:val="28"/>
          <w:lang w:val="en-US"/>
        </w:rPr>
        <w:t>100</w:t>
      </w:r>
      <w:r w:rsidR="00B47381" w:rsidRPr="00EB3B0F">
        <w:rPr>
          <w:rFonts w:ascii="Times New Roman" w:eastAsia="Times New Roman" w:hAnsi="Times New Roman" w:cs="Times New Roman"/>
          <w:kern w:val="28"/>
          <w:lang w:val="en-US"/>
        </w:rPr>
        <w:t>% in Q</w:t>
      </w:r>
      <w:r w:rsidR="009573B7">
        <w:rPr>
          <w:rFonts w:ascii="Times New Roman" w:eastAsia="Times New Roman" w:hAnsi="Times New Roman" w:cs="Times New Roman"/>
          <w:kern w:val="28"/>
          <w:lang w:val="en-US"/>
        </w:rPr>
        <w:t>1</w:t>
      </w:r>
      <w:r w:rsidR="00F77FD0" w:rsidRPr="00EB3B0F">
        <w:rPr>
          <w:rFonts w:ascii="Times New Roman" w:eastAsia="Times New Roman" w:hAnsi="Times New Roman" w:cs="Times New Roman"/>
          <w:kern w:val="28"/>
          <w:lang w:val="en-US"/>
        </w:rPr>
        <w:t xml:space="preserve"> 201</w:t>
      </w:r>
      <w:r w:rsidR="009573B7">
        <w:rPr>
          <w:rFonts w:ascii="Times New Roman" w:eastAsia="Times New Roman" w:hAnsi="Times New Roman" w:cs="Times New Roman"/>
          <w:kern w:val="28"/>
          <w:lang w:val="en-US"/>
        </w:rPr>
        <w:t>6</w:t>
      </w:r>
      <w:r w:rsidR="00F77FD0" w:rsidRPr="00EB3B0F">
        <w:rPr>
          <w:rFonts w:ascii="Times New Roman" w:eastAsia="Times New Roman" w:hAnsi="Times New Roman" w:cs="Times New Roman"/>
          <w:kern w:val="28"/>
          <w:lang w:val="en-US"/>
        </w:rPr>
        <w:t xml:space="preserve"> wh</w:t>
      </w:r>
      <w:r w:rsidR="00891B7B">
        <w:rPr>
          <w:rFonts w:ascii="Times New Roman" w:eastAsia="Times New Roman" w:hAnsi="Times New Roman" w:cs="Times New Roman"/>
          <w:kern w:val="28"/>
          <w:lang w:val="en-US"/>
        </w:rPr>
        <w:t>ile its standardized gap was -</w:t>
      </w:r>
      <w:r w:rsidR="009573B7">
        <w:rPr>
          <w:rFonts w:ascii="Times New Roman" w:eastAsia="Times New Roman" w:hAnsi="Times New Roman" w:cs="Times New Roman"/>
          <w:kern w:val="28"/>
          <w:lang w:val="en-US"/>
        </w:rPr>
        <w:t>39</w:t>
      </w:r>
      <w:r w:rsidR="00F77FD0" w:rsidRPr="00EB3B0F">
        <w:rPr>
          <w:rFonts w:ascii="Times New Roman" w:eastAsia="Times New Roman" w:hAnsi="Times New Roman" w:cs="Times New Roman"/>
          <w:kern w:val="28"/>
          <w:lang w:val="en-US"/>
        </w:rPr>
        <w:t>%</w:t>
      </w:r>
      <w:r w:rsidR="00F963A5" w:rsidRPr="00EB3B0F">
        <w:rPr>
          <w:rStyle w:val="FootnoteReference"/>
          <w:rFonts w:ascii="Times New Roman" w:eastAsia="Times New Roman" w:hAnsi="Times New Roman"/>
          <w:kern w:val="28"/>
          <w:lang w:val="en-US"/>
        </w:rPr>
        <w:footnoteReference w:id="3"/>
      </w:r>
      <w:r w:rsidR="00E6323F" w:rsidRPr="00EB3B0F">
        <w:rPr>
          <w:rFonts w:ascii="Times New Roman" w:eastAsia="Times New Roman" w:hAnsi="Times New Roman" w:cs="Times New Roman"/>
          <w:kern w:val="28"/>
          <w:lang w:val="en-US"/>
        </w:rPr>
        <w:t>.</w:t>
      </w:r>
      <w:r w:rsidR="00F77FD0" w:rsidRPr="00EB3B0F">
        <w:rPr>
          <w:rFonts w:ascii="Times New Roman" w:eastAsia="Times New Roman" w:hAnsi="Times New Roman" w:cs="Times New Roman"/>
          <w:kern w:val="28"/>
          <w:lang w:val="en-US"/>
        </w:rPr>
        <w:t xml:space="preserve"> In case the total credit-to-GDP gap exceeds the long-run trend by 2 percent points, </w:t>
      </w:r>
      <w:r w:rsidR="00F77FD0" w:rsidRPr="00EB3B0F">
        <w:rPr>
          <w:rFonts w:ascii="Times New Roman" w:hAnsi="Times New Roman" w:cs="Times New Roman"/>
          <w:lang w:val="en-US"/>
        </w:rPr>
        <w:t>the benchmark buffer rate will increase linearly</w:t>
      </w:r>
      <w:r>
        <w:rPr>
          <w:rFonts w:ascii="Times New Roman" w:hAnsi="Times New Roman" w:cs="Times New Roman"/>
          <w:lang w:val="en-US"/>
        </w:rPr>
        <w:t xml:space="preserve"> </w:t>
      </w:r>
      <w:r w:rsidR="00F77FD0" w:rsidRPr="00EB3B0F">
        <w:rPr>
          <w:rFonts w:ascii="Times New Roman" w:hAnsi="Times New Roman" w:cs="Times New Roman"/>
          <w:lang w:val="en-US"/>
        </w:rPr>
        <w:t xml:space="preserve">from zero to the upper threshold </w:t>
      </w:r>
      <w:r w:rsidR="00F77FD0" w:rsidRPr="00EB3B0F">
        <w:rPr>
          <w:rFonts w:ascii="Times New Roman" w:eastAsia="Times New Roman" w:hAnsi="Times New Roman" w:cs="Times New Roman"/>
          <w:kern w:val="28"/>
          <w:lang w:val="en-US"/>
        </w:rPr>
        <w:t xml:space="preserve">of </w:t>
      </w:r>
      <w:r w:rsidR="00F77FD0" w:rsidRPr="00EB3B0F">
        <w:rPr>
          <w:rFonts w:ascii="Times New Roman" w:hAnsi="Times New Roman" w:cs="Times New Roman"/>
          <w:lang w:val="en-US"/>
        </w:rPr>
        <w:t>risk-weighted assets at</w:t>
      </w:r>
      <w:r w:rsidR="00F77FD0" w:rsidRPr="00EB3B0F">
        <w:rPr>
          <w:rFonts w:ascii="Times New Roman" w:eastAsia="Times New Roman" w:hAnsi="Times New Roman" w:cs="Times New Roman"/>
          <w:kern w:val="28"/>
          <w:lang w:val="en-US"/>
        </w:rPr>
        <w:t xml:space="preserve"> 2.5%, where the credit-to-GDP gap reaches 10 </w:t>
      </w:r>
      <w:r w:rsidR="00F77FD0" w:rsidRPr="00913EF0">
        <w:rPr>
          <w:rFonts w:ascii="Times New Roman" w:eastAsia="Times New Roman" w:hAnsi="Times New Roman" w:cs="Times New Roman"/>
          <w:kern w:val="28"/>
          <w:lang w:val="en-US"/>
        </w:rPr>
        <w:t xml:space="preserve">percent points. </w:t>
      </w:r>
      <w:r w:rsidR="00F77FD0" w:rsidRPr="00913EF0">
        <w:rPr>
          <w:rFonts w:ascii="Times New Roman" w:hAnsi="Times New Roman" w:cs="Times New Roman"/>
          <w:lang w:val="en-US"/>
        </w:rPr>
        <w:t>Where the gap is at -</w:t>
      </w:r>
      <w:r w:rsidR="009573B7">
        <w:rPr>
          <w:rFonts w:ascii="Times New Roman" w:hAnsi="Times New Roman" w:cs="Times New Roman"/>
          <w:lang w:val="en-US"/>
        </w:rPr>
        <w:t>39</w:t>
      </w:r>
      <w:r w:rsidR="00F77FD0" w:rsidRPr="00913EF0">
        <w:rPr>
          <w:rFonts w:ascii="Times New Roman" w:hAnsi="Times New Roman" w:cs="Times New Roman"/>
          <w:lang w:val="en-US"/>
        </w:rPr>
        <w:t>%, the benchmark buffer rate will be 0%.</w:t>
      </w:r>
    </w:p>
    <w:p w:rsidR="00306C30" w:rsidRPr="00EB3B0F" w:rsidRDefault="00913EF0" w:rsidP="00EB3B0F">
      <w:pPr>
        <w:spacing w:line="240" w:lineRule="auto"/>
        <w:jc w:val="both"/>
        <w:rPr>
          <w:rFonts w:ascii="Times New Roman" w:eastAsia="Times New Roman" w:hAnsi="Times New Roman" w:cs="Times New Roman"/>
          <w:lang w:val="en-US"/>
        </w:rPr>
      </w:pPr>
      <w:r w:rsidRPr="00913EF0">
        <w:rPr>
          <w:rFonts w:ascii="Times New Roman" w:eastAsia="Times New Roman" w:hAnsi="Times New Roman" w:cs="Times New Roman"/>
          <w:lang w:val="en-US"/>
        </w:rPr>
        <w:t>5</w:t>
      </w:r>
      <w:r w:rsidR="00F77FD0" w:rsidRPr="00913EF0">
        <w:rPr>
          <w:rFonts w:ascii="Times New Roman" w:eastAsia="Times New Roman" w:hAnsi="Times New Roman" w:cs="Times New Roman"/>
          <w:lang w:val="en-US"/>
        </w:rPr>
        <w:t>.</w:t>
      </w:r>
      <w:r w:rsidR="00F77FD0" w:rsidRPr="00EB3B0F">
        <w:rPr>
          <w:rFonts w:ascii="Times New Roman" w:eastAsia="Times New Roman" w:hAnsi="Times New Roman" w:cs="Times New Roman"/>
          <w:lang w:val="en-US"/>
        </w:rPr>
        <w:t xml:space="preserve"> Applying the narrow </w:t>
      </w:r>
      <w:r w:rsidR="00F77FD0" w:rsidRPr="00EB3B0F">
        <w:rPr>
          <w:rFonts w:ascii="Times New Roman" w:eastAsia="Times New Roman" w:hAnsi="Times New Roman" w:cs="Times New Roman"/>
          <w:kern w:val="28"/>
          <w:lang w:val="en-US"/>
        </w:rPr>
        <w:t xml:space="preserve">credit definition the credit-to-GDP ratio was </w:t>
      </w:r>
      <w:r>
        <w:rPr>
          <w:rFonts w:ascii="Times New Roman" w:eastAsia="Times New Roman" w:hAnsi="Times New Roman" w:cs="Times New Roman"/>
          <w:lang w:val="en-US"/>
        </w:rPr>
        <w:t>4</w:t>
      </w:r>
      <w:r w:rsidR="009E28F2">
        <w:rPr>
          <w:rFonts w:ascii="Times New Roman" w:eastAsia="Times New Roman" w:hAnsi="Times New Roman" w:cs="Times New Roman"/>
          <w:lang w:val="en-US"/>
        </w:rPr>
        <w:t>5</w:t>
      </w:r>
      <w:r w:rsidR="00F77FD0" w:rsidRPr="00EB3B0F">
        <w:rPr>
          <w:rFonts w:ascii="Times New Roman" w:eastAsia="Times New Roman" w:hAnsi="Times New Roman" w:cs="Times New Roman"/>
          <w:lang w:val="en-US"/>
        </w:rPr>
        <w:t>%, but the additional gap was -3</w:t>
      </w:r>
      <w:r w:rsidR="009E28F2">
        <w:rPr>
          <w:rFonts w:ascii="Times New Roman" w:eastAsia="Times New Roman" w:hAnsi="Times New Roman" w:cs="Times New Roman"/>
          <w:lang w:val="en-US"/>
        </w:rPr>
        <w:t>0</w:t>
      </w:r>
      <w:r w:rsidR="00F77FD0" w:rsidRPr="00EB3B0F">
        <w:rPr>
          <w:rFonts w:ascii="Times New Roman" w:eastAsia="Times New Roman" w:hAnsi="Times New Roman" w:cs="Times New Roman"/>
          <w:lang w:val="en-US"/>
        </w:rPr>
        <w:t>%</w:t>
      </w:r>
      <w:r w:rsidR="00B0298C" w:rsidRPr="00EB3B0F">
        <w:rPr>
          <w:rStyle w:val="FootnoteReference"/>
          <w:rFonts w:ascii="Times New Roman" w:eastAsia="Times New Roman" w:hAnsi="Times New Roman"/>
          <w:lang w:val="en-US"/>
        </w:rPr>
        <w:footnoteReference w:id="4"/>
      </w:r>
      <w:r>
        <w:rPr>
          <w:rFonts w:ascii="Times New Roman" w:eastAsia="Times New Roman" w:hAnsi="Times New Roman" w:cs="Times New Roman"/>
          <w:lang w:val="en-US"/>
        </w:rPr>
        <w:t xml:space="preserve"> in Q</w:t>
      </w:r>
      <w:r w:rsidR="009E28F2">
        <w:rPr>
          <w:rFonts w:ascii="Times New Roman" w:eastAsia="Times New Roman" w:hAnsi="Times New Roman" w:cs="Times New Roman"/>
          <w:lang w:val="en-US"/>
        </w:rPr>
        <w:t>2</w:t>
      </w:r>
      <w:r w:rsidR="00F77FD0" w:rsidRPr="00EB3B0F">
        <w:rPr>
          <w:rFonts w:ascii="Times New Roman" w:eastAsia="Times New Roman" w:hAnsi="Times New Roman" w:cs="Times New Roman"/>
          <w:lang w:val="en-US"/>
        </w:rPr>
        <w:t xml:space="preserve"> 201</w:t>
      </w:r>
      <w:r>
        <w:rPr>
          <w:rFonts w:ascii="Times New Roman" w:eastAsia="Times New Roman" w:hAnsi="Times New Roman" w:cs="Times New Roman"/>
          <w:lang w:val="en-US"/>
        </w:rPr>
        <w:t>6</w:t>
      </w:r>
      <w:r w:rsidR="00F77FD0" w:rsidRPr="00EB3B0F">
        <w:rPr>
          <w:rFonts w:ascii="Times New Roman" w:eastAsia="Times New Roman" w:hAnsi="Times New Roman" w:cs="Times New Roman"/>
          <w:lang w:val="en-US"/>
        </w:rPr>
        <w:t xml:space="preserve">, as a result the </w:t>
      </w:r>
      <w:r w:rsidR="00F77FD0" w:rsidRPr="00EB3B0F">
        <w:rPr>
          <w:rFonts w:ascii="Times New Roman" w:hAnsi="Times New Roman" w:cs="Times New Roman"/>
          <w:lang w:val="en-US"/>
        </w:rPr>
        <w:t>benchmark buffer rate</w:t>
      </w:r>
      <w:r w:rsidR="00F77FD0" w:rsidRPr="00EB3B0F">
        <w:rPr>
          <w:rFonts w:ascii="Times New Roman" w:eastAsia="Times New Roman" w:hAnsi="Times New Roman" w:cs="Times New Roman"/>
          <w:lang w:val="en-US"/>
        </w:rPr>
        <w:t xml:space="preserve"> calculated </w:t>
      </w:r>
      <w:r w:rsidR="00F77FD0" w:rsidRPr="00EB3B0F">
        <w:rPr>
          <w:rFonts w:ascii="Times New Roman" w:hAnsi="Times New Roman" w:cs="Times New Roman"/>
          <w:lang w:val="en-US"/>
        </w:rPr>
        <w:t xml:space="preserve">under the additional credit-to-GDP gap was </w:t>
      </w:r>
      <w:r w:rsidR="00F77FD0" w:rsidRPr="00EB3B0F">
        <w:rPr>
          <w:rFonts w:ascii="Times New Roman" w:eastAsia="Times New Roman" w:hAnsi="Times New Roman" w:cs="Times New Roman"/>
          <w:lang w:val="en-US"/>
        </w:rPr>
        <w:t xml:space="preserve">0%. </w:t>
      </w:r>
      <w:r w:rsidR="00F77FD0" w:rsidRPr="00EB3B0F">
        <w:rPr>
          <w:rFonts w:ascii="Times New Roman" w:hAnsi="Times New Roman" w:cs="Times New Roman"/>
          <w:lang w:val="en-US"/>
        </w:rPr>
        <w:t>In accordance with the Recommendation the benchmark buffer rate that best reflects the specificities of the national economy shall be selected as the CCB guide</w:t>
      </w:r>
      <w:r w:rsidR="00F77FD0" w:rsidRPr="00EB3B0F">
        <w:rPr>
          <w:rFonts w:ascii="Times New Roman" w:eastAsia="Times New Roman" w:hAnsi="Times New Roman" w:cs="Times New Roman"/>
          <w:lang w:val="en-US"/>
        </w:rPr>
        <w:t xml:space="preserve">. For Latvia, </w:t>
      </w:r>
      <w:r w:rsidR="00F77FD0" w:rsidRPr="00EB3B0F">
        <w:rPr>
          <w:rFonts w:ascii="Times New Roman" w:hAnsi="Times New Roman" w:cs="Times New Roman"/>
          <w:lang w:val="en-US"/>
        </w:rPr>
        <w:t>the results obtained from the calculations of the benchmark buffer rate under the narrow definition are more justified than using the broad credit definition results</w:t>
      </w:r>
      <w:r w:rsidR="00F77FD0" w:rsidRPr="00EB3B0F">
        <w:rPr>
          <w:rFonts w:ascii="Times New Roman" w:eastAsia="Times New Roman" w:hAnsi="Times New Roman" w:cs="Times New Roman"/>
          <w:lang w:val="en-US"/>
        </w:rPr>
        <w:t>. T</w:t>
      </w:r>
      <w:r w:rsidR="00F77FD0" w:rsidRPr="00EB3B0F">
        <w:rPr>
          <w:rFonts w:ascii="Times New Roman" w:hAnsi="Times New Roman" w:cs="Times New Roman"/>
          <w:lang w:val="en-US"/>
        </w:rPr>
        <w:t>he data of the narrow credit time series are more stable (they are not retrospectively adjusted) and they become available sooner. Therefore, in Latvia the benchmark buffer rate that is calculated based on the additional credit-to-GDP gap has been selected as the CCB guide</w:t>
      </w:r>
      <w:r w:rsidR="00F77FD0" w:rsidRPr="00EB3B0F">
        <w:rPr>
          <w:rFonts w:ascii="Times New Roman" w:eastAsia="Times New Roman" w:hAnsi="Times New Roman" w:cs="Times New Roman"/>
          <w:lang w:val="en-US"/>
        </w:rPr>
        <w:t>.</w:t>
      </w:r>
    </w:p>
    <w:p w:rsidR="00481401" w:rsidRDefault="00481401" w:rsidP="00EB3B0F">
      <w:pPr>
        <w:spacing w:line="240" w:lineRule="auto"/>
        <w:jc w:val="both"/>
        <w:rPr>
          <w:rFonts w:ascii="Times New Roman" w:eastAsia="Times New Roman" w:hAnsi="Times New Roman" w:cs="Times New Roman"/>
          <w:b/>
          <w:kern w:val="28"/>
          <w:lang w:val="en-US"/>
        </w:rPr>
      </w:pPr>
    </w:p>
    <w:p w:rsidR="00D07F8E" w:rsidRPr="00D07F8E" w:rsidRDefault="00D07F8E" w:rsidP="00D07F8E">
      <w:pPr>
        <w:spacing w:line="240" w:lineRule="auto"/>
        <w:jc w:val="both"/>
        <w:rPr>
          <w:rFonts w:ascii="Times New Roman" w:eastAsia="Times New Roman" w:hAnsi="Times New Roman" w:cs="Times New Roman"/>
          <w:bCs/>
          <w:kern w:val="28"/>
          <w:lang w:val="en-GB"/>
        </w:rPr>
      </w:pPr>
      <w:r>
        <w:rPr>
          <w:rFonts w:ascii="Times New Roman" w:eastAsia="Times New Roman" w:hAnsi="Times New Roman" w:cs="Times New Roman"/>
          <w:bCs/>
          <w:kern w:val="28"/>
          <w:lang w:val="en-GB"/>
        </w:rPr>
        <w:lastRenderedPageBreak/>
        <w:t xml:space="preserve">6. </w:t>
      </w:r>
      <w:r w:rsidRPr="00D07F8E">
        <w:rPr>
          <w:rFonts w:ascii="Times New Roman" w:eastAsia="Times New Roman" w:hAnsi="Times New Roman" w:cs="Times New Roman"/>
          <w:bCs/>
          <w:kern w:val="28"/>
          <w:lang w:val="en-GB"/>
        </w:rPr>
        <w:t xml:space="preserve">Indicators used as a guide for setting a countercyclical capital buffer rate do not point to the growing cyclical risks in the financial sector. </w:t>
      </w:r>
    </w:p>
    <w:p w:rsidR="00D07F8E" w:rsidRPr="00D07F8E" w:rsidRDefault="00D07F8E" w:rsidP="00D07F8E">
      <w:pPr>
        <w:spacing w:line="240" w:lineRule="auto"/>
        <w:jc w:val="both"/>
        <w:rPr>
          <w:rFonts w:ascii="Times New Roman" w:eastAsia="Times New Roman" w:hAnsi="Times New Roman" w:cs="Times New Roman"/>
          <w:bCs/>
          <w:kern w:val="28"/>
          <w:lang w:val="en-GB"/>
        </w:rPr>
      </w:pPr>
      <w:r>
        <w:rPr>
          <w:rFonts w:ascii="Times New Roman" w:eastAsia="Times New Roman" w:hAnsi="Times New Roman" w:cs="Times New Roman"/>
          <w:bCs/>
          <w:kern w:val="28"/>
          <w:lang w:val="en-GB"/>
        </w:rPr>
        <w:t xml:space="preserve">7. </w:t>
      </w:r>
      <w:r w:rsidRPr="00D07F8E">
        <w:rPr>
          <w:rFonts w:ascii="Times New Roman" w:eastAsia="Times New Roman" w:hAnsi="Times New Roman" w:cs="Times New Roman"/>
          <w:bCs/>
          <w:kern w:val="28"/>
          <w:lang w:val="en-GB"/>
        </w:rPr>
        <w:t xml:space="preserve">Since 2016, positive developments have been observed in credit dynamics, especially in lending to the non-financial corporations. However, Q2 2016 data suggests that the banking sector credit portfolio to the private sector continues to decline, albeit at a slower pace (-1.8% y-o-y). </w:t>
      </w:r>
    </w:p>
    <w:p w:rsidR="00D07F8E" w:rsidRPr="00D07F8E" w:rsidRDefault="00D07F8E" w:rsidP="00D07F8E">
      <w:pPr>
        <w:spacing w:line="240" w:lineRule="auto"/>
        <w:jc w:val="both"/>
        <w:rPr>
          <w:rFonts w:ascii="Times New Roman" w:eastAsia="Times New Roman" w:hAnsi="Times New Roman" w:cs="Times New Roman"/>
          <w:bCs/>
          <w:kern w:val="28"/>
          <w:lang w:val="en-GB"/>
        </w:rPr>
      </w:pPr>
      <w:r>
        <w:rPr>
          <w:rFonts w:ascii="Times New Roman" w:eastAsia="Times New Roman" w:hAnsi="Times New Roman" w:cs="Times New Roman"/>
          <w:bCs/>
          <w:kern w:val="28"/>
          <w:lang w:val="en-GB"/>
        </w:rPr>
        <w:t xml:space="preserve">8. </w:t>
      </w:r>
      <w:r w:rsidRPr="00D07F8E">
        <w:rPr>
          <w:rFonts w:ascii="Times New Roman" w:eastAsia="Times New Roman" w:hAnsi="Times New Roman" w:cs="Times New Roman"/>
          <w:bCs/>
          <w:kern w:val="28"/>
          <w:lang w:val="en-GB"/>
        </w:rPr>
        <w:t>Residential real estate prices are still about 34% lower compared to the peak in 2008.</w:t>
      </w:r>
      <w:r w:rsidR="00926C57">
        <w:rPr>
          <w:rFonts w:ascii="Times New Roman" w:eastAsia="Times New Roman" w:hAnsi="Times New Roman" w:cs="Times New Roman"/>
          <w:bCs/>
          <w:kern w:val="28"/>
          <w:lang w:val="en-GB"/>
        </w:rPr>
        <w:t xml:space="preserve"> </w:t>
      </w:r>
      <w:r w:rsidRPr="00D07F8E">
        <w:rPr>
          <w:rFonts w:ascii="Times New Roman" w:eastAsia="Times New Roman" w:hAnsi="Times New Roman" w:cs="Times New Roman"/>
          <w:bCs/>
          <w:kern w:val="28"/>
          <w:lang w:val="en-GB"/>
        </w:rPr>
        <w:t xml:space="preserve">However, since 2015, housing prices, as well as number of transactions in the RE market have been  growing moderately, at the speed of the growth accelerating somewhat in first half of 2016.  An improvement in the household financial position through substantial reduction in their leverage and increase in real wages, as well as the governmental support for the young families with children </w:t>
      </w:r>
      <w:r w:rsidR="00926C57" w:rsidRPr="00D07F8E">
        <w:rPr>
          <w:rFonts w:ascii="Times New Roman" w:eastAsia="Times New Roman" w:hAnsi="Times New Roman" w:cs="Times New Roman"/>
          <w:bCs/>
          <w:kern w:val="28"/>
          <w:lang w:val="en-GB"/>
        </w:rPr>
        <w:t>improved the</w:t>
      </w:r>
      <w:r w:rsidRPr="00D07F8E">
        <w:rPr>
          <w:rFonts w:ascii="Times New Roman" w:eastAsia="Times New Roman" w:hAnsi="Times New Roman" w:cs="Times New Roman"/>
          <w:bCs/>
          <w:kern w:val="28"/>
          <w:lang w:val="en-GB"/>
        </w:rPr>
        <w:t xml:space="preserve"> availability of loans.</w:t>
      </w:r>
    </w:p>
    <w:p w:rsidR="00D07F8E" w:rsidRPr="00D07F8E" w:rsidRDefault="00D07F8E" w:rsidP="00D07F8E">
      <w:pPr>
        <w:spacing w:line="240" w:lineRule="auto"/>
        <w:jc w:val="both"/>
        <w:rPr>
          <w:rFonts w:ascii="Times New Roman" w:eastAsia="Times New Roman" w:hAnsi="Times New Roman" w:cs="Times New Roman"/>
          <w:bCs/>
          <w:kern w:val="28"/>
          <w:lang w:val="en-GB"/>
        </w:rPr>
      </w:pPr>
      <w:r>
        <w:rPr>
          <w:rFonts w:ascii="Times New Roman" w:eastAsia="Times New Roman" w:hAnsi="Times New Roman" w:cs="Times New Roman"/>
          <w:bCs/>
          <w:kern w:val="28"/>
          <w:lang w:val="en-GB"/>
        </w:rPr>
        <w:t xml:space="preserve">9. </w:t>
      </w:r>
      <w:r w:rsidRPr="00D07F8E">
        <w:rPr>
          <w:rFonts w:ascii="Times New Roman" w:eastAsia="Times New Roman" w:hAnsi="Times New Roman" w:cs="Times New Roman"/>
          <w:bCs/>
          <w:kern w:val="28"/>
          <w:lang w:val="en-GB"/>
        </w:rPr>
        <w:t xml:space="preserve">Against the background of continuing deleveraging, the private sector indebtedness and debt service burden continue shrinking. Annual interest payments by the private sector (households and non-financial corporations) continue to decline in relation to GDP (reaching 1.5% in Q1 2016).  </w:t>
      </w:r>
    </w:p>
    <w:p w:rsidR="00D07F8E" w:rsidRPr="00D07F8E" w:rsidRDefault="00D07F8E" w:rsidP="00D07F8E">
      <w:pPr>
        <w:spacing w:line="240" w:lineRule="auto"/>
        <w:jc w:val="both"/>
        <w:rPr>
          <w:rFonts w:ascii="Times New Roman" w:eastAsia="Times New Roman" w:hAnsi="Times New Roman" w:cs="Times New Roman"/>
          <w:bCs/>
          <w:kern w:val="28"/>
          <w:lang w:val="en-GB"/>
        </w:rPr>
      </w:pPr>
      <w:r>
        <w:rPr>
          <w:rFonts w:ascii="Times New Roman" w:eastAsia="Times New Roman" w:hAnsi="Times New Roman" w:cs="Times New Roman"/>
          <w:bCs/>
          <w:kern w:val="28"/>
          <w:lang w:val="en-GB"/>
        </w:rPr>
        <w:t xml:space="preserve">10. </w:t>
      </w:r>
      <w:r w:rsidRPr="00D07F8E">
        <w:rPr>
          <w:rFonts w:ascii="Times New Roman" w:eastAsia="Times New Roman" w:hAnsi="Times New Roman" w:cs="Times New Roman"/>
          <w:bCs/>
          <w:kern w:val="28"/>
          <w:lang w:val="en-GB"/>
        </w:rPr>
        <w:t xml:space="preserve">Given weak economic data for the first half of 2016, the Bank of Latvia reduced the GDP forecast for 2016: from 2% to 1.4%. The GDP forecast for 2017 is 3% on the background of increasing activity in investments projects financed by the EU funds. Still, high uncertainty and risks on account of external factors and weak bank lending activity will play their role. </w:t>
      </w:r>
    </w:p>
    <w:p w:rsidR="009A771D" w:rsidRDefault="00D07F8E" w:rsidP="00481401">
      <w:pPr>
        <w:spacing w:line="240" w:lineRule="auto"/>
        <w:jc w:val="both"/>
        <w:rPr>
          <w:rFonts w:ascii="Times New Roman" w:eastAsia="Times New Roman" w:hAnsi="Times New Roman" w:cs="Times New Roman"/>
          <w:kern w:val="28"/>
          <w:lang w:val="en-GB"/>
        </w:rPr>
      </w:pPr>
      <w:r>
        <w:rPr>
          <w:rFonts w:ascii="Times New Roman" w:eastAsia="Times New Roman" w:hAnsi="Times New Roman" w:cs="Times New Roman"/>
          <w:bCs/>
          <w:kern w:val="28"/>
          <w:lang w:val="en-GB"/>
        </w:rPr>
        <w:t xml:space="preserve">11. </w:t>
      </w:r>
      <w:r w:rsidRPr="00D07F8E">
        <w:rPr>
          <w:rFonts w:ascii="Times New Roman" w:eastAsia="Times New Roman" w:hAnsi="Times New Roman" w:cs="Times New Roman"/>
          <w:bCs/>
          <w:kern w:val="28"/>
          <w:lang w:val="en-GB"/>
        </w:rPr>
        <w:t>The banking sector strength measured in terms of solvency and profitability remains high. Capital adequacy ratios substantially exceed both – minimal and total capital requirements, as well as an average EU level. At the end of Q2 2016, the banking sector's ROE was 16.9% and common equity tier 1 ratio was at 16.5%</w:t>
      </w:r>
      <w:proofErr w:type="gramStart"/>
      <w:r w:rsidRPr="00D07F8E">
        <w:rPr>
          <w:rFonts w:ascii="Times New Roman" w:eastAsia="Times New Roman" w:hAnsi="Times New Roman" w:cs="Times New Roman"/>
          <w:bCs/>
          <w:kern w:val="28"/>
          <w:lang w:val="en-GB"/>
        </w:rPr>
        <w:t>.</w:t>
      </w:r>
      <w:r w:rsidR="00481401" w:rsidRPr="00481401">
        <w:rPr>
          <w:rFonts w:ascii="Times New Roman" w:eastAsia="Times New Roman" w:hAnsi="Times New Roman" w:cs="Times New Roman"/>
          <w:kern w:val="28"/>
          <w:lang w:val="en-GB"/>
        </w:rPr>
        <w:t>.</w:t>
      </w:r>
      <w:proofErr w:type="gramEnd"/>
    </w:p>
    <w:p w:rsidR="00F77FD0" w:rsidRPr="00481401" w:rsidRDefault="00306C30" w:rsidP="00EB3B0F">
      <w:pPr>
        <w:keepNext/>
        <w:keepLines/>
        <w:spacing w:line="240" w:lineRule="auto"/>
        <w:jc w:val="both"/>
        <w:outlineLvl w:val="0"/>
        <w:rPr>
          <w:rFonts w:ascii="Times New Roman" w:eastAsia="Times New Roman" w:hAnsi="Times New Roman" w:cs="Times New Roman"/>
          <w:kern w:val="28"/>
          <w:lang w:val="en-US"/>
        </w:rPr>
      </w:pPr>
      <w:r w:rsidRPr="00481401">
        <w:rPr>
          <w:rFonts w:ascii="Times New Roman" w:eastAsia="Times New Roman" w:hAnsi="Times New Roman" w:cs="Times New Roman"/>
          <w:kern w:val="28"/>
          <w:lang w:val="en-US"/>
        </w:rPr>
        <w:t>1</w:t>
      </w:r>
      <w:r w:rsidR="00D07F8E">
        <w:rPr>
          <w:rFonts w:ascii="Times New Roman" w:eastAsia="Times New Roman" w:hAnsi="Times New Roman" w:cs="Times New Roman"/>
          <w:kern w:val="28"/>
          <w:lang w:val="en-US"/>
        </w:rPr>
        <w:t>2</w:t>
      </w:r>
      <w:r w:rsidR="00F77FD0" w:rsidRPr="00481401">
        <w:rPr>
          <w:rFonts w:ascii="Times New Roman" w:eastAsia="Times New Roman" w:hAnsi="Times New Roman" w:cs="Times New Roman"/>
          <w:kern w:val="28"/>
          <w:lang w:val="en-US"/>
        </w:rPr>
        <w:t xml:space="preserve">. </w:t>
      </w:r>
      <w:r w:rsidR="00F77FD0" w:rsidRPr="00481401">
        <w:rPr>
          <w:rFonts w:ascii="Times New Roman" w:hAnsi="Times New Roman" w:cs="Times New Roman"/>
          <w:kern w:val="28"/>
          <w:lang w:val="en-US"/>
        </w:rPr>
        <w:t xml:space="preserve">Considering above, </w:t>
      </w:r>
      <w:r w:rsidR="00F77FD0" w:rsidRPr="00481401">
        <w:rPr>
          <w:rFonts w:ascii="Times New Roman" w:hAnsi="Times New Roman" w:cs="Times New Roman"/>
          <w:lang w:val="en-US"/>
        </w:rPr>
        <w:t>the Commission sets the CCB rate of 0%. In accordance with the current lending and GDP growth rate forecasts, no increase in the CCB rate would be required in the next two years</w:t>
      </w:r>
      <w:r w:rsidR="00F77FD0" w:rsidRPr="00481401">
        <w:rPr>
          <w:rFonts w:ascii="Times New Roman" w:eastAsia="Times New Roman" w:hAnsi="Times New Roman" w:cs="Times New Roman"/>
          <w:kern w:val="28"/>
          <w:lang w:val="en-US"/>
        </w:rPr>
        <w:t xml:space="preserve">. </w:t>
      </w:r>
    </w:p>
    <w:p w:rsidR="009842F4" w:rsidRPr="00EB3B0F" w:rsidRDefault="009842F4" w:rsidP="00EB3B0F">
      <w:pPr>
        <w:spacing w:line="240" w:lineRule="auto"/>
        <w:jc w:val="both"/>
        <w:rPr>
          <w:rFonts w:ascii="Times New Roman" w:hAnsi="Times New Roman" w:cs="Times New Roman"/>
          <w:lang w:val="en-US"/>
        </w:rPr>
      </w:pPr>
    </w:p>
    <w:sectPr w:rsidR="009842F4" w:rsidRPr="00EB3B0F" w:rsidSect="009842F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83F" w:rsidRDefault="001B483F" w:rsidP="00F77FD0">
      <w:pPr>
        <w:spacing w:after="0" w:line="240" w:lineRule="auto"/>
      </w:pPr>
      <w:r>
        <w:separator/>
      </w:r>
    </w:p>
  </w:endnote>
  <w:endnote w:type="continuationSeparator" w:id="0">
    <w:p w:rsidR="001B483F" w:rsidRDefault="001B483F" w:rsidP="00F77F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83F" w:rsidRDefault="001B483F" w:rsidP="00F77FD0">
      <w:pPr>
        <w:spacing w:after="0" w:line="240" w:lineRule="auto"/>
      </w:pPr>
      <w:r>
        <w:separator/>
      </w:r>
    </w:p>
  </w:footnote>
  <w:footnote w:type="continuationSeparator" w:id="0">
    <w:p w:rsidR="001B483F" w:rsidRDefault="001B483F" w:rsidP="00F77FD0">
      <w:pPr>
        <w:spacing w:after="0" w:line="240" w:lineRule="auto"/>
      </w:pPr>
      <w:r>
        <w:continuationSeparator/>
      </w:r>
    </w:p>
  </w:footnote>
  <w:footnote w:id="1">
    <w:p w:rsidR="001B483F" w:rsidRPr="0041107E" w:rsidRDefault="001B483F" w:rsidP="00F77FD0">
      <w:pPr>
        <w:spacing w:after="0" w:line="240" w:lineRule="auto"/>
        <w:jc w:val="both"/>
        <w:rPr>
          <w:rFonts w:ascii="Times New Roman" w:hAnsi="Times New Roman" w:cs="Times New Roman"/>
          <w:sz w:val="20"/>
          <w:szCs w:val="20"/>
          <w:lang w:val="en-GB"/>
        </w:rPr>
      </w:pPr>
      <w:r w:rsidRPr="0041107E">
        <w:rPr>
          <w:rStyle w:val="FootnoteReference"/>
          <w:rFonts w:ascii="Times New Roman" w:hAnsi="Times New Roman"/>
          <w:lang w:val="en-GB"/>
        </w:rPr>
        <w:footnoteRef/>
      </w:r>
      <w:r w:rsidRPr="0041107E">
        <w:rPr>
          <w:rFonts w:ascii="Times New Roman" w:hAnsi="Times New Roman" w:cs="Times New Roman"/>
          <w:sz w:val="20"/>
          <w:szCs w:val="20"/>
          <w:lang w:val="en-GB"/>
        </w:rPr>
        <w:t xml:space="preserve"> Recommendation of the European Systemic Risk Board of 18 June 2014 on guidance for setting countercyclical buffer rates (ESRB/2014/1).</w:t>
      </w:r>
    </w:p>
  </w:footnote>
  <w:footnote w:id="2">
    <w:p w:rsidR="001B483F" w:rsidRDefault="001B483F" w:rsidP="00B47381">
      <w:pPr>
        <w:pStyle w:val="FootnoteText"/>
      </w:pPr>
      <w:r w:rsidRPr="00A665FE">
        <w:rPr>
          <w:rStyle w:val="FootnoteReference"/>
          <w:rFonts w:ascii="Times New Roman" w:hAnsi="Times New Roman"/>
          <w:lang w:val="en-GB"/>
        </w:rPr>
        <w:footnoteRef/>
      </w:r>
      <w:r w:rsidRPr="00A665FE">
        <w:rPr>
          <w:rFonts w:ascii="Times New Roman" w:hAnsi="Times New Roman" w:cs="Times New Roman"/>
          <w:lang w:val="en-GB"/>
        </w:rPr>
        <w:t xml:space="preserve">  </w:t>
      </w:r>
      <w:r>
        <w:rPr>
          <w:rFonts w:ascii="Times New Roman" w:hAnsi="Times New Roman" w:cs="Times New Roman"/>
          <w:lang w:val="en-GB"/>
        </w:rPr>
        <w:t>It includes non-financial corp</w:t>
      </w:r>
      <w:r w:rsidRPr="00A665FE">
        <w:rPr>
          <w:rFonts w:ascii="Times New Roman" w:hAnsi="Times New Roman" w:cs="Times New Roman"/>
          <w:lang w:val="en-GB"/>
        </w:rPr>
        <w:t>orations,</w:t>
      </w:r>
      <w:r>
        <w:rPr>
          <w:rFonts w:ascii="Times New Roman" w:hAnsi="Times New Roman" w:cs="Times New Roman"/>
          <w:lang w:val="en-GB"/>
        </w:rPr>
        <w:t xml:space="preserve"> </w:t>
      </w:r>
      <w:r w:rsidRPr="00A665FE">
        <w:rPr>
          <w:rFonts w:ascii="Times New Roman" w:hAnsi="Times New Roman" w:cs="Times New Roman"/>
          <w:lang w:val="en-GB"/>
        </w:rPr>
        <w:t>households and n</w:t>
      </w:r>
      <w:r w:rsidRPr="00A665FE">
        <w:rPr>
          <w:rFonts w:ascii="Times New Roman" w:hAnsi="Times New Roman" w:cs="Times New Roman"/>
          <w:bCs/>
          <w:lang w:val="en-GB"/>
        </w:rPr>
        <w:t xml:space="preserve">on-profit institutions serving households. </w:t>
      </w:r>
      <w:r w:rsidRPr="00A665FE">
        <w:rPr>
          <w:rFonts w:ascii="Times New Roman" w:eastAsia="Times New Roman" w:hAnsi="Times New Roman" w:cs="Times New Roman"/>
          <w:lang w:val="en-GB"/>
        </w:rPr>
        <w:t>Loan balance reflects not only the private sector liabilities to credit institutions, but also loans from non-bank financial institutions.</w:t>
      </w:r>
    </w:p>
  </w:footnote>
  <w:footnote w:id="3">
    <w:p w:rsidR="001B483F" w:rsidRDefault="001B483F">
      <w:pPr>
        <w:pStyle w:val="FootnoteText"/>
      </w:pPr>
      <w:r>
        <w:rPr>
          <w:rStyle w:val="FootnoteReference"/>
        </w:rPr>
        <w:footnoteRef/>
      </w:r>
      <w:r>
        <w:t xml:space="preserve"> </w:t>
      </w:r>
      <w:proofErr w:type="gramStart"/>
      <w:r w:rsidRPr="00DB4EEC">
        <w:rPr>
          <w:rFonts w:ascii="Times New Roman" w:hAnsi="Times New Roman" w:cs="Times New Roman"/>
          <w:lang w:val="en-GB"/>
        </w:rPr>
        <w:t>Credi</w:t>
      </w:r>
      <w:r>
        <w:rPr>
          <w:rFonts w:ascii="Times New Roman" w:hAnsi="Times New Roman" w:cs="Times New Roman"/>
          <w:lang w:val="en-GB"/>
        </w:rPr>
        <w:t>t time series from Q4 1995 to Q</w:t>
      </w:r>
      <w:r w:rsidR="00191F59">
        <w:rPr>
          <w:rFonts w:ascii="Times New Roman" w:hAnsi="Times New Roman" w:cs="Times New Roman"/>
          <w:lang w:val="en-GB"/>
        </w:rPr>
        <w:t>1</w:t>
      </w:r>
      <w:r w:rsidRPr="00DB4EEC">
        <w:rPr>
          <w:rFonts w:ascii="Times New Roman" w:hAnsi="Times New Roman" w:cs="Times New Roman"/>
          <w:lang w:val="en-GB"/>
        </w:rPr>
        <w:t xml:space="preserve"> 201</w:t>
      </w:r>
      <w:r w:rsidR="00191F59">
        <w:rPr>
          <w:rFonts w:ascii="Times New Roman" w:hAnsi="Times New Roman" w:cs="Times New Roman"/>
          <w:lang w:val="en-GB"/>
        </w:rPr>
        <w:t>6</w:t>
      </w:r>
      <w:r>
        <w:rPr>
          <w:rFonts w:ascii="Times New Roman" w:hAnsi="Times New Roman" w:cs="Times New Roman"/>
          <w:lang w:val="en-GB"/>
        </w:rPr>
        <w:t>.</w:t>
      </w:r>
      <w:proofErr w:type="gramEnd"/>
    </w:p>
  </w:footnote>
  <w:footnote w:id="4">
    <w:p w:rsidR="001B483F" w:rsidRDefault="001B483F">
      <w:pPr>
        <w:pStyle w:val="FootnoteText"/>
      </w:pPr>
      <w:r>
        <w:rPr>
          <w:rStyle w:val="FootnoteReference"/>
        </w:rPr>
        <w:footnoteRef/>
      </w:r>
      <w:r>
        <w:t xml:space="preserve"> </w:t>
      </w:r>
      <w:r w:rsidRPr="00DB4EEC">
        <w:rPr>
          <w:rFonts w:ascii="Times New Roman" w:hAnsi="Times New Roman" w:cs="Times New Roman"/>
          <w:lang w:val="en-GB"/>
        </w:rPr>
        <w:t>Credit time series from Q</w:t>
      </w:r>
      <w:r>
        <w:rPr>
          <w:rFonts w:ascii="Times New Roman" w:hAnsi="Times New Roman" w:cs="Times New Roman"/>
          <w:lang w:val="en-GB"/>
        </w:rPr>
        <w:t xml:space="preserve">1 1999 to </w:t>
      </w:r>
      <w:r>
        <w:rPr>
          <w:rFonts w:ascii="Times New Roman" w:hAnsi="Times New Roman" w:cs="Times New Roman"/>
          <w:lang w:val="en-GB"/>
        </w:rPr>
        <w:t>Q</w:t>
      </w:r>
      <w:r w:rsidR="00191F59">
        <w:rPr>
          <w:rFonts w:ascii="Times New Roman" w:hAnsi="Times New Roman" w:cs="Times New Roman"/>
          <w:lang w:val="en-GB"/>
        </w:rPr>
        <w:t>2</w:t>
      </w:r>
      <w:bookmarkStart w:id="0" w:name="_GoBack"/>
      <w:bookmarkEnd w:id="0"/>
      <w:r>
        <w:rPr>
          <w:rFonts w:ascii="Times New Roman" w:hAnsi="Times New Roman" w:cs="Times New Roman"/>
          <w:lang w:val="en-GB"/>
        </w:rPr>
        <w:t xml:space="preserve"> 2016.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FD0"/>
    <w:rsid w:val="000B20AA"/>
    <w:rsid w:val="000E62B3"/>
    <w:rsid w:val="000F2711"/>
    <w:rsid w:val="00111738"/>
    <w:rsid w:val="00111C19"/>
    <w:rsid w:val="00163495"/>
    <w:rsid w:val="00163863"/>
    <w:rsid w:val="001879ED"/>
    <w:rsid w:val="00191F59"/>
    <w:rsid w:val="001B483F"/>
    <w:rsid w:val="001E028E"/>
    <w:rsid w:val="0021722A"/>
    <w:rsid w:val="00245363"/>
    <w:rsid w:val="002A077C"/>
    <w:rsid w:val="002C000E"/>
    <w:rsid w:val="002C5278"/>
    <w:rsid w:val="002D59BF"/>
    <w:rsid w:val="003055E3"/>
    <w:rsid w:val="00306C30"/>
    <w:rsid w:val="00337DBF"/>
    <w:rsid w:val="003A61A9"/>
    <w:rsid w:val="003C1E5C"/>
    <w:rsid w:val="003D089B"/>
    <w:rsid w:val="003F08DA"/>
    <w:rsid w:val="00432645"/>
    <w:rsid w:val="004372C8"/>
    <w:rsid w:val="0045045A"/>
    <w:rsid w:val="004769AB"/>
    <w:rsid w:val="00481401"/>
    <w:rsid w:val="00535BFD"/>
    <w:rsid w:val="005779D9"/>
    <w:rsid w:val="005B4F45"/>
    <w:rsid w:val="00665739"/>
    <w:rsid w:val="00680CDE"/>
    <w:rsid w:val="006C32B6"/>
    <w:rsid w:val="006E5A6E"/>
    <w:rsid w:val="007B6A05"/>
    <w:rsid w:val="00880E03"/>
    <w:rsid w:val="0088444C"/>
    <w:rsid w:val="00891B7B"/>
    <w:rsid w:val="00913EF0"/>
    <w:rsid w:val="00921E62"/>
    <w:rsid w:val="00926C57"/>
    <w:rsid w:val="009573B7"/>
    <w:rsid w:val="009842F4"/>
    <w:rsid w:val="009869FD"/>
    <w:rsid w:val="009933C4"/>
    <w:rsid w:val="009A771D"/>
    <w:rsid w:val="009D1A00"/>
    <w:rsid w:val="009E28F2"/>
    <w:rsid w:val="00A23B08"/>
    <w:rsid w:val="00A319A1"/>
    <w:rsid w:val="00A665FE"/>
    <w:rsid w:val="00A97CBD"/>
    <w:rsid w:val="00AA6A39"/>
    <w:rsid w:val="00AC6D1D"/>
    <w:rsid w:val="00B0298C"/>
    <w:rsid w:val="00B377D1"/>
    <w:rsid w:val="00B46E5E"/>
    <w:rsid w:val="00B47381"/>
    <w:rsid w:val="00B62323"/>
    <w:rsid w:val="00B72BB5"/>
    <w:rsid w:val="00B93D91"/>
    <w:rsid w:val="00BC4603"/>
    <w:rsid w:val="00C85938"/>
    <w:rsid w:val="00CD57EF"/>
    <w:rsid w:val="00CD622E"/>
    <w:rsid w:val="00D07F8E"/>
    <w:rsid w:val="00D3375E"/>
    <w:rsid w:val="00D43EDF"/>
    <w:rsid w:val="00D6672C"/>
    <w:rsid w:val="00D93440"/>
    <w:rsid w:val="00DB0FA4"/>
    <w:rsid w:val="00E25A0C"/>
    <w:rsid w:val="00E6323F"/>
    <w:rsid w:val="00E9607A"/>
    <w:rsid w:val="00E97CA9"/>
    <w:rsid w:val="00EA1914"/>
    <w:rsid w:val="00EB3B0F"/>
    <w:rsid w:val="00EF1F4E"/>
    <w:rsid w:val="00F34248"/>
    <w:rsid w:val="00F3600B"/>
    <w:rsid w:val="00F749BB"/>
    <w:rsid w:val="00F77FD0"/>
    <w:rsid w:val="00F963A5"/>
    <w:rsid w:val="00FB4204"/>
    <w:rsid w:val="00FD7DE1"/>
    <w:rsid w:val="00FE410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77F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77F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7FD0"/>
    <w:rPr>
      <w:sz w:val="20"/>
      <w:szCs w:val="20"/>
    </w:rPr>
  </w:style>
  <w:style w:type="character" w:styleId="FootnoteReference">
    <w:name w:val="footnote reference"/>
    <w:rsid w:val="00F77FD0"/>
    <w:rPr>
      <w:rFonts w:cs="Times New Roman"/>
      <w:vertAlign w:val="superscript"/>
    </w:rPr>
  </w:style>
  <w:style w:type="character" w:styleId="Strong">
    <w:name w:val="Strong"/>
    <w:basedOn w:val="DefaultParagraphFont"/>
    <w:uiPriority w:val="22"/>
    <w:qFormat/>
    <w:rsid w:val="00F77FD0"/>
    <w:rPr>
      <w:b/>
      <w:bCs/>
    </w:rPr>
  </w:style>
  <w:style w:type="character" w:customStyle="1" w:styleId="apple-converted-space">
    <w:name w:val="apple-converted-space"/>
    <w:basedOn w:val="DefaultParagraphFont"/>
    <w:rsid w:val="00F77FD0"/>
  </w:style>
  <w:style w:type="character" w:styleId="Emphasis">
    <w:name w:val="Emphasis"/>
    <w:basedOn w:val="DefaultParagraphFont"/>
    <w:uiPriority w:val="20"/>
    <w:qFormat/>
    <w:rsid w:val="00F77FD0"/>
    <w:rPr>
      <w:b/>
      <w:bCs/>
      <w:i w:val="0"/>
      <w:iCs w:val="0"/>
    </w:rPr>
  </w:style>
  <w:style w:type="character" w:customStyle="1" w:styleId="st1">
    <w:name w:val="st1"/>
    <w:basedOn w:val="DefaultParagraphFont"/>
    <w:rsid w:val="00F77FD0"/>
  </w:style>
  <w:style w:type="paragraph" w:styleId="Revision">
    <w:name w:val="Revision"/>
    <w:hidden/>
    <w:uiPriority w:val="99"/>
    <w:semiHidden/>
    <w:rsid w:val="00B377D1"/>
    <w:pPr>
      <w:spacing w:after="0" w:line="240" w:lineRule="auto"/>
    </w:pPr>
  </w:style>
  <w:style w:type="paragraph" w:styleId="BalloonText">
    <w:name w:val="Balloon Text"/>
    <w:basedOn w:val="Normal"/>
    <w:link w:val="BalloonTextChar"/>
    <w:uiPriority w:val="99"/>
    <w:semiHidden/>
    <w:unhideWhenUsed/>
    <w:rsid w:val="00B377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77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77F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77F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7FD0"/>
    <w:rPr>
      <w:sz w:val="20"/>
      <w:szCs w:val="20"/>
    </w:rPr>
  </w:style>
  <w:style w:type="character" w:styleId="FootnoteReference">
    <w:name w:val="footnote reference"/>
    <w:rsid w:val="00F77FD0"/>
    <w:rPr>
      <w:rFonts w:cs="Times New Roman"/>
      <w:vertAlign w:val="superscript"/>
    </w:rPr>
  </w:style>
  <w:style w:type="character" w:styleId="Strong">
    <w:name w:val="Strong"/>
    <w:basedOn w:val="DefaultParagraphFont"/>
    <w:uiPriority w:val="22"/>
    <w:qFormat/>
    <w:rsid w:val="00F77FD0"/>
    <w:rPr>
      <w:b/>
      <w:bCs/>
    </w:rPr>
  </w:style>
  <w:style w:type="character" w:customStyle="1" w:styleId="apple-converted-space">
    <w:name w:val="apple-converted-space"/>
    <w:basedOn w:val="DefaultParagraphFont"/>
    <w:rsid w:val="00F77FD0"/>
  </w:style>
  <w:style w:type="character" w:styleId="Emphasis">
    <w:name w:val="Emphasis"/>
    <w:basedOn w:val="DefaultParagraphFont"/>
    <w:uiPriority w:val="20"/>
    <w:qFormat/>
    <w:rsid w:val="00F77FD0"/>
    <w:rPr>
      <w:b/>
      <w:bCs/>
      <w:i w:val="0"/>
      <w:iCs w:val="0"/>
    </w:rPr>
  </w:style>
  <w:style w:type="character" w:customStyle="1" w:styleId="st1">
    <w:name w:val="st1"/>
    <w:basedOn w:val="DefaultParagraphFont"/>
    <w:rsid w:val="00F77FD0"/>
  </w:style>
  <w:style w:type="paragraph" w:styleId="Revision">
    <w:name w:val="Revision"/>
    <w:hidden/>
    <w:uiPriority w:val="99"/>
    <w:semiHidden/>
    <w:rsid w:val="00B377D1"/>
    <w:pPr>
      <w:spacing w:after="0" w:line="240" w:lineRule="auto"/>
    </w:pPr>
  </w:style>
  <w:style w:type="paragraph" w:styleId="BalloonText">
    <w:name w:val="Balloon Text"/>
    <w:basedOn w:val="Normal"/>
    <w:link w:val="BalloonTextChar"/>
    <w:uiPriority w:val="99"/>
    <w:semiHidden/>
    <w:unhideWhenUsed/>
    <w:rsid w:val="00B377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77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8021C0-D567-45B2-B784-555207AD0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3408</Words>
  <Characters>1944</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dkalnina</dc:creator>
  <cp:lastModifiedBy>Jelena Zubkova</cp:lastModifiedBy>
  <cp:revision>13</cp:revision>
  <cp:lastPrinted>2015-10-22T07:44:00Z</cp:lastPrinted>
  <dcterms:created xsi:type="dcterms:W3CDTF">2016-07-26T07:30:00Z</dcterms:created>
  <dcterms:modified xsi:type="dcterms:W3CDTF">2016-10-28T11:22:00Z</dcterms:modified>
</cp:coreProperties>
</file>