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D0" w:rsidRPr="00EB3B0F" w:rsidRDefault="00B72BB5" w:rsidP="00F77FD0">
      <w:pPr>
        <w:keepNext/>
        <w:keepLines/>
        <w:spacing w:before="120"/>
        <w:jc w:val="both"/>
        <w:outlineLvl w:val="0"/>
        <w:rPr>
          <w:rFonts w:ascii="Times New Roman" w:eastAsia="Times New Roman" w:hAnsi="Times New Roman" w:cs="Times New Roman"/>
          <w:b/>
          <w:kern w:val="28"/>
          <w:lang w:val="en-GB"/>
        </w:rPr>
      </w:pPr>
      <w:bookmarkStart w:id="0" w:name="_GoBack"/>
      <w:bookmarkEnd w:id="0"/>
      <w:r>
        <w:rPr>
          <w:rFonts w:ascii="Times New Roman" w:eastAsia="Times New Roman" w:hAnsi="Times New Roman" w:cs="Times New Roman"/>
          <w:b/>
          <w:bCs/>
          <w:kern w:val="28"/>
          <w:lang w:val="en-GB"/>
        </w:rPr>
        <w:t>The 25</w:t>
      </w:r>
      <w:r w:rsidR="00F77FD0" w:rsidRPr="00EB3B0F">
        <w:rPr>
          <w:rFonts w:ascii="Times New Roman" w:eastAsia="Times New Roman" w:hAnsi="Times New Roman" w:cs="Times New Roman"/>
          <w:b/>
          <w:bCs/>
          <w:kern w:val="28"/>
          <w:lang w:val="en-GB"/>
        </w:rPr>
        <w:t>.0</w:t>
      </w:r>
      <w:r>
        <w:rPr>
          <w:rFonts w:ascii="Times New Roman" w:eastAsia="Times New Roman" w:hAnsi="Times New Roman" w:cs="Times New Roman"/>
          <w:b/>
          <w:bCs/>
          <w:kern w:val="28"/>
          <w:lang w:val="en-GB"/>
        </w:rPr>
        <w:t>7</w:t>
      </w:r>
      <w:r w:rsidR="00F77FD0" w:rsidRPr="00EB3B0F">
        <w:rPr>
          <w:rFonts w:ascii="Times New Roman" w:eastAsia="Times New Roman" w:hAnsi="Times New Roman" w:cs="Times New Roman"/>
          <w:b/>
          <w:bCs/>
          <w:kern w:val="28"/>
          <w:lang w:val="en-GB"/>
        </w:rPr>
        <w:t>.201</w:t>
      </w:r>
      <w:r w:rsidR="0045045A" w:rsidRPr="00EB3B0F">
        <w:rPr>
          <w:rFonts w:ascii="Times New Roman" w:eastAsia="Times New Roman" w:hAnsi="Times New Roman" w:cs="Times New Roman"/>
          <w:b/>
          <w:bCs/>
          <w:kern w:val="28"/>
          <w:lang w:val="en-GB"/>
        </w:rPr>
        <w:t>6</w:t>
      </w:r>
      <w:r w:rsidR="00F77FD0" w:rsidRPr="00EB3B0F">
        <w:rPr>
          <w:rFonts w:ascii="Times New Roman" w:eastAsia="Times New Roman" w:hAnsi="Times New Roman" w:cs="Times New Roman"/>
          <w:b/>
          <w:bCs/>
          <w:kern w:val="28"/>
          <w:lang w:val="en-GB"/>
        </w:rPr>
        <w:t xml:space="preserve"> </w:t>
      </w:r>
      <w:r w:rsidR="00F77FD0" w:rsidRPr="00EB3B0F">
        <w:rPr>
          <w:rStyle w:val="Strong"/>
          <w:rFonts w:ascii="Times New Roman" w:hAnsi="Times New Roman"/>
          <w:lang w:val="en-GB"/>
        </w:rPr>
        <w:t>decision on setting the countercyclical capital buffer rate</w:t>
      </w:r>
      <w:r w:rsidR="00F77FD0" w:rsidRPr="00EB3B0F">
        <w:rPr>
          <w:rFonts w:ascii="Times New Roman" w:eastAsia="Times New Roman" w:hAnsi="Times New Roman" w:cs="Times New Roman"/>
          <w:b/>
          <w:bCs/>
          <w:kern w:val="28"/>
          <w:lang w:val="en-GB"/>
        </w:rPr>
        <w:t xml:space="preserve"> </w:t>
      </w:r>
    </w:p>
    <w:p w:rsidR="00F77FD0" w:rsidRPr="00EB3B0F" w:rsidRDefault="00F77FD0" w:rsidP="00EB3B0F">
      <w:pPr>
        <w:keepNext/>
        <w:keepLines/>
        <w:spacing w:line="240" w:lineRule="auto"/>
        <w:jc w:val="both"/>
        <w:outlineLvl w:val="0"/>
        <w:rPr>
          <w:rFonts w:ascii="Times New Roman" w:eastAsia="Times New Roman" w:hAnsi="Times New Roman" w:cs="Times New Roman"/>
          <w:b/>
          <w:kern w:val="28"/>
          <w:lang w:val="en-US"/>
        </w:rPr>
      </w:pPr>
      <w:r w:rsidRPr="00EB3B0F">
        <w:rPr>
          <w:rFonts w:ascii="Times New Roman" w:eastAsia="Times New Roman" w:hAnsi="Times New Roman" w:cs="Times New Roman"/>
          <w:b/>
          <w:kern w:val="28"/>
          <w:lang w:val="en-US"/>
        </w:rPr>
        <w:t xml:space="preserve">The </w:t>
      </w:r>
      <w:r w:rsidRPr="00EB3B0F">
        <w:rPr>
          <w:rStyle w:val="Strong"/>
          <w:rFonts w:ascii="Times New Roman" w:hAnsi="Times New Roman"/>
          <w:lang w:val="en-US"/>
        </w:rPr>
        <w:t>countercyclical capital buffer (CCB) rate</w:t>
      </w:r>
      <w:r w:rsidRPr="00EB3B0F">
        <w:rPr>
          <w:rFonts w:ascii="Times New Roman" w:eastAsia="Times New Roman" w:hAnsi="Times New Roman" w:cs="Times New Roman"/>
          <w:b/>
          <w:bCs/>
          <w:kern w:val="28"/>
          <w:lang w:val="en-US"/>
        </w:rPr>
        <w:t xml:space="preserve"> </w:t>
      </w:r>
      <w:r w:rsidR="00B72BB5">
        <w:rPr>
          <w:rFonts w:ascii="Times New Roman" w:eastAsia="Times New Roman" w:hAnsi="Times New Roman" w:cs="Times New Roman"/>
          <w:b/>
          <w:bCs/>
          <w:kern w:val="28"/>
          <w:lang w:val="en-US"/>
        </w:rPr>
        <w:t xml:space="preserve">for the exposures to Latvian residents </w:t>
      </w:r>
      <w:r w:rsidRPr="00EB3B0F">
        <w:rPr>
          <w:rFonts w:ascii="Times New Roman" w:eastAsia="Times New Roman" w:hAnsi="Times New Roman" w:cs="Times New Roman"/>
          <w:b/>
          <w:bCs/>
          <w:kern w:val="28"/>
          <w:lang w:val="en-US"/>
        </w:rPr>
        <w:t>has been set at 0%</w:t>
      </w:r>
      <w:r w:rsidRPr="00EB3B0F">
        <w:rPr>
          <w:rFonts w:ascii="Times New Roman" w:eastAsia="Times New Roman" w:hAnsi="Times New Roman" w:cs="Times New Roman"/>
          <w:b/>
          <w:kern w:val="28"/>
          <w:lang w:val="en-US"/>
        </w:rPr>
        <w:t xml:space="preserve">. </w:t>
      </w:r>
      <w:r w:rsidRPr="00EB3B0F">
        <w:rPr>
          <w:rFonts w:ascii="Times New Roman" w:hAnsi="Times New Roman" w:cs="Times New Roman"/>
          <w:b/>
          <w:lang w:val="en-US"/>
        </w:rPr>
        <w:t>The established CCB rate will be used to calculate a credit institution-specific countercyclical capital buffer rate</w:t>
      </w:r>
      <w:r w:rsidRPr="00EB3B0F">
        <w:rPr>
          <w:rStyle w:val="apple-converted-space"/>
          <w:rFonts w:ascii="Times New Roman" w:hAnsi="Times New Roman" w:cs="Times New Roman"/>
          <w:lang w:val="en-US"/>
        </w:rPr>
        <w:t> </w:t>
      </w:r>
      <w:r w:rsidRPr="00EB3B0F">
        <w:rPr>
          <w:rStyle w:val="Strong"/>
          <w:rFonts w:ascii="Times New Roman" w:hAnsi="Times New Roman"/>
          <w:lang w:val="en-US"/>
        </w:rPr>
        <w:t xml:space="preserve">from 1 </w:t>
      </w:r>
      <w:r w:rsidR="00B72BB5">
        <w:rPr>
          <w:rStyle w:val="Strong"/>
          <w:rFonts w:ascii="Times New Roman" w:hAnsi="Times New Roman"/>
          <w:lang w:val="en-US"/>
        </w:rPr>
        <w:t>August</w:t>
      </w:r>
      <w:r w:rsidRPr="00EB3B0F">
        <w:rPr>
          <w:rStyle w:val="Strong"/>
          <w:rFonts w:ascii="Times New Roman" w:hAnsi="Times New Roman"/>
          <w:lang w:val="en-US"/>
        </w:rPr>
        <w:t xml:space="preserve"> </w:t>
      </w:r>
      <w:r w:rsidR="00B72BB5">
        <w:rPr>
          <w:rStyle w:val="Strong"/>
          <w:rFonts w:ascii="Times New Roman" w:hAnsi="Times New Roman"/>
          <w:lang w:val="en-US"/>
        </w:rPr>
        <w:t xml:space="preserve">2017 </w:t>
      </w:r>
      <w:r w:rsidR="00B72BB5">
        <w:rPr>
          <w:rFonts w:ascii="Times New Roman" w:eastAsia="Times New Roman" w:hAnsi="Times New Roman" w:cs="Times New Roman"/>
          <w:b/>
          <w:bCs/>
          <w:kern w:val="28"/>
          <w:lang w:val="en-US"/>
        </w:rPr>
        <w:t>till 31 October 2017</w:t>
      </w:r>
      <w:r w:rsidRPr="00EB3B0F">
        <w:rPr>
          <w:rFonts w:ascii="Times New Roman" w:eastAsia="Times New Roman" w:hAnsi="Times New Roman" w:cs="Times New Roman"/>
          <w:b/>
          <w:bCs/>
          <w:kern w:val="28"/>
          <w:lang w:val="en-US"/>
        </w:rPr>
        <w:t xml:space="preserve">. </w:t>
      </w:r>
      <w:r w:rsidRPr="00EB3B0F">
        <w:rPr>
          <w:rFonts w:ascii="Times New Roman" w:eastAsia="Times New Roman" w:hAnsi="Times New Roman" w:cs="Times New Roman"/>
          <w:b/>
          <w:kern w:val="28"/>
          <w:lang w:val="en-US"/>
        </w:rPr>
        <w:t xml:space="preserve">Over the next two years, </w:t>
      </w:r>
      <w:r w:rsidRPr="00EB3B0F">
        <w:rPr>
          <w:rFonts w:ascii="Times New Roman" w:eastAsia="Times New Roman" w:hAnsi="Times New Roman" w:cs="Times New Roman"/>
          <w:b/>
          <w:lang w:val="en-US"/>
        </w:rPr>
        <w:t>the need to increase the provision is not expected</w:t>
      </w:r>
      <w:r w:rsidRPr="00EB3B0F">
        <w:rPr>
          <w:rFonts w:ascii="Times New Roman" w:eastAsia="Times New Roman" w:hAnsi="Times New Roman" w:cs="Times New Roman"/>
          <w:b/>
          <w:kern w:val="28"/>
          <w:lang w:val="en-US"/>
        </w:rPr>
        <w:t>.</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b/>
          <w:kern w:val="28"/>
          <w:lang w:val="en-US"/>
        </w:rPr>
        <w:t>1.</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In accordance with paragraph 1 of Article 35</w:t>
      </w:r>
      <w:r w:rsidRPr="00EB3B0F">
        <w:rPr>
          <w:rFonts w:ascii="Times New Roman" w:hAnsi="Times New Roman" w:cs="Times New Roman"/>
          <w:vertAlign w:val="superscript"/>
          <w:lang w:val="en-US"/>
        </w:rPr>
        <w:t>5</w:t>
      </w:r>
      <w:r w:rsidRPr="00EB3B0F">
        <w:rPr>
          <w:rStyle w:val="apple-converted-space"/>
          <w:rFonts w:ascii="Times New Roman" w:hAnsi="Times New Roman" w:cs="Times New Roman"/>
          <w:lang w:val="en-US"/>
        </w:rPr>
        <w:t> </w:t>
      </w:r>
      <w:r w:rsidRPr="00EB3B0F">
        <w:rPr>
          <w:rFonts w:ascii="Times New Roman" w:hAnsi="Times New Roman" w:cs="Times New Roman"/>
          <w:lang w:val="en-US"/>
        </w:rPr>
        <w:t>of Credit Institution Law</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every quarter the Financial and Capital Market Commission (hereinafter, the Commission) sets the countercyclical capital buffer (CCB) rate applicable to exposures to the residents of the Republic of Latvia taking into account:</w:t>
      </w:r>
    </w:p>
    <w:p w:rsidR="00F77FD0" w:rsidRPr="00EB3B0F" w:rsidRDefault="00F77FD0" w:rsidP="002A077C">
      <w:pPr>
        <w:keepNext/>
        <w:keepLines/>
        <w:spacing w:after="0"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kern w:val="28"/>
          <w:lang w:val="en-US"/>
        </w:rPr>
        <w:t xml:space="preserve">1) </w:t>
      </w:r>
      <w:proofErr w:type="gramStart"/>
      <w:r w:rsidRPr="00EB3B0F">
        <w:rPr>
          <w:rFonts w:ascii="Times New Roman" w:eastAsia="Times New Roman" w:hAnsi="Times New Roman" w:cs="Times New Roman"/>
          <w:kern w:val="28"/>
          <w:lang w:val="en-US"/>
        </w:rPr>
        <w:t>the</w:t>
      </w:r>
      <w:proofErr w:type="gramEnd"/>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CCB guide calculated for the appropriate quarter</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2) </w:t>
      </w:r>
      <w:proofErr w:type="gramStart"/>
      <w:r w:rsidRPr="00EB3B0F">
        <w:rPr>
          <w:rFonts w:ascii="Times New Roman" w:hAnsi="Times New Roman" w:cs="Times New Roman"/>
          <w:lang w:val="en-US"/>
        </w:rPr>
        <w:t>variables</w:t>
      </w:r>
      <w:proofErr w:type="gramEnd"/>
      <w:r w:rsidRPr="00EB3B0F">
        <w:rPr>
          <w:rFonts w:ascii="Times New Roman" w:hAnsi="Times New Roman" w:cs="Times New Roman"/>
          <w:lang w:val="en-US"/>
        </w:rPr>
        <w:t xml:space="preserve"> that the Commission considers significant for assessing significant cyclical systemic risk</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3) </w:t>
      </w:r>
      <w:proofErr w:type="gramStart"/>
      <w:r w:rsidRPr="00EB3B0F">
        <w:rPr>
          <w:rFonts w:ascii="Times New Roman" w:hAnsi="Times New Roman" w:cs="Times New Roman"/>
          <w:lang w:val="en-US"/>
        </w:rPr>
        <w:t>effective</w:t>
      </w:r>
      <w:proofErr w:type="gramEnd"/>
      <w:r w:rsidRPr="00EB3B0F">
        <w:rPr>
          <w:rFonts w:ascii="Times New Roman" w:hAnsi="Times New Roman" w:cs="Times New Roman"/>
          <w:lang w:val="en-US"/>
        </w:rPr>
        <w:t xml:space="preserve"> European Systemic Risk Board's (ESRB) recommendations on the setting of the CCB rate.</w:t>
      </w:r>
    </w:p>
    <w:p w:rsidR="00F77FD0" w:rsidRPr="00EB3B0F" w:rsidRDefault="00913EF0" w:rsidP="00EB3B0F">
      <w:pPr>
        <w:keepNext/>
        <w:keepLines/>
        <w:spacing w:line="240" w:lineRule="auto"/>
        <w:jc w:val="both"/>
        <w:outlineLvl w:val="0"/>
        <w:rPr>
          <w:rFonts w:ascii="Times New Roman" w:eastAsia="Times New Roman" w:hAnsi="Times New Roman" w:cs="Times New Roman"/>
          <w:kern w:val="28"/>
          <w:lang w:val="en-US"/>
        </w:rPr>
      </w:pPr>
      <w:r w:rsidRPr="00913EF0">
        <w:rPr>
          <w:rFonts w:ascii="Times New Roman" w:eastAsia="Times New Roman" w:hAnsi="Times New Roman" w:cs="Times New Roman"/>
          <w:kern w:val="28"/>
          <w:lang w:val="en-US"/>
        </w:rPr>
        <w:t>2</w:t>
      </w:r>
      <w:r w:rsidR="00F77FD0" w:rsidRPr="00913EF0">
        <w:rPr>
          <w:rFonts w:ascii="Times New Roman" w:eastAsia="Times New Roman" w:hAnsi="Times New Roman" w:cs="Times New Roman"/>
          <w:kern w:val="28"/>
          <w:lang w:val="en-US"/>
        </w:rPr>
        <w:t>.</w:t>
      </w:r>
      <w:r w:rsidR="00F77FD0" w:rsidRPr="00EB3B0F">
        <w:rPr>
          <w:rFonts w:ascii="Times New Roman" w:eastAsia="Times New Roman" w:hAnsi="Times New Roman" w:cs="Times New Roman"/>
          <w:kern w:val="28"/>
          <w:lang w:val="en-US"/>
        </w:rPr>
        <w:t xml:space="preserve"> </w:t>
      </w:r>
      <w:r w:rsidR="00F77FD0" w:rsidRPr="00EB3B0F">
        <w:rPr>
          <w:rFonts w:ascii="Times New Roman" w:hAnsi="Times New Roman" w:cs="Times New Roman"/>
          <w:lang w:val="en-US"/>
        </w:rPr>
        <w:t>The calculation of the CCB guide shall be carried out taking into account the deviation of the credit (issued to the Latvian residents) to GDP ratio from its long-run trend</w:t>
      </w:r>
      <w:r w:rsidR="00F77FD0" w:rsidRPr="00EB3B0F">
        <w:rPr>
          <w:rFonts w:ascii="Times New Roman" w:eastAsia="Times New Roman" w:hAnsi="Times New Roman" w:cs="Times New Roman"/>
          <w:kern w:val="28"/>
          <w:lang w:val="en-US"/>
        </w:rPr>
        <w:t xml:space="preserve"> (hereinafter, the credit-to-GDP gap). </w:t>
      </w:r>
    </w:p>
    <w:p w:rsidR="00EB3B0F" w:rsidRPr="00EB3B0F" w:rsidRDefault="00913EF0" w:rsidP="00EB3B0F">
      <w:pPr>
        <w:keepNext/>
        <w:keepLines/>
        <w:spacing w:line="240" w:lineRule="auto"/>
        <w:jc w:val="both"/>
        <w:outlineLvl w:val="0"/>
        <w:rPr>
          <w:rFonts w:ascii="Times New Roman" w:eastAsia="Times New Roman" w:hAnsi="Times New Roman" w:cs="Times New Roman"/>
          <w:kern w:val="28"/>
          <w:lang w:val="en-US"/>
        </w:rPr>
      </w:pPr>
      <w:r>
        <w:rPr>
          <w:rFonts w:ascii="Times New Roman" w:eastAsia="Times New Roman" w:hAnsi="Times New Roman" w:cs="Times New Roman"/>
          <w:kern w:val="28"/>
          <w:lang w:val="en-US"/>
        </w:rPr>
        <w:t>3</w:t>
      </w:r>
      <w:r w:rsidR="00F77FD0" w:rsidRPr="00EB3B0F">
        <w:rPr>
          <w:rFonts w:ascii="Times New Roman" w:eastAsia="Times New Roman" w:hAnsi="Times New Roman" w:cs="Times New Roman"/>
          <w:kern w:val="28"/>
          <w:lang w:val="en-US"/>
        </w:rPr>
        <w:t xml:space="preserve">. In accordance with </w:t>
      </w:r>
      <w:r w:rsidR="00B47381" w:rsidRPr="00EB3B0F">
        <w:rPr>
          <w:rFonts w:ascii="Times New Roman" w:hAnsi="Times New Roman" w:cs="Times New Roman"/>
          <w:lang w:val="en-US"/>
        </w:rPr>
        <w:t>the ESRB Recommendation</w:t>
      </w:r>
      <w:r w:rsidR="00F77FD0" w:rsidRPr="00EB3B0F">
        <w:rPr>
          <w:rFonts w:ascii="Times New Roman" w:eastAsia="Times New Roman" w:hAnsi="Times New Roman" w:cs="Times New Roman"/>
          <w:kern w:val="28"/>
          <w:vertAlign w:val="superscript"/>
          <w:lang w:val="en-US"/>
        </w:rPr>
        <w:footnoteReference w:id="1"/>
      </w:r>
      <w:r w:rsidR="00F77FD0" w:rsidRPr="00EB3B0F">
        <w:rPr>
          <w:rFonts w:ascii="Times New Roman" w:eastAsia="Times New Roman" w:hAnsi="Times New Roman" w:cs="Times New Roman"/>
          <w:kern w:val="28"/>
          <w:lang w:val="en-US"/>
        </w:rPr>
        <w:t xml:space="preserve"> (hereinafter, the Recommendation), the CCB guide may be calculated using the data of broad and narrow definition time series. The broad credit definition covers banking loans and loans issued by non-bank financial institutions</w:t>
      </w:r>
      <w:r w:rsidR="00B47381" w:rsidRPr="00EB3B0F">
        <w:rPr>
          <w:rFonts w:ascii="Times New Roman" w:eastAsia="Times New Roman" w:hAnsi="Times New Roman" w:cs="Times New Roman"/>
          <w:kern w:val="28"/>
          <w:lang w:val="en-US"/>
        </w:rPr>
        <w:t xml:space="preserve"> </w:t>
      </w:r>
      <w:r w:rsidR="00F77FD0" w:rsidRPr="00EB3B0F">
        <w:rPr>
          <w:rFonts w:ascii="Times New Roman" w:eastAsia="Times New Roman" w:hAnsi="Times New Roman" w:cs="Times New Roman"/>
          <w:kern w:val="28"/>
          <w:lang w:val="en-US"/>
        </w:rPr>
        <w:t>to the domestic private non-financial sector</w:t>
      </w:r>
      <w:r w:rsidR="00B47381" w:rsidRPr="00EB3B0F">
        <w:rPr>
          <w:rStyle w:val="FootnoteReference"/>
          <w:rFonts w:ascii="Times New Roman" w:eastAsia="Times New Roman" w:hAnsi="Times New Roman"/>
          <w:kern w:val="28"/>
          <w:lang w:val="en-US"/>
        </w:rPr>
        <w:footnoteReference w:id="2"/>
      </w:r>
      <w:r w:rsidR="00F77FD0" w:rsidRPr="00EB3B0F">
        <w:rPr>
          <w:rFonts w:ascii="Times New Roman" w:eastAsia="Times New Roman" w:hAnsi="Times New Roman" w:cs="Times New Roman"/>
          <w:kern w:val="28"/>
          <w:lang w:val="en-US"/>
        </w:rPr>
        <w:t xml:space="preserve">. The </w:t>
      </w:r>
      <w:r w:rsidR="00F77FD0" w:rsidRPr="00913EF0">
        <w:rPr>
          <w:rFonts w:ascii="Times New Roman" w:eastAsia="Times New Roman" w:hAnsi="Times New Roman" w:cs="Times New Roman"/>
          <w:kern w:val="28"/>
          <w:lang w:val="en-US"/>
        </w:rPr>
        <w:t>standardized credit-to-GDP gap has been assessed using the broad definition time series. The narrow credit definition,</w:t>
      </w:r>
      <w:r w:rsidR="00F77FD0" w:rsidRPr="00913EF0">
        <w:rPr>
          <w:rFonts w:ascii="Times New Roman" w:hAnsi="Times New Roman" w:cs="Times New Roman"/>
          <w:lang w:val="en-US"/>
        </w:rPr>
        <w:t xml:space="preserve"> </w:t>
      </w:r>
      <w:r w:rsidR="00F77FD0" w:rsidRPr="00913EF0">
        <w:rPr>
          <w:rFonts w:ascii="Times New Roman" w:eastAsia="Times New Roman" w:hAnsi="Times New Roman" w:cs="Times New Roman"/>
          <w:kern w:val="28"/>
          <w:lang w:val="en-US"/>
        </w:rPr>
        <w:t xml:space="preserve">in the case of Latvia covers the </w:t>
      </w:r>
      <w:r w:rsidR="00F77FD0" w:rsidRPr="00913EF0">
        <w:rPr>
          <w:rFonts w:ascii="Times New Roman" w:hAnsi="Times New Roman" w:cs="Times New Roman"/>
          <w:lang w:val="en-US"/>
        </w:rPr>
        <w:t xml:space="preserve">balance of outstanding loans granted to the domestic private non-financial sector by banks (it </w:t>
      </w:r>
      <w:r w:rsidR="00F77FD0" w:rsidRPr="00913EF0">
        <w:rPr>
          <w:rFonts w:ascii="Times New Roman" w:eastAsia="Times New Roman" w:hAnsi="Times New Roman" w:cs="Times New Roman"/>
          <w:kern w:val="28"/>
          <w:lang w:val="en-US"/>
        </w:rPr>
        <w:t>does not include loans from non-bank financial institutions). The additional credit-to-GDP gap was assessed based on the narrow credit definition ti</w:t>
      </w:r>
      <w:r w:rsidR="00F77FD0" w:rsidRPr="00EB3B0F">
        <w:rPr>
          <w:rFonts w:ascii="Times New Roman" w:eastAsia="Times New Roman" w:hAnsi="Times New Roman" w:cs="Times New Roman"/>
          <w:kern w:val="28"/>
          <w:lang w:val="en-US"/>
        </w:rPr>
        <w:t xml:space="preserve">me series.  </w:t>
      </w:r>
    </w:p>
    <w:p w:rsidR="00F77FD0" w:rsidRPr="00913EF0" w:rsidRDefault="00913EF0" w:rsidP="00EB3B0F">
      <w:pPr>
        <w:keepNext/>
        <w:keepLines/>
        <w:spacing w:line="240" w:lineRule="auto"/>
        <w:jc w:val="both"/>
        <w:outlineLvl w:val="0"/>
        <w:rPr>
          <w:rFonts w:ascii="Times New Roman" w:eastAsia="Times New Roman" w:hAnsi="Times New Roman" w:cs="Times New Roman"/>
          <w:kern w:val="28"/>
          <w:lang w:val="en-US"/>
        </w:rPr>
      </w:pPr>
      <w:r w:rsidRPr="00913EF0">
        <w:rPr>
          <w:rFonts w:ascii="Times New Roman" w:eastAsia="Times New Roman" w:hAnsi="Times New Roman" w:cs="Times New Roman"/>
          <w:kern w:val="28"/>
          <w:lang w:val="en-US"/>
        </w:rPr>
        <w:t>4</w:t>
      </w:r>
      <w:r w:rsidR="00F77FD0" w:rsidRPr="00913EF0">
        <w:rPr>
          <w:rFonts w:ascii="Times New Roman" w:eastAsia="Times New Roman" w:hAnsi="Times New Roman" w:cs="Times New Roman"/>
          <w:kern w:val="28"/>
          <w:lang w:val="en-US"/>
        </w:rPr>
        <w:t>. In</w:t>
      </w:r>
      <w:r w:rsidR="00F77FD0" w:rsidRPr="00EB3B0F">
        <w:rPr>
          <w:rFonts w:ascii="Times New Roman" w:eastAsia="Times New Roman" w:hAnsi="Times New Roman" w:cs="Times New Roman"/>
          <w:kern w:val="28"/>
          <w:lang w:val="en-US"/>
        </w:rPr>
        <w:t xml:space="preserve"> Latvia, using the broad credit definition, the credit-to-GDP ratio was </w:t>
      </w:r>
      <w:r>
        <w:rPr>
          <w:rFonts w:ascii="Times New Roman" w:eastAsia="Times New Roman" w:hAnsi="Times New Roman" w:cs="Times New Roman"/>
          <w:kern w:val="28"/>
          <w:lang w:val="en-US"/>
        </w:rPr>
        <w:t>98</w:t>
      </w:r>
      <w:r w:rsidR="00B47381" w:rsidRPr="00EB3B0F">
        <w:rPr>
          <w:rFonts w:ascii="Times New Roman" w:eastAsia="Times New Roman" w:hAnsi="Times New Roman" w:cs="Times New Roman"/>
          <w:kern w:val="28"/>
          <w:lang w:val="en-US"/>
        </w:rPr>
        <w:t>% in Q</w:t>
      </w:r>
      <w:r>
        <w:rPr>
          <w:rFonts w:ascii="Times New Roman" w:eastAsia="Times New Roman" w:hAnsi="Times New Roman" w:cs="Times New Roman"/>
          <w:kern w:val="28"/>
          <w:lang w:val="en-US"/>
        </w:rPr>
        <w:t>4</w:t>
      </w:r>
      <w:r w:rsidR="00F77FD0" w:rsidRPr="00EB3B0F">
        <w:rPr>
          <w:rFonts w:ascii="Times New Roman" w:eastAsia="Times New Roman" w:hAnsi="Times New Roman" w:cs="Times New Roman"/>
          <w:kern w:val="28"/>
          <w:lang w:val="en-US"/>
        </w:rPr>
        <w:t xml:space="preserve"> 2015 wh</w:t>
      </w:r>
      <w:r w:rsidR="00891B7B">
        <w:rPr>
          <w:rFonts w:ascii="Times New Roman" w:eastAsia="Times New Roman" w:hAnsi="Times New Roman" w:cs="Times New Roman"/>
          <w:kern w:val="28"/>
          <w:lang w:val="en-US"/>
        </w:rPr>
        <w:t>ile its standardized gap was -42</w:t>
      </w:r>
      <w:r w:rsidR="00F77FD0" w:rsidRPr="00EB3B0F">
        <w:rPr>
          <w:rFonts w:ascii="Times New Roman" w:eastAsia="Times New Roman" w:hAnsi="Times New Roman" w:cs="Times New Roman"/>
          <w:kern w:val="28"/>
          <w:lang w:val="en-US"/>
        </w:rPr>
        <w:t>%</w:t>
      </w:r>
      <w:r w:rsidR="00F963A5" w:rsidRPr="00EB3B0F">
        <w:rPr>
          <w:rStyle w:val="FootnoteReference"/>
          <w:rFonts w:ascii="Times New Roman" w:eastAsia="Times New Roman" w:hAnsi="Times New Roman"/>
          <w:kern w:val="28"/>
          <w:lang w:val="en-US"/>
        </w:rPr>
        <w:footnoteReference w:id="3"/>
      </w:r>
      <w:r w:rsidR="00E6323F" w:rsidRPr="00EB3B0F">
        <w:rPr>
          <w:rFonts w:ascii="Times New Roman" w:eastAsia="Times New Roman" w:hAnsi="Times New Roman" w:cs="Times New Roman"/>
          <w:kern w:val="28"/>
          <w:lang w:val="en-US"/>
        </w:rPr>
        <w:t>.</w:t>
      </w:r>
      <w:r w:rsidR="00F77FD0" w:rsidRPr="00EB3B0F">
        <w:rPr>
          <w:rFonts w:ascii="Times New Roman" w:eastAsia="Times New Roman" w:hAnsi="Times New Roman" w:cs="Times New Roman"/>
          <w:kern w:val="28"/>
          <w:lang w:val="en-US"/>
        </w:rPr>
        <w:t xml:space="preserve"> In case the total credit-to-GDP gap exceeds the long-run trend by 2 percent points, </w:t>
      </w:r>
      <w:r w:rsidR="00F77FD0" w:rsidRPr="00EB3B0F">
        <w:rPr>
          <w:rFonts w:ascii="Times New Roman" w:hAnsi="Times New Roman" w:cs="Times New Roman"/>
          <w:lang w:val="en-US"/>
        </w:rPr>
        <w:t>the benchmark buffer rate will increase linearly</w:t>
      </w:r>
      <w:r>
        <w:rPr>
          <w:rFonts w:ascii="Times New Roman" w:hAnsi="Times New Roman" w:cs="Times New Roman"/>
          <w:lang w:val="en-US"/>
        </w:rPr>
        <w:t xml:space="preserve"> </w:t>
      </w:r>
      <w:r w:rsidR="00F77FD0" w:rsidRPr="00EB3B0F">
        <w:rPr>
          <w:rFonts w:ascii="Times New Roman" w:hAnsi="Times New Roman" w:cs="Times New Roman"/>
          <w:lang w:val="en-US"/>
        </w:rPr>
        <w:t xml:space="preserve">from zero to the upper threshold </w:t>
      </w:r>
      <w:r w:rsidR="00F77FD0" w:rsidRPr="00EB3B0F">
        <w:rPr>
          <w:rFonts w:ascii="Times New Roman" w:eastAsia="Times New Roman" w:hAnsi="Times New Roman" w:cs="Times New Roman"/>
          <w:kern w:val="28"/>
          <w:lang w:val="en-US"/>
        </w:rPr>
        <w:t xml:space="preserve">of </w:t>
      </w:r>
      <w:r w:rsidR="00F77FD0" w:rsidRPr="00EB3B0F">
        <w:rPr>
          <w:rFonts w:ascii="Times New Roman" w:hAnsi="Times New Roman" w:cs="Times New Roman"/>
          <w:lang w:val="en-US"/>
        </w:rPr>
        <w:t>risk-weighted assets at</w:t>
      </w:r>
      <w:r w:rsidR="00F77FD0" w:rsidRPr="00EB3B0F">
        <w:rPr>
          <w:rFonts w:ascii="Times New Roman" w:eastAsia="Times New Roman" w:hAnsi="Times New Roman" w:cs="Times New Roman"/>
          <w:kern w:val="28"/>
          <w:lang w:val="en-US"/>
        </w:rPr>
        <w:t xml:space="preserve"> 2.5%, where the credit-to-GDP gap reaches 10 </w:t>
      </w:r>
      <w:r w:rsidR="00F77FD0" w:rsidRPr="00913EF0">
        <w:rPr>
          <w:rFonts w:ascii="Times New Roman" w:eastAsia="Times New Roman" w:hAnsi="Times New Roman" w:cs="Times New Roman"/>
          <w:kern w:val="28"/>
          <w:lang w:val="en-US"/>
        </w:rPr>
        <w:t xml:space="preserve">percent points. </w:t>
      </w:r>
      <w:r w:rsidR="00F77FD0" w:rsidRPr="00913EF0">
        <w:rPr>
          <w:rFonts w:ascii="Times New Roman" w:hAnsi="Times New Roman" w:cs="Times New Roman"/>
          <w:lang w:val="en-US"/>
        </w:rPr>
        <w:t>Where the gap is at -4</w:t>
      </w:r>
      <w:r w:rsidR="00891B7B" w:rsidRPr="00913EF0">
        <w:rPr>
          <w:rFonts w:ascii="Times New Roman" w:hAnsi="Times New Roman" w:cs="Times New Roman"/>
          <w:lang w:val="en-US"/>
        </w:rPr>
        <w:t>2</w:t>
      </w:r>
      <w:r w:rsidR="00F77FD0" w:rsidRPr="00913EF0">
        <w:rPr>
          <w:rFonts w:ascii="Times New Roman" w:hAnsi="Times New Roman" w:cs="Times New Roman"/>
          <w:lang w:val="en-US"/>
        </w:rPr>
        <w:t>%, the benchmark buffer rate will be 0%.</w:t>
      </w:r>
    </w:p>
    <w:p w:rsidR="00306C30" w:rsidRPr="00EB3B0F" w:rsidRDefault="00913EF0" w:rsidP="00EB3B0F">
      <w:pPr>
        <w:spacing w:line="240" w:lineRule="auto"/>
        <w:jc w:val="both"/>
        <w:rPr>
          <w:rFonts w:ascii="Times New Roman" w:eastAsia="Times New Roman" w:hAnsi="Times New Roman" w:cs="Times New Roman"/>
          <w:lang w:val="en-US"/>
        </w:rPr>
      </w:pPr>
      <w:r w:rsidRPr="00913EF0">
        <w:rPr>
          <w:rFonts w:ascii="Times New Roman" w:eastAsia="Times New Roman" w:hAnsi="Times New Roman" w:cs="Times New Roman"/>
          <w:lang w:val="en-US"/>
        </w:rPr>
        <w:t>5</w:t>
      </w:r>
      <w:r w:rsidR="00F77FD0" w:rsidRPr="00913EF0">
        <w:rPr>
          <w:rFonts w:ascii="Times New Roman" w:eastAsia="Times New Roman" w:hAnsi="Times New Roman" w:cs="Times New Roman"/>
          <w:lang w:val="en-US"/>
        </w:rPr>
        <w:t>.</w:t>
      </w:r>
      <w:r w:rsidR="00F77FD0" w:rsidRPr="00EB3B0F">
        <w:rPr>
          <w:rFonts w:ascii="Times New Roman" w:eastAsia="Times New Roman" w:hAnsi="Times New Roman" w:cs="Times New Roman"/>
          <w:lang w:val="en-US"/>
        </w:rPr>
        <w:t xml:space="preserve"> Applying the narrow </w:t>
      </w:r>
      <w:r w:rsidR="00F77FD0" w:rsidRPr="00EB3B0F">
        <w:rPr>
          <w:rFonts w:ascii="Times New Roman" w:eastAsia="Times New Roman" w:hAnsi="Times New Roman" w:cs="Times New Roman"/>
          <w:kern w:val="28"/>
          <w:lang w:val="en-US"/>
        </w:rPr>
        <w:t xml:space="preserve">credit definition the credit-to-GDP ratio was </w:t>
      </w:r>
      <w:r>
        <w:rPr>
          <w:rFonts w:ascii="Times New Roman" w:eastAsia="Times New Roman" w:hAnsi="Times New Roman" w:cs="Times New Roman"/>
          <w:lang w:val="en-US"/>
        </w:rPr>
        <w:t>44</w:t>
      </w:r>
      <w:r w:rsidR="00F77FD0" w:rsidRPr="00EB3B0F">
        <w:rPr>
          <w:rFonts w:ascii="Times New Roman" w:eastAsia="Times New Roman" w:hAnsi="Times New Roman" w:cs="Times New Roman"/>
          <w:lang w:val="en-US"/>
        </w:rPr>
        <w:t>%, but the additional gap was -3</w:t>
      </w:r>
      <w:r>
        <w:rPr>
          <w:rFonts w:ascii="Times New Roman" w:eastAsia="Times New Roman" w:hAnsi="Times New Roman" w:cs="Times New Roman"/>
          <w:lang w:val="en-US"/>
        </w:rPr>
        <w:t>2</w:t>
      </w:r>
      <w:r w:rsidR="00F77FD0" w:rsidRPr="00EB3B0F">
        <w:rPr>
          <w:rFonts w:ascii="Times New Roman" w:eastAsia="Times New Roman" w:hAnsi="Times New Roman" w:cs="Times New Roman"/>
          <w:lang w:val="en-US"/>
        </w:rPr>
        <w:t>%</w:t>
      </w:r>
      <w:r w:rsidR="00B0298C" w:rsidRPr="00EB3B0F">
        <w:rPr>
          <w:rStyle w:val="FootnoteReference"/>
          <w:rFonts w:ascii="Times New Roman" w:eastAsia="Times New Roman" w:hAnsi="Times New Roman"/>
          <w:lang w:val="en-US"/>
        </w:rPr>
        <w:footnoteReference w:id="4"/>
      </w:r>
      <w:r>
        <w:rPr>
          <w:rFonts w:ascii="Times New Roman" w:eastAsia="Times New Roman" w:hAnsi="Times New Roman" w:cs="Times New Roman"/>
          <w:lang w:val="en-US"/>
        </w:rPr>
        <w:t xml:space="preserve"> in Q1</w:t>
      </w:r>
      <w:r w:rsidR="00F77FD0" w:rsidRPr="00EB3B0F">
        <w:rPr>
          <w:rFonts w:ascii="Times New Roman" w:eastAsia="Times New Roman" w:hAnsi="Times New Roman" w:cs="Times New Roman"/>
          <w:lang w:val="en-US"/>
        </w:rPr>
        <w:t xml:space="preserve"> 201</w:t>
      </w:r>
      <w:r>
        <w:rPr>
          <w:rFonts w:ascii="Times New Roman" w:eastAsia="Times New Roman" w:hAnsi="Times New Roman" w:cs="Times New Roman"/>
          <w:lang w:val="en-US"/>
        </w:rPr>
        <w:t>6</w:t>
      </w:r>
      <w:r w:rsidR="00F77FD0" w:rsidRPr="00EB3B0F">
        <w:rPr>
          <w:rFonts w:ascii="Times New Roman" w:eastAsia="Times New Roman" w:hAnsi="Times New Roman" w:cs="Times New Roman"/>
          <w:lang w:val="en-US"/>
        </w:rPr>
        <w:t xml:space="preserve">, as a result the </w:t>
      </w:r>
      <w:r w:rsidR="00F77FD0" w:rsidRPr="00EB3B0F">
        <w:rPr>
          <w:rFonts w:ascii="Times New Roman" w:hAnsi="Times New Roman" w:cs="Times New Roman"/>
          <w:lang w:val="en-US"/>
        </w:rPr>
        <w:t>benchmark buffer rate</w:t>
      </w:r>
      <w:r w:rsidR="00F77FD0" w:rsidRPr="00EB3B0F">
        <w:rPr>
          <w:rFonts w:ascii="Times New Roman" w:eastAsia="Times New Roman" w:hAnsi="Times New Roman" w:cs="Times New Roman"/>
          <w:lang w:val="en-US"/>
        </w:rPr>
        <w:t xml:space="preserve"> calculated </w:t>
      </w:r>
      <w:r w:rsidR="00F77FD0" w:rsidRPr="00EB3B0F">
        <w:rPr>
          <w:rFonts w:ascii="Times New Roman" w:hAnsi="Times New Roman" w:cs="Times New Roman"/>
          <w:lang w:val="en-US"/>
        </w:rPr>
        <w:t xml:space="preserve">under the additional credit-to-GDP gap was </w:t>
      </w:r>
      <w:r w:rsidR="00F77FD0" w:rsidRPr="00EB3B0F">
        <w:rPr>
          <w:rFonts w:ascii="Times New Roman" w:eastAsia="Times New Roman" w:hAnsi="Times New Roman" w:cs="Times New Roman"/>
          <w:lang w:val="en-US"/>
        </w:rPr>
        <w:t xml:space="preserve">0%. </w:t>
      </w:r>
      <w:r w:rsidR="00F77FD0" w:rsidRPr="00EB3B0F">
        <w:rPr>
          <w:rFonts w:ascii="Times New Roman" w:hAnsi="Times New Roman" w:cs="Times New Roman"/>
          <w:lang w:val="en-US"/>
        </w:rPr>
        <w:t>In accordance with the Recommendation the benchmark buffer rate that best reflects the specificities of the national economy shall be selected as the CCB guide</w:t>
      </w:r>
      <w:r w:rsidR="00F77FD0" w:rsidRPr="00EB3B0F">
        <w:rPr>
          <w:rFonts w:ascii="Times New Roman" w:eastAsia="Times New Roman" w:hAnsi="Times New Roman" w:cs="Times New Roman"/>
          <w:lang w:val="en-US"/>
        </w:rPr>
        <w:t xml:space="preserve">. For Latvia, </w:t>
      </w:r>
      <w:r w:rsidR="00F77FD0" w:rsidRPr="00EB3B0F">
        <w:rPr>
          <w:rFonts w:ascii="Times New Roman" w:hAnsi="Times New Roman" w:cs="Times New Roman"/>
          <w:lang w:val="en-US"/>
        </w:rPr>
        <w:t>the results obtained from the calculations of the benchmark buffer rate under the narrow definition are more justified than using the broad credit definition results</w:t>
      </w:r>
      <w:r w:rsidR="00F77FD0" w:rsidRPr="00EB3B0F">
        <w:rPr>
          <w:rFonts w:ascii="Times New Roman" w:eastAsia="Times New Roman" w:hAnsi="Times New Roman" w:cs="Times New Roman"/>
          <w:lang w:val="en-US"/>
        </w:rPr>
        <w:t>. T</w:t>
      </w:r>
      <w:r w:rsidR="00F77FD0" w:rsidRPr="00EB3B0F">
        <w:rPr>
          <w:rFonts w:ascii="Times New Roman" w:hAnsi="Times New Roman" w:cs="Times New Roman"/>
          <w:lang w:val="en-US"/>
        </w:rPr>
        <w:t>he data of the narrow credit time series are more stable (they are not retrospectively adjusted) and they become available sooner. Therefore, in Latvia the benchmark buffer rate that is calculated based on the additional credit-to-GDP gap has been selected as the CCB guide</w:t>
      </w:r>
      <w:r w:rsidR="00F77FD0" w:rsidRPr="00EB3B0F">
        <w:rPr>
          <w:rFonts w:ascii="Times New Roman" w:eastAsia="Times New Roman" w:hAnsi="Times New Roman" w:cs="Times New Roman"/>
          <w:lang w:val="en-US"/>
        </w:rPr>
        <w:t>.</w:t>
      </w:r>
    </w:p>
    <w:p w:rsidR="00481401" w:rsidRDefault="00481401" w:rsidP="00EB3B0F">
      <w:pPr>
        <w:spacing w:line="240" w:lineRule="auto"/>
        <w:jc w:val="both"/>
        <w:rPr>
          <w:rFonts w:ascii="Times New Roman" w:eastAsia="Times New Roman" w:hAnsi="Times New Roman" w:cs="Times New Roman"/>
          <w:b/>
          <w:kern w:val="28"/>
          <w:lang w:val="en-US"/>
        </w:rPr>
      </w:pPr>
    </w:p>
    <w:p w:rsidR="00481401" w:rsidRPr="00481401" w:rsidRDefault="00481401" w:rsidP="00481401">
      <w:pPr>
        <w:spacing w:line="240" w:lineRule="auto"/>
        <w:jc w:val="both"/>
        <w:rPr>
          <w:rFonts w:ascii="Times New Roman" w:eastAsia="Times New Roman" w:hAnsi="Times New Roman" w:cs="Times New Roman"/>
          <w:bCs/>
          <w:kern w:val="28"/>
          <w:lang w:val="en-US"/>
        </w:rPr>
      </w:pPr>
      <w:r>
        <w:rPr>
          <w:rFonts w:ascii="Times New Roman" w:eastAsia="Times New Roman" w:hAnsi="Times New Roman" w:cs="Times New Roman"/>
          <w:bCs/>
          <w:kern w:val="28"/>
          <w:lang w:val="en-US"/>
        </w:rPr>
        <w:lastRenderedPageBreak/>
        <w:t xml:space="preserve">6. </w:t>
      </w:r>
      <w:r w:rsidRPr="00481401">
        <w:rPr>
          <w:rFonts w:ascii="Times New Roman" w:eastAsia="Times New Roman" w:hAnsi="Times New Roman" w:cs="Times New Roman"/>
          <w:bCs/>
          <w:kern w:val="28"/>
          <w:lang w:val="en-US"/>
        </w:rPr>
        <w:t xml:space="preserve">Additional indicators used as a guide for setting a countercyclical capital buffer rate do not point to the growing cyclical risks in </w:t>
      </w:r>
      <w:r w:rsidR="00D6672C">
        <w:rPr>
          <w:rFonts w:ascii="Times New Roman" w:eastAsia="Times New Roman" w:hAnsi="Times New Roman" w:cs="Times New Roman"/>
          <w:bCs/>
          <w:kern w:val="28"/>
          <w:lang w:val="en-US"/>
        </w:rPr>
        <w:t xml:space="preserve">the </w:t>
      </w:r>
      <w:r w:rsidRPr="00481401">
        <w:rPr>
          <w:rFonts w:ascii="Times New Roman" w:eastAsia="Times New Roman" w:hAnsi="Times New Roman" w:cs="Times New Roman"/>
          <w:bCs/>
          <w:kern w:val="28"/>
          <w:lang w:val="en-US"/>
        </w:rPr>
        <w:t xml:space="preserve">financial sector. </w:t>
      </w:r>
    </w:p>
    <w:p w:rsidR="00481401" w:rsidRPr="00481401" w:rsidRDefault="00481401" w:rsidP="00481401">
      <w:pPr>
        <w:spacing w:line="240" w:lineRule="auto"/>
        <w:jc w:val="both"/>
        <w:rPr>
          <w:rFonts w:ascii="Times New Roman" w:eastAsia="Times New Roman" w:hAnsi="Times New Roman" w:cs="Times New Roman"/>
          <w:kern w:val="28"/>
          <w:lang w:val="en-US"/>
        </w:rPr>
      </w:pPr>
      <w:r>
        <w:rPr>
          <w:rFonts w:ascii="Times New Roman" w:eastAsia="Times New Roman" w:hAnsi="Times New Roman" w:cs="Times New Roman"/>
          <w:bCs/>
          <w:kern w:val="28"/>
          <w:lang w:val="en-GB"/>
        </w:rPr>
        <w:t xml:space="preserve">7. </w:t>
      </w:r>
      <w:r w:rsidR="00D43EDF">
        <w:rPr>
          <w:rFonts w:ascii="Times New Roman" w:eastAsia="Times New Roman" w:hAnsi="Times New Roman" w:cs="Times New Roman"/>
          <w:bCs/>
          <w:kern w:val="28"/>
          <w:lang w:val="en-GB"/>
        </w:rPr>
        <w:t xml:space="preserve">The </w:t>
      </w:r>
      <w:r w:rsidRPr="00481401">
        <w:rPr>
          <w:rFonts w:ascii="Times New Roman" w:eastAsia="Times New Roman" w:hAnsi="Times New Roman" w:cs="Times New Roman"/>
          <w:bCs/>
          <w:kern w:val="28"/>
          <w:lang w:val="en-GB"/>
        </w:rPr>
        <w:t xml:space="preserve">Q1 2016 data suggests that </w:t>
      </w:r>
      <w:r w:rsidR="00D43EDF">
        <w:rPr>
          <w:rFonts w:ascii="Times New Roman" w:eastAsia="Times New Roman" w:hAnsi="Times New Roman" w:cs="Times New Roman"/>
          <w:bCs/>
          <w:kern w:val="28"/>
          <w:lang w:val="en-GB"/>
        </w:rPr>
        <w:t xml:space="preserve">the </w:t>
      </w:r>
      <w:r w:rsidRPr="00481401">
        <w:rPr>
          <w:rFonts w:ascii="Times New Roman" w:eastAsia="Times New Roman" w:hAnsi="Times New Roman" w:cs="Times New Roman"/>
          <w:bCs/>
          <w:kern w:val="28"/>
          <w:lang w:val="en-GB"/>
        </w:rPr>
        <w:t xml:space="preserve">banking sector credit portfolio to private corporates and households continues to decline (-4.2% y-o-y). </w:t>
      </w:r>
      <w:r w:rsidRPr="00481401">
        <w:rPr>
          <w:rFonts w:ascii="Times New Roman" w:eastAsia="Times New Roman" w:hAnsi="Times New Roman" w:cs="Times New Roman"/>
          <w:kern w:val="28"/>
          <w:lang w:val="en-US"/>
        </w:rPr>
        <w:t xml:space="preserve">Along with </w:t>
      </w:r>
      <w:r w:rsidR="00D43EDF">
        <w:rPr>
          <w:rFonts w:ascii="Times New Roman" w:eastAsia="Times New Roman" w:hAnsi="Times New Roman" w:cs="Times New Roman"/>
          <w:kern w:val="28"/>
          <w:lang w:val="en-US"/>
        </w:rPr>
        <w:t xml:space="preserve">a </w:t>
      </w:r>
      <w:r w:rsidRPr="00481401">
        <w:rPr>
          <w:rFonts w:ascii="Times New Roman" w:eastAsia="Times New Roman" w:hAnsi="Times New Roman" w:cs="Times New Roman"/>
          <w:kern w:val="28"/>
          <w:lang w:val="en-US"/>
        </w:rPr>
        <w:t>continuing decrease in total outstanding loans banking credit-to-GDP ratio declined from 47% to 44%</w:t>
      </w:r>
      <w:r w:rsidR="00EF1F4E">
        <w:rPr>
          <w:rFonts w:ascii="Times New Roman" w:eastAsia="Times New Roman" w:hAnsi="Times New Roman" w:cs="Times New Roman"/>
          <w:kern w:val="28"/>
          <w:lang w:val="en-US"/>
        </w:rPr>
        <w:t xml:space="preserve"> </w:t>
      </w:r>
      <w:r w:rsidRPr="00481401">
        <w:rPr>
          <w:rFonts w:ascii="Times New Roman" w:eastAsia="Times New Roman" w:hAnsi="Times New Roman" w:cs="Times New Roman"/>
          <w:kern w:val="28"/>
          <w:lang w:val="en-US"/>
        </w:rPr>
        <w:t xml:space="preserve">(y-o-y). </w:t>
      </w:r>
    </w:p>
    <w:p w:rsidR="00481401" w:rsidRDefault="00481401"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8. </w:t>
      </w:r>
      <w:r w:rsidRPr="00481401">
        <w:rPr>
          <w:rFonts w:ascii="Times New Roman" w:eastAsia="Times New Roman" w:hAnsi="Times New Roman" w:cs="Times New Roman"/>
          <w:kern w:val="28"/>
          <w:lang w:val="en-GB"/>
        </w:rPr>
        <w:t xml:space="preserve">Residential real estate prices rose modestly in 2015 with </w:t>
      </w:r>
      <w:r w:rsidR="00B93D91">
        <w:rPr>
          <w:rFonts w:ascii="Times New Roman" w:eastAsia="Times New Roman" w:hAnsi="Times New Roman" w:cs="Times New Roman"/>
          <w:kern w:val="28"/>
          <w:lang w:val="en-GB"/>
        </w:rPr>
        <w:t>a</w:t>
      </w:r>
      <w:r w:rsidR="005B4F45">
        <w:rPr>
          <w:rFonts w:ascii="Times New Roman" w:eastAsia="Times New Roman" w:hAnsi="Times New Roman" w:cs="Times New Roman"/>
          <w:kern w:val="28"/>
          <w:lang w:val="en-GB"/>
        </w:rPr>
        <w:t>n</w:t>
      </w:r>
      <w:r w:rsidR="00B93D91">
        <w:rPr>
          <w:rFonts w:ascii="Times New Roman" w:eastAsia="Times New Roman" w:hAnsi="Times New Roman" w:cs="Times New Roman"/>
          <w:kern w:val="28"/>
          <w:lang w:val="en-GB"/>
        </w:rPr>
        <w:t xml:space="preserve"> </w:t>
      </w:r>
      <w:r w:rsidRPr="00481401">
        <w:rPr>
          <w:rFonts w:ascii="Times New Roman" w:eastAsia="Times New Roman" w:hAnsi="Times New Roman" w:cs="Times New Roman"/>
          <w:kern w:val="28"/>
          <w:lang w:val="en-GB"/>
        </w:rPr>
        <w:t xml:space="preserve">RRE price index </w:t>
      </w:r>
      <w:r w:rsidR="005B4F45">
        <w:rPr>
          <w:rFonts w:ascii="Times New Roman" w:eastAsia="Times New Roman" w:hAnsi="Times New Roman" w:cs="Times New Roman"/>
          <w:kern w:val="28"/>
          <w:lang w:val="en-GB"/>
        </w:rPr>
        <w:t>up</w:t>
      </w:r>
      <w:r w:rsidRPr="00481401">
        <w:rPr>
          <w:rFonts w:ascii="Times New Roman" w:eastAsia="Times New Roman" w:hAnsi="Times New Roman" w:cs="Times New Roman"/>
          <w:kern w:val="28"/>
          <w:lang w:val="en-GB"/>
        </w:rPr>
        <w:t xml:space="preserve"> by 6% at the end of 2015 (y-o-y), but still </w:t>
      </w:r>
      <w:r w:rsidR="006C32B6">
        <w:rPr>
          <w:rFonts w:ascii="Times New Roman" w:eastAsia="Times New Roman" w:hAnsi="Times New Roman" w:cs="Times New Roman"/>
          <w:kern w:val="28"/>
          <w:lang w:val="en-GB"/>
        </w:rPr>
        <w:t xml:space="preserve">down </w:t>
      </w:r>
      <w:r w:rsidRPr="00481401">
        <w:rPr>
          <w:rFonts w:ascii="Times New Roman" w:eastAsia="Times New Roman" w:hAnsi="Times New Roman" w:cs="Times New Roman"/>
          <w:kern w:val="28"/>
          <w:lang w:val="en-GB"/>
        </w:rPr>
        <w:t xml:space="preserve">about 36% </w:t>
      </w:r>
      <w:r w:rsidR="006C32B6">
        <w:rPr>
          <w:rFonts w:ascii="Times New Roman" w:eastAsia="Times New Roman" w:hAnsi="Times New Roman" w:cs="Times New Roman"/>
          <w:kern w:val="28"/>
          <w:lang w:val="en-GB"/>
        </w:rPr>
        <w:t xml:space="preserve">from </w:t>
      </w:r>
      <w:r w:rsidRPr="00481401">
        <w:rPr>
          <w:rFonts w:ascii="Times New Roman" w:eastAsia="Times New Roman" w:hAnsi="Times New Roman" w:cs="Times New Roman"/>
          <w:kern w:val="28"/>
          <w:lang w:val="en-GB"/>
        </w:rPr>
        <w:t xml:space="preserve">the peak in 2008. </w:t>
      </w:r>
      <w:r>
        <w:rPr>
          <w:rFonts w:ascii="Times New Roman" w:eastAsia="Times New Roman" w:hAnsi="Times New Roman" w:cs="Times New Roman"/>
          <w:kern w:val="28"/>
          <w:lang w:val="en-GB"/>
        </w:rPr>
        <w:t>R</w:t>
      </w:r>
      <w:r w:rsidRPr="00481401">
        <w:rPr>
          <w:rFonts w:ascii="Times New Roman" w:eastAsia="Times New Roman" w:hAnsi="Times New Roman" w:cs="Times New Roman"/>
          <w:kern w:val="28"/>
          <w:lang w:val="en-GB"/>
        </w:rPr>
        <w:t xml:space="preserve">esidential </w:t>
      </w:r>
      <w:r>
        <w:rPr>
          <w:rFonts w:ascii="Times New Roman" w:eastAsia="Times New Roman" w:hAnsi="Times New Roman" w:cs="Times New Roman"/>
          <w:kern w:val="28"/>
          <w:lang w:val="en-GB"/>
        </w:rPr>
        <w:t>real estate</w:t>
      </w:r>
      <w:r w:rsidRPr="00481401">
        <w:rPr>
          <w:rFonts w:ascii="Times New Roman" w:eastAsia="Times New Roman" w:hAnsi="Times New Roman" w:cs="Times New Roman"/>
          <w:kern w:val="28"/>
          <w:lang w:val="en-GB"/>
        </w:rPr>
        <w:t xml:space="preserve"> prices continued </w:t>
      </w:r>
      <w:r w:rsidR="006C32B6">
        <w:rPr>
          <w:rFonts w:ascii="Times New Roman" w:eastAsia="Times New Roman" w:hAnsi="Times New Roman" w:cs="Times New Roman"/>
          <w:kern w:val="28"/>
          <w:lang w:val="en-GB"/>
        </w:rPr>
        <w:t xml:space="preserve">a </w:t>
      </w:r>
      <w:r w:rsidRPr="00481401">
        <w:rPr>
          <w:rFonts w:ascii="Times New Roman" w:eastAsia="Times New Roman" w:hAnsi="Times New Roman" w:cs="Times New Roman"/>
          <w:kern w:val="28"/>
          <w:lang w:val="en-GB"/>
        </w:rPr>
        <w:t xml:space="preserve">moderate growth also in the first four months of 2016. </w:t>
      </w:r>
      <w:r w:rsidR="00B377D1">
        <w:rPr>
          <w:rFonts w:ascii="Times New Roman" w:eastAsia="Times New Roman" w:hAnsi="Times New Roman" w:cs="Times New Roman"/>
          <w:kern w:val="28"/>
          <w:lang w:val="en-GB"/>
        </w:rPr>
        <w:t>A</w:t>
      </w:r>
      <w:r w:rsidRPr="00481401">
        <w:rPr>
          <w:rFonts w:ascii="Times New Roman" w:eastAsia="Times New Roman" w:hAnsi="Times New Roman" w:cs="Times New Roman"/>
          <w:kern w:val="28"/>
          <w:lang w:val="en-GB"/>
        </w:rPr>
        <w:t xml:space="preserve"> </w:t>
      </w:r>
      <w:r w:rsidR="00B377D1">
        <w:rPr>
          <w:rFonts w:ascii="Times New Roman" w:eastAsia="Times New Roman" w:hAnsi="Times New Roman" w:cs="Times New Roman"/>
          <w:kern w:val="28"/>
          <w:lang w:val="en-GB"/>
        </w:rPr>
        <w:t>r</w:t>
      </w:r>
      <w:r w:rsidRPr="00481401">
        <w:rPr>
          <w:rFonts w:ascii="Times New Roman" w:eastAsia="Times New Roman" w:hAnsi="Times New Roman" w:cs="Times New Roman"/>
          <w:kern w:val="28"/>
          <w:lang w:val="en-GB"/>
        </w:rPr>
        <w:t xml:space="preserve">eal wage growth, as well as governmental support for the young families with children </w:t>
      </w:r>
      <w:r w:rsidR="0088444C">
        <w:rPr>
          <w:rFonts w:ascii="Times New Roman" w:eastAsia="Times New Roman" w:hAnsi="Times New Roman" w:cs="Times New Roman"/>
          <w:kern w:val="28"/>
          <w:lang w:val="en-GB"/>
        </w:rPr>
        <w:t xml:space="preserve">facilitated </w:t>
      </w:r>
      <w:r>
        <w:rPr>
          <w:rFonts w:ascii="Times New Roman" w:eastAsia="Times New Roman" w:hAnsi="Times New Roman" w:cs="Times New Roman"/>
          <w:kern w:val="28"/>
          <w:lang w:val="en-GB"/>
        </w:rPr>
        <w:t>the availability of loans.</w:t>
      </w:r>
    </w:p>
    <w:p w:rsidR="00481401" w:rsidRPr="00481401" w:rsidRDefault="00481401"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9. </w:t>
      </w:r>
      <w:r w:rsidRPr="00481401">
        <w:rPr>
          <w:rFonts w:ascii="Times New Roman" w:eastAsia="Times New Roman" w:hAnsi="Times New Roman" w:cs="Times New Roman"/>
          <w:kern w:val="28"/>
          <w:lang w:val="en-GB"/>
        </w:rPr>
        <w:t xml:space="preserve">Against the background of continuing deleveraging, </w:t>
      </w:r>
      <w:r w:rsidR="005B4F45">
        <w:rPr>
          <w:rFonts w:ascii="Times New Roman" w:eastAsia="Times New Roman" w:hAnsi="Times New Roman" w:cs="Times New Roman"/>
          <w:kern w:val="28"/>
          <w:lang w:val="en-GB"/>
        </w:rPr>
        <w:t xml:space="preserve">the </w:t>
      </w:r>
      <w:r w:rsidRPr="00481401">
        <w:rPr>
          <w:rFonts w:ascii="Times New Roman" w:eastAsia="Times New Roman" w:hAnsi="Times New Roman" w:cs="Times New Roman"/>
          <w:kern w:val="28"/>
          <w:lang w:val="en-GB"/>
        </w:rPr>
        <w:t>private sector indebtedness and debt service burden continue</w:t>
      </w:r>
      <w:r w:rsidR="00F749BB">
        <w:rPr>
          <w:rFonts w:ascii="Times New Roman" w:eastAsia="Times New Roman" w:hAnsi="Times New Roman" w:cs="Times New Roman"/>
          <w:kern w:val="28"/>
          <w:lang w:val="en-GB"/>
        </w:rPr>
        <w:t>d</w:t>
      </w:r>
      <w:r w:rsidRPr="00481401">
        <w:rPr>
          <w:rFonts w:ascii="Times New Roman" w:eastAsia="Times New Roman" w:hAnsi="Times New Roman" w:cs="Times New Roman"/>
          <w:kern w:val="28"/>
          <w:lang w:val="en-GB"/>
        </w:rPr>
        <w:t xml:space="preserve"> </w:t>
      </w:r>
      <w:r w:rsidR="001B483F">
        <w:rPr>
          <w:rFonts w:ascii="Times New Roman" w:eastAsia="Times New Roman" w:hAnsi="Times New Roman" w:cs="Times New Roman"/>
          <w:kern w:val="28"/>
          <w:lang w:val="en-GB"/>
        </w:rPr>
        <w:t>diminishing</w:t>
      </w:r>
      <w:r w:rsidRPr="00481401">
        <w:rPr>
          <w:rFonts w:ascii="Times New Roman" w:eastAsia="Times New Roman" w:hAnsi="Times New Roman" w:cs="Times New Roman"/>
          <w:kern w:val="28"/>
          <w:lang w:val="en-GB"/>
        </w:rPr>
        <w:t>. Annual interest payments by the private sector (households and non-financial corporations) continue</w:t>
      </w:r>
      <w:r w:rsidR="00F749BB">
        <w:rPr>
          <w:rFonts w:ascii="Times New Roman" w:eastAsia="Times New Roman" w:hAnsi="Times New Roman" w:cs="Times New Roman"/>
          <w:kern w:val="28"/>
          <w:lang w:val="en-GB"/>
        </w:rPr>
        <w:t>d</w:t>
      </w:r>
      <w:r w:rsidRPr="00481401">
        <w:rPr>
          <w:rFonts w:ascii="Times New Roman" w:eastAsia="Times New Roman" w:hAnsi="Times New Roman" w:cs="Times New Roman"/>
          <w:kern w:val="28"/>
          <w:lang w:val="en-GB"/>
        </w:rPr>
        <w:t xml:space="preserve"> to decline in relation to GDP </w:t>
      </w:r>
      <w:r>
        <w:rPr>
          <w:rFonts w:ascii="Times New Roman" w:eastAsia="Times New Roman" w:hAnsi="Times New Roman" w:cs="Times New Roman"/>
          <w:kern w:val="28"/>
          <w:lang w:val="en-GB"/>
        </w:rPr>
        <w:t xml:space="preserve">(from </w:t>
      </w:r>
      <w:r w:rsidRPr="00481401">
        <w:rPr>
          <w:rFonts w:ascii="Times New Roman" w:eastAsia="Times New Roman" w:hAnsi="Times New Roman" w:cs="Times New Roman"/>
          <w:kern w:val="28"/>
          <w:lang w:val="en-GB"/>
        </w:rPr>
        <w:t xml:space="preserve">5.5% in Q2 2009 to 1.5% in Q4 2015).  </w:t>
      </w:r>
    </w:p>
    <w:p w:rsidR="00481401" w:rsidRPr="00481401" w:rsidRDefault="009A771D"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10. </w:t>
      </w:r>
      <w:r w:rsidR="00481401" w:rsidRPr="00481401">
        <w:rPr>
          <w:rFonts w:ascii="Times New Roman" w:eastAsia="Times New Roman" w:hAnsi="Times New Roman" w:cs="Times New Roman"/>
          <w:kern w:val="28"/>
          <w:lang w:val="en-GB"/>
        </w:rPr>
        <w:t xml:space="preserve">Latvia's economic growth remained moderate in 2015: GDP increased by 2.6%. The fourth quarter of 2015 and first quarter of 2016 saw a notable slowdown in </w:t>
      </w:r>
      <w:r w:rsidR="00337DBF">
        <w:rPr>
          <w:rFonts w:ascii="Times New Roman" w:eastAsia="Times New Roman" w:hAnsi="Times New Roman" w:cs="Times New Roman"/>
          <w:kern w:val="28"/>
          <w:lang w:val="en-GB"/>
        </w:rPr>
        <w:t xml:space="preserve">the </w:t>
      </w:r>
      <w:r w:rsidR="00481401" w:rsidRPr="00481401">
        <w:rPr>
          <w:rFonts w:ascii="Times New Roman" w:eastAsia="Times New Roman" w:hAnsi="Times New Roman" w:cs="Times New Roman"/>
          <w:kern w:val="28"/>
          <w:lang w:val="en-GB"/>
        </w:rPr>
        <w:t xml:space="preserve">economic growth suggesting high uncertainty and risks on account of external factors and weak bank lending activity, going forward. </w:t>
      </w:r>
    </w:p>
    <w:p w:rsidR="00481401" w:rsidRPr="00481401" w:rsidRDefault="009A771D"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11. </w:t>
      </w:r>
      <w:r w:rsidR="00481401" w:rsidRPr="00481401">
        <w:rPr>
          <w:rFonts w:ascii="Times New Roman" w:eastAsia="Times New Roman" w:hAnsi="Times New Roman" w:cs="Times New Roman"/>
          <w:kern w:val="28"/>
          <w:lang w:val="en-GB"/>
        </w:rPr>
        <w:t>Continuing the previous year's trend, private consumption was the key growth engine also in 2015; it increased by 3.1% over the year and contributed 2.0 percentage points to GDP growth. Throughout the year, private consumption was supported by a rather steep increase in real net wages. Amid ongoing strengthening of purchasing power of the working population and stable consumer sentiment, private consumption is expected to be the driver of growth also in 2016.</w:t>
      </w:r>
    </w:p>
    <w:p w:rsidR="00481401" w:rsidRPr="00481401" w:rsidRDefault="009A771D"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12. </w:t>
      </w:r>
      <w:r w:rsidR="00481401" w:rsidRPr="00481401">
        <w:rPr>
          <w:rFonts w:ascii="Times New Roman" w:eastAsia="Times New Roman" w:hAnsi="Times New Roman" w:cs="Times New Roman"/>
          <w:kern w:val="28"/>
          <w:lang w:val="en-GB"/>
        </w:rPr>
        <w:t>In 2015,</w:t>
      </w:r>
      <w:r w:rsidR="00C85938">
        <w:rPr>
          <w:rFonts w:ascii="Times New Roman" w:eastAsia="Times New Roman" w:hAnsi="Times New Roman" w:cs="Times New Roman"/>
          <w:kern w:val="28"/>
          <w:lang w:val="en-GB"/>
        </w:rPr>
        <w:t xml:space="preserve"> an</w:t>
      </w:r>
      <w:r w:rsidR="00481401" w:rsidRPr="00481401">
        <w:rPr>
          <w:rFonts w:ascii="Times New Roman" w:eastAsia="Times New Roman" w:hAnsi="Times New Roman" w:cs="Times New Roman"/>
          <w:kern w:val="28"/>
          <w:lang w:val="en-GB"/>
        </w:rPr>
        <w:t xml:space="preserve"> unemployment rate continued to moderate, albeit at a decelerating pace. Average inflation (HICP) stood at 0.2%, and its year-on-year decline primarily was on account of commodity (e.g. oil and agricultural and food products) price falls on a global scale.</w:t>
      </w:r>
    </w:p>
    <w:p w:rsidR="009A771D" w:rsidRDefault="009A771D"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kern w:val="28"/>
          <w:lang w:val="en-GB"/>
        </w:rPr>
        <w:t xml:space="preserve">13. </w:t>
      </w:r>
      <w:r w:rsidR="00481401" w:rsidRPr="00481401">
        <w:rPr>
          <w:rFonts w:ascii="Times New Roman" w:eastAsia="Times New Roman" w:hAnsi="Times New Roman" w:cs="Times New Roman"/>
          <w:kern w:val="28"/>
          <w:lang w:val="en-GB"/>
        </w:rPr>
        <w:t xml:space="preserve">Banking sector strength measured in terms of solvency and profitability </w:t>
      </w:r>
      <w:r w:rsidR="00A23B08">
        <w:rPr>
          <w:rFonts w:ascii="Times New Roman" w:eastAsia="Times New Roman" w:hAnsi="Times New Roman" w:cs="Times New Roman"/>
          <w:kern w:val="28"/>
          <w:lang w:val="en-GB"/>
        </w:rPr>
        <w:t>wa</w:t>
      </w:r>
      <w:r w:rsidR="00481401" w:rsidRPr="00481401">
        <w:rPr>
          <w:rFonts w:ascii="Times New Roman" w:eastAsia="Times New Roman" w:hAnsi="Times New Roman" w:cs="Times New Roman"/>
          <w:kern w:val="28"/>
          <w:lang w:val="en-GB"/>
        </w:rPr>
        <w:t xml:space="preserve">s high: at the end of Q1 2016 ROE </w:t>
      </w:r>
      <w:proofErr w:type="gramStart"/>
      <w:r w:rsidR="00481401" w:rsidRPr="00481401">
        <w:rPr>
          <w:rFonts w:ascii="Times New Roman" w:eastAsia="Times New Roman" w:hAnsi="Times New Roman" w:cs="Times New Roman"/>
          <w:kern w:val="28"/>
          <w:lang w:val="en-GB"/>
        </w:rPr>
        <w:t>was</w:t>
      </w:r>
      <w:proofErr w:type="gramEnd"/>
      <w:r w:rsidR="00481401" w:rsidRPr="00481401">
        <w:rPr>
          <w:rFonts w:ascii="Times New Roman" w:eastAsia="Times New Roman" w:hAnsi="Times New Roman" w:cs="Times New Roman"/>
          <w:kern w:val="28"/>
          <w:lang w:val="en-GB"/>
        </w:rPr>
        <w:t xml:space="preserve"> 11.5% and Common </w:t>
      </w:r>
      <w:r w:rsidR="00B46E5E">
        <w:rPr>
          <w:rFonts w:ascii="Times New Roman" w:eastAsia="Times New Roman" w:hAnsi="Times New Roman" w:cs="Times New Roman"/>
          <w:kern w:val="28"/>
          <w:lang w:val="en-GB"/>
        </w:rPr>
        <w:t>E</w:t>
      </w:r>
      <w:r w:rsidR="00481401" w:rsidRPr="00481401">
        <w:rPr>
          <w:rFonts w:ascii="Times New Roman" w:eastAsia="Times New Roman" w:hAnsi="Times New Roman" w:cs="Times New Roman"/>
          <w:kern w:val="28"/>
          <w:lang w:val="en-GB"/>
        </w:rPr>
        <w:t xml:space="preserve">quity </w:t>
      </w:r>
      <w:r w:rsidR="00B46E5E">
        <w:rPr>
          <w:rFonts w:ascii="Times New Roman" w:eastAsia="Times New Roman" w:hAnsi="Times New Roman" w:cs="Times New Roman"/>
          <w:kern w:val="28"/>
          <w:lang w:val="en-GB"/>
        </w:rPr>
        <w:t>T</w:t>
      </w:r>
      <w:r w:rsidR="00481401" w:rsidRPr="00481401">
        <w:rPr>
          <w:rFonts w:ascii="Times New Roman" w:eastAsia="Times New Roman" w:hAnsi="Times New Roman" w:cs="Times New Roman"/>
          <w:kern w:val="28"/>
          <w:lang w:val="en-GB"/>
        </w:rPr>
        <w:t>ier 1 ratio was at 17%.</w:t>
      </w:r>
    </w:p>
    <w:p w:rsidR="00F77FD0" w:rsidRPr="00481401" w:rsidRDefault="00306C30" w:rsidP="00EB3B0F">
      <w:pPr>
        <w:keepNext/>
        <w:keepLines/>
        <w:spacing w:line="240" w:lineRule="auto"/>
        <w:jc w:val="both"/>
        <w:outlineLvl w:val="0"/>
        <w:rPr>
          <w:rFonts w:ascii="Times New Roman" w:eastAsia="Times New Roman" w:hAnsi="Times New Roman" w:cs="Times New Roman"/>
          <w:kern w:val="28"/>
          <w:lang w:val="en-US"/>
        </w:rPr>
      </w:pPr>
      <w:r w:rsidRPr="00481401">
        <w:rPr>
          <w:rFonts w:ascii="Times New Roman" w:eastAsia="Times New Roman" w:hAnsi="Times New Roman" w:cs="Times New Roman"/>
          <w:kern w:val="28"/>
          <w:lang w:val="en-US"/>
        </w:rPr>
        <w:t>1</w:t>
      </w:r>
      <w:r w:rsidR="00CD622E">
        <w:rPr>
          <w:rFonts w:ascii="Times New Roman" w:eastAsia="Times New Roman" w:hAnsi="Times New Roman" w:cs="Times New Roman"/>
          <w:kern w:val="28"/>
          <w:lang w:val="en-US"/>
        </w:rPr>
        <w:t>4</w:t>
      </w:r>
      <w:r w:rsidR="00F77FD0" w:rsidRPr="00481401">
        <w:rPr>
          <w:rFonts w:ascii="Times New Roman" w:eastAsia="Times New Roman" w:hAnsi="Times New Roman" w:cs="Times New Roman"/>
          <w:kern w:val="28"/>
          <w:lang w:val="en-US"/>
        </w:rPr>
        <w:t xml:space="preserve">. </w:t>
      </w:r>
      <w:r w:rsidR="00F77FD0" w:rsidRPr="00481401">
        <w:rPr>
          <w:rFonts w:ascii="Times New Roman" w:hAnsi="Times New Roman" w:cs="Times New Roman"/>
          <w:kern w:val="28"/>
          <w:lang w:val="en-US"/>
        </w:rPr>
        <w:t xml:space="preserve">Considering above, </w:t>
      </w:r>
      <w:r w:rsidR="00F77FD0" w:rsidRPr="00481401">
        <w:rPr>
          <w:rFonts w:ascii="Times New Roman" w:hAnsi="Times New Roman" w:cs="Times New Roman"/>
          <w:lang w:val="en-US"/>
        </w:rPr>
        <w:t>the Commission sets the CCB rate of 0%. In accordance with the current lending and GDP growth rate forecasts, no increase in the CCB rate would be required in the next two years</w:t>
      </w:r>
      <w:r w:rsidR="00F77FD0" w:rsidRPr="00481401">
        <w:rPr>
          <w:rFonts w:ascii="Times New Roman" w:eastAsia="Times New Roman" w:hAnsi="Times New Roman" w:cs="Times New Roman"/>
          <w:kern w:val="28"/>
          <w:lang w:val="en-US"/>
        </w:rPr>
        <w:t xml:space="preserve">. </w:t>
      </w:r>
    </w:p>
    <w:p w:rsidR="00F77FD0" w:rsidRPr="00481401" w:rsidRDefault="00F77FD0" w:rsidP="00EB3B0F">
      <w:pPr>
        <w:keepNext/>
        <w:keepLines/>
        <w:spacing w:line="240" w:lineRule="auto"/>
        <w:jc w:val="both"/>
        <w:outlineLvl w:val="0"/>
        <w:rPr>
          <w:rFonts w:ascii="Times New Roman" w:eastAsia="Times New Roman" w:hAnsi="Times New Roman" w:cs="Times New Roman"/>
          <w:kern w:val="28"/>
          <w:lang w:val="en-US"/>
        </w:rPr>
      </w:pPr>
      <w:r w:rsidRPr="00481401">
        <w:rPr>
          <w:rFonts w:ascii="Times New Roman" w:eastAsia="Times New Roman" w:hAnsi="Times New Roman" w:cs="Times New Roman"/>
          <w:kern w:val="28"/>
          <w:lang w:val="en-US"/>
        </w:rPr>
        <w:t>1</w:t>
      </w:r>
      <w:r w:rsidR="00CD622E">
        <w:rPr>
          <w:rFonts w:ascii="Times New Roman" w:eastAsia="Times New Roman" w:hAnsi="Times New Roman" w:cs="Times New Roman"/>
          <w:kern w:val="28"/>
          <w:lang w:val="en-US"/>
        </w:rPr>
        <w:t>5</w:t>
      </w:r>
      <w:r w:rsidRPr="00481401">
        <w:rPr>
          <w:rFonts w:ascii="Times New Roman" w:eastAsia="Times New Roman" w:hAnsi="Times New Roman" w:cs="Times New Roman"/>
          <w:kern w:val="28"/>
          <w:lang w:val="en-US"/>
        </w:rPr>
        <w:t xml:space="preserve">. On </w:t>
      </w:r>
      <w:r w:rsidR="009A771D">
        <w:rPr>
          <w:rFonts w:ascii="Times New Roman" w:eastAsia="Times New Roman" w:hAnsi="Times New Roman" w:cs="Times New Roman"/>
          <w:kern w:val="28"/>
          <w:lang w:val="en-US"/>
        </w:rPr>
        <w:t>11</w:t>
      </w:r>
      <w:r w:rsidRPr="00481401">
        <w:rPr>
          <w:rFonts w:ascii="Times New Roman" w:eastAsia="Times New Roman" w:hAnsi="Times New Roman" w:cs="Times New Roman"/>
          <w:kern w:val="28"/>
          <w:lang w:val="en-US"/>
        </w:rPr>
        <w:t xml:space="preserve"> </w:t>
      </w:r>
      <w:r w:rsidR="00CD622E">
        <w:rPr>
          <w:rFonts w:ascii="Times New Roman" w:eastAsia="Times New Roman" w:hAnsi="Times New Roman" w:cs="Times New Roman"/>
          <w:kern w:val="28"/>
          <w:lang w:val="en-US"/>
        </w:rPr>
        <w:t>J</w:t>
      </w:r>
      <w:r w:rsidR="009A771D">
        <w:rPr>
          <w:rFonts w:ascii="Times New Roman" w:eastAsia="Times New Roman" w:hAnsi="Times New Roman" w:cs="Times New Roman"/>
          <w:kern w:val="28"/>
          <w:lang w:val="en-US"/>
        </w:rPr>
        <w:t>une</w:t>
      </w:r>
      <w:r w:rsidRPr="00481401">
        <w:rPr>
          <w:rFonts w:ascii="Times New Roman" w:eastAsia="Times New Roman" w:hAnsi="Times New Roman" w:cs="Times New Roman"/>
          <w:kern w:val="28"/>
          <w:lang w:val="en-US"/>
        </w:rPr>
        <w:t xml:space="preserve"> 201</w:t>
      </w:r>
      <w:r w:rsidR="00AC6D1D" w:rsidRPr="00481401">
        <w:rPr>
          <w:rFonts w:ascii="Times New Roman" w:eastAsia="Times New Roman" w:hAnsi="Times New Roman" w:cs="Times New Roman"/>
          <w:kern w:val="28"/>
          <w:lang w:val="en-US"/>
        </w:rPr>
        <w:t>6</w:t>
      </w:r>
      <w:r w:rsidRPr="00481401">
        <w:rPr>
          <w:rFonts w:ascii="Times New Roman" w:eastAsia="Times New Roman" w:hAnsi="Times New Roman" w:cs="Times New Roman"/>
          <w:kern w:val="28"/>
          <w:lang w:val="en-US"/>
        </w:rPr>
        <w:t xml:space="preserve">, the Commission </w:t>
      </w:r>
      <w:r w:rsidRPr="00481401">
        <w:rPr>
          <w:rFonts w:ascii="Times New Roman" w:hAnsi="Times New Roman" w:cs="Times New Roman"/>
          <w:lang w:val="en-US"/>
        </w:rPr>
        <w:t xml:space="preserve">sent a letter to other members of the </w:t>
      </w:r>
      <w:proofErr w:type="spellStart"/>
      <w:r w:rsidRPr="00481401">
        <w:rPr>
          <w:rFonts w:ascii="Times New Roman" w:hAnsi="Times New Roman" w:cs="Times New Roman"/>
          <w:lang w:val="en-US"/>
        </w:rPr>
        <w:t>Macroprudential</w:t>
      </w:r>
      <w:proofErr w:type="spellEnd"/>
      <w:r w:rsidRPr="00481401">
        <w:rPr>
          <w:rFonts w:ascii="Times New Roman" w:hAnsi="Times New Roman" w:cs="Times New Roman"/>
          <w:lang w:val="en-US"/>
        </w:rPr>
        <w:t xml:space="preserve"> Council (the Bank of Latvia and the Ministry of Finance), notifying them of intention to set the CCB rate at 0%; both institutions responded that they did not object to such intention</w:t>
      </w:r>
      <w:r w:rsidRPr="00481401">
        <w:rPr>
          <w:rFonts w:ascii="Times New Roman" w:eastAsia="Times New Roman" w:hAnsi="Times New Roman" w:cs="Times New Roman"/>
          <w:kern w:val="28"/>
          <w:lang w:val="en-US"/>
        </w:rPr>
        <w:t xml:space="preserve">. </w:t>
      </w:r>
    </w:p>
    <w:p w:rsidR="009842F4" w:rsidRPr="00EB3B0F" w:rsidRDefault="009842F4" w:rsidP="00EB3B0F">
      <w:pPr>
        <w:spacing w:line="240" w:lineRule="auto"/>
        <w:jc w:val="both"/>
        <w:rPr>
          <w:rFonts w:ascii="Times New Roman" w:hAnsi="Times New Roman" w:cs="Times New Roman"/>
          <w:lang w:val="en-US"/>
        </w:rPr>
      </w:pPr>
    </w:p>
    <w:sectPr w:rsidR="009842F4" w:rsidRPr="00EB3B0F" w:rsidSect="009842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83F" w:rsidRDefault="001B483F" w:rsidP="00F77FD0">
      <w:pPr>
        <w:spacing w:after="0" w:line="240" w:lineRule="auto"/>
      </w:pPr>
      <w:r>
        <w:separator/>
      </w:r>
    </w:p>
  </w:endnote>
  <w:endnote w:type="continuationSeparator" w:id="0">
    <w:p w:rsidR="001B483F" w:rsidRDefault="001B483F" w:rsidP="00F7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83F" w:rsidRDefault="001B483F" w:rsidP="00F77FD0">
      <w:pPr>
        <w:spacing w:after="0" w:line="240" w:lineRule="auto"/>
      </w:pPr>
      <w:r>
        <w:separator/>
      </w:r>
    </w:p>
  </w:footnote>
  <w:footnote w:type="continuationSeparator" w:id="0">
    <w:p w:rsidR="001B483F" w:rsidRDefault="001B483F" w:rsidP="00F77FD0">
      <w:pPr>
        <w:spacing w:after="0" w:line="240" w:lineRule="auto"/>
      </w:pPr>
      <w:r>
        <w:continuationSeparator/>
      </w:r>
    </w:p>
  </w:footnote>
  <w:footnote w:id="1">
    <w:p w:rsidR="001B483F" w:rsidRPr="0041107E" w:rsidRDefault="001B483F" w:rsidP="00F77FD0">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1B483F" w:rsidRDefault="001B483F" w:rsidP="00B47381">
      <w:pPr>
        <w:pStyle w:val="FootnoteText"/>
      </w:pPr>
      <w:r w:rsidRPr="00A665FE">
        <w:rPr>
          <w:rStyle w:val="FootnoteReference"/>
          <w:rFonts w:ascii="Times New Roman" w:hAnsi="Times New Roman"/>
          <w:lang w:val="en-GB"/>
        </w:rPr>
        <w:footnoteRef/>
      </w:r>
      <w:r w:rsidRPr="00A665FE">
        <w:rPr>
          <w:rFonts w:ascii="Times New Roman" w:hAnsi="Times New Roman" w:cs="Times New Roman"/>
          <w:lang w:val="en-GB"/>
        </w:rPr>
        <w:t xml:space="preserve">  </w:t>
      </w:r>
      <w:r>
        <w:rPr>
          <w:rFonts w:ascii="Times New Roman" w:hAnsi="Times New Roman" w:cs="Times New Roman"/>
          <w:lang w:val="en-GB"/>
        </w:rPr>
        <w:t>It includes non-financial corp</w:t>
      </w:r>
      <w:r w:rsidRPr="00A665FE">
        <w:rPr>
          <w:rFonts w:ascii="Times New Roman" w:hAnsi="Times New Roman" w:cs="Times New Roman"/>
          <w:lang w:val="en-GB"/>
        </w:rPr>
        <w:t>orations,</w:t>
      </w:r>
      <w:r>
        <w:rPr>
          <w:rFonts w:ascii="Times New Roman" w:hAnsi="Times New Roman" w:cs="Times New Roman"/>
          <w:lang w:val="en-GB"/>
        </w:rPr>
        <w:t xml:space="preserve"> </w:t>
      </w:r>
      <w:r w:rsidRPr="00A665FE">
        <w:rPr>
          <w:rFonts w:ascii="Times New Roman" w:hAnsi="Times New Roman" w:cs="Times New Roman"/>
          <w:lang w:val="en-GB"/>
        </w:rPr>
        <w:t>households and n</w:t>
      </w:r>
      <w:r w:rsidRPr="00A665FE">
        <w:rPr>
          <w:rFonts w:ascii="Times New Roman" w:hAnsi="Times New Roman" w:cs="Times New Roman"/>
          <w:bCs/>
          <w:lang w:val="en-GB"/>
        </w:rPr>
        <w:t xml:space="preserve">on-profit institutions serving households. </w:t>
      </w:r>
      <w:r w:rsidRPr="00A665FE">
        <w:rPr>
          <w:rFonts w:ascii="Times New Roman" w:eastAsia="Times New Roman" w:hAnsi="Times New Roman" w:cs="Times New Roman"/>
          <w:lang w:val="en-GB"/>
        </w:rPr>
        <w:t>Loan balance reflects not only the private sector liabilities to credit institutions, but also loans from non-bank financial institutions.</w:t>
      </w:r>
    </w:p>
  </w:footnote>
  <w:footnote w:id="3">
    <w:p w:rsidR="001B483F" w:rsidRDefault="001B483F">
      <w:pPr>
        <w:pStyle w:val="FootnoteText"/>
      </w:pPr>
      <w:r>
        <w:rPr>
          <w:rStyle w:val="FootnoteReference"/>
        </w:rPr>
        <w:footnoteRef/>
      </w:r>
      <w:r>
        <w:t xml:space="preserve"> </w:t>
      </w:r>
      <w:proofErr w:type="gramStart"/>
      <w:r w:rsidRPr="00DB4EEC">
        <w:rPr>
          <w:rFonts w:ascii="Times New Roman" w:hAnsi="Times New Roman" w:cs="Times New Roman"/>
          <w:lang w:val="en-GB"/>
        </w:rPr>
        <w:t>Credi</w:t>
      </w:r>
      <w:r>
        <w:rPr>
          <w:rFonts w:ascii="Times New Roman" w:hAnsi="Times New Roman" w:cs="Times New Roman"/>
          <w:lang w:val="en-GB"/>
        </w:rPr>
        <w:t>t time series from Q4 1995 to Q4</w:t>
      </w:r>
      <w:r w:rsidRPr="00DB4EEC">
        <w:rPr>
          <w:rFonts w:ascii="Times New Roman" w:hAnsi="Times New Roman" w:cs="Times New Roman"/>
          <w:lang w:val="en-GB"/>
        </w:rPr>
        <w:t xml:space="preserve"> 2015</w:t>
      </w:r>
      <w:r>
        <w:rPr>
          <w:rFonts w:ascii="Times New Roman" w:hAnsi="Times New Roman" w:cs="Times New Roman"/>
          <w:lang w:val="en-GB"/>
        </w:rPr>
        <w:t>.</w:t>
      </w:r>
      <w:proofErr w:type="gramEnd"/>
    </w:p>
  </w:footnote>
  <w:footnote w:id="4">
    <w:p w:rsidR="001B483F" w:rsidRDefault="001B483F">
      <w:pPr>
        <w:pStyle w:val="FootnoteText"/>
      </w:pPr>
      <w:r>
        <w:rPr>
          <w:rStyle w:val="FootnoteReference"/>
        </w:rPr>
        <w:footnoteRef/>
      </w:r>
      <w:r>
        <w:t xml:space="preserve"> </w:t>
      </w:r>
      <w:proofErr w:type="gramStart"/>
      <w:r w:rsidRPr="00DB4EEC">
        <w:rPr>
          <w:rFonts w:ascii="Times New Roman" w:hAnsi="Times New Roman" w:cs="Times New Roman"/>
          <w:lang w:val="en-GB"/>
        </w:rPr>
        <w:t>Credit time series from Q</w:t>
      </w:r>
      <w:r>
        <w:rPr>
          <w:rFonts w:ascii="Times New Roman" w:hAnsi="Times New Roman" w:cs="Times New Roman"/>
          <w:lang w:val="en-GB"/>
        </w:rPr>
        <w:t>1 1999 to Q1 2016.</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D0"/>
    <w:rsid w:val="000E62B3"/>
    <w:rsid w:val="000F2711"/>
    <w:rsid w:val="00111738"/>
    <w:rsid w:val="00111C19"/>
    <w:rsid w:val="00163495"/>
    <w:rsid w:val="00163863"/>
    <w:rsid w:val="001B483F"/>
    <w:rsid w:val="001E028E"/>
    <w:rsid w:val="0021722A"/>
    <w:rsid w:val="00245363"/>
    <w:rsid w:val="002A077C"/>
    <w:rsid w:val="002C000E"/>
    <w:rsid w:val="002C5278"/>
    <w:rsid w:val="002D59BF"/>
    <w:rsid w:val="003055E3"/>
    <w:rsid w:val="00306C30"/>
    <w:rsid w:val="00337DBF"/>
    <w:rsid w:val="003A61A9"/>
    <w:rsid w:val="003C1E5C"/>
    <w:rsid w:val="003D089B"/>
    <w:rsid w:val="003F08DA"/>
    <w:rsid w:val="00432645"/>
    <w:rsid w:val="004372C8"/>
    <w:rsid w:val="0045045A"/>
    <w:rsid w:val="004769AB"/>
    <w:rsid w:val="00481401"/>
    <w:rsid w:val="00535BFD"/>
    <w:rsid w:val="005779D9"/>
    <w:rsid w:val="005B4F45"/>
    <w:rsid w:val="00665739"/>
    <w:rsid w:val="00680CDE"/>
    <w:rsid w:val="006C32B6"/>
    <w:rsid w:val="006E5A6E"/>
    <w:rsid w:val="007B6A05"/>
    <w:rsid w:val="00880E03"/>
    <w:rsid w:val="0088444C"/>
    <w:rsid w:val="00891B7B"/>
    <w:rsid w:val="00913EF0"/>
    <w:rsid w:val="00921E62"/>
    <w:rsid w:val="009842F4"/>
    <w:rsid w:val="009869FD"/>
    <w:rsid w:val="009933C4"/>
    <w:rsid w:val="009A771D"/>
    <w:rsid w:val="009D1A00"/>
    <w:rsid w:val="00A23B08"/>
    <w:rsid w:val="00A319A1"/>
    <w:rsid w:val="00A665FE"/>
    <w:rsid w:val="00A97CBD"/>
    <w:rsid w:val="00AA6A39"/>
    <w:rsid w:val="00AC6D1D"/>
    <w:rsid w:val="00B0298C"/>
    <w:rsid w:val="00B377D1"/>
    <w:rsid w:val="00B46E5E"/>
    <w:rsid w:val="00B47381"/>
    <w:rsid w:val="00B62323"/>
    <w:rsid w:val="00B72BB5"/>
    <w:rsid w:val="00B93D91"/>
    <w:rsid w:val="00BC4603"/>
    <w:rsid w:val="00C85938"/>
    <w:rsid w:val="00CD57EF"/>
    <w:rsid w:val="00CD622E"/>
    <w:rsid w:val="00D3375E"/>
    <w:rsid w:val="00D43EDF"/>
    <w:rsid w:val="00D6672C"/>
    <w:rsid w:val="00D93440"/>
    <w:rsid w:val="00DB0FA4"/>
    <w:rsid w:val="00E25A0C"/>
    <w:rsid w:val="00E6323F"/>
    <w:rsid w:val="00E9607A"/>
    <w:rsid w:val="00E97CA9"/>
    <w:rsid w:val="00EA1914"/>
    <w:rsid w:val="00EB3B0F"/>
    <w:rsid w:val="00EF1F4E"/>
    <w:rsid w:val="00F3600B"/>
    <w:rsid w:val="00F749BB"/>
    <w:rsid w:val="00F77FD0"/>
    <w:rsid w:val="00F963A5"/>
    <w:rsid w:val="00FB4204"/>
    <w:rsid w:val="00FD7DE1"/>
    <w:rsid w:val="00FE4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8CA92-1981-45E6-B9CB-E1035DBDB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3829</Words>
  <Characters>2184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dkalnina</dc:creator>
  <cp:lastModifiedBy>Jelena Zubkova</cp:lastModifiedBy>
  <cp:revision>4</cp:revision>
  <cp:lastPrinted>2015-10-22T07:44:00Z</cp:lastPrinted>
  <dcterms:created xsi:type="dcterms:W3CDTF">2016-07-26T07:30:00Z</dcterms:created>
  <dcterms:modified xsi:type="dcterms:W3CDTF">2016-07-26T07:31:00Z</dcterms:modified>
</cp:coreProperties>
</file>