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C57" w:rsidRPr="00E5297B" w:rsidRDefault="00121888" w:rsidP="007C062F">
      <w:pPr>
        <w:keepNext/>
        <w:keepLines/>
        <w:spacing w:before="120" w:after="0" w:line="240" w:lineRule="auto"/>
        <w:jc w:val="both"/>
        <w:outlineLvl w:val="0"/>
        <w:rPr>
          <w:rFonts w:ascii="Times New Roman" w:eastAsia="Times New Roman" w:hAnsi="Times New Roman" w:cs="Times New Roman"/>
          <w:b/>
          <w:bCs/>
          <w:kern w:val="28"/>
          <w:lang w:val="en-GB"/>
        </w:rPr>
      </w:pPr>
      <w:bookmarkStart w:id="0" w:name="_Toc403946511"/>
      <w:r w:rsidRPr="00E5297B">
        <w:rPr>
          <w:rFonts w:ascii="Times New Roman" w:eastAsia="Times New Roman" w:hAnsi="Times New Roman" w:cs="Times New Roman"/>
          <w:b/>
          <w:bCs/>
          <w:kern w:val="28"/>
          <w:lang w:val="en-GB"/>
        </w:rPr>
        <w:t>J</w:t>
      </w:r>
      <w:r w:rsidR="00EE1D72" w:rsidRPr="00E5297B">
        <w:rPr>
          <w:rFonts w:ascii="Times New Roman" w:eastAsia="Times New Roman" w:hAnsi="Times New Roman" w:cs="Times New Roman"/>
          <w:b/>
          <w:bCs/>
          <w:kern w:val="28"/>
          <w:lang w:val="en-GB"/>
        </w:rPr>
        <w:t xml:space="preserve">ustification for the </w:t>
      </w:r>
      <w:r w:rsidRPr="00E5297B">
        <w:rPr>
          <w:rFonts w:ascii="Times New Roman" w:eastAsia="Times New Roman" w:hAnsi="Times New Roman" w:cs="Times New Roman"/>
          <w:b/>
          <w:bCs/>
          <w:kern w:val="28"/>
          <w:lang w:val="en-GB"/>
        </w:rPr>
        <w:t>09.05</w:t>
      </w:r>
      <w:r w:rsidR="003C0C57" w:rsidRPr="00E5297B">
        <w:rPr>
          <w:rFonts w:ascii="Times New Roman" w:eastAsia="Times New Roman" w:hAnsi="Times New Roman" w:cs="Times New Roman"/>
          <w:b/>
          <w:bCs/>
          <w:kern w:val="28"/>
          <w:lang w:val="en-GB"/>
        </w:rPr>
        <w:t>.2017</w:t>
      </w:r>
      <w:r w:rsidR="00EE1D72" w:rsidRPr="00E5297B">
        <w:rPr>
          <w:rFonts w:ascii="Times New Roman" w:eastAsia="Times New Roman" w:hAnsi="Times New Roman" w:cs="Times New Roman"/>
          <w:b/>
          <w:bCs/>
          <w:kern w:val="28"/>
          <w:lang w:val="en-GB"/>
        </w:rPr>
        <w:t xml:space="preserve"> decision </w:t>
      </w:r>
      <w:r w:rsidR="00765BB3" w:rsidRPr="00E5297B">
        <w:rPr>
          <w:rFonts w:ascii="Times New Roman" w:eastAsia="Times New Roman" w:hAnsi="Times New Roman" w:cs="Times New Roman"/>
          <w:b/>
          <w:bCs/>
          <w:kern w:val="28"/>
          <w:lang w:val="en-GB"/>
        </w:rPr>
        <w:t>by</w:t>
      </w:r>
      <w:r w:rsidR="00EE1D72" w:rsidRPr="00E5297B">
        <w:rPr>
          <w:rFonts w:ascii="Times New Roman" w:eastAsia="Times New Roman" w:hAnsi="Times New Roman" w:cs="Times New Roman"/>
          <w:b/>
          <w:bCs/>
          <w:kern w:val="28"/>
          <w:lang w:val="en-GB"/>
        </w:rPr>
        <w:t xml:space="preserve"> </w:t>
      </w:r>
      <w:r w:rsidR="00765BB3" w:rsidRPr="00E5297B">
        <w:rPr>
          <w:rFonts w:ascii="Times New Roman" w:eastAsia="Times New Roman" w:hAnsi="Times New Roman" w:cs="Times New Roman"/>
          <w:b/>
          <w:bCs/>
          <w:kern w:val="28"/>
          <w:lang w:val="en-GB"/>
        </w:rPr>
        <w:t xml:space="preserve">the FCMC Board on </w:t>
      </w:r>
      <w:r w:rsidR="00765BB3" w:rsidRPr="00E5297B">
        <w:rPr>
          <w:rStyle w:val="Strong"/>
          <w:rFonts w:ascii="Times New Roman" w:hAnsi="Times New Roman"/>
          <w:lang w:val="en-GB"/>
        </w:rPr>
        <w:t>countercyclical capital buffer </w:t>
      </w:r>
      <w:r w:rsidR="006B3F2B" w:rsidRPr="00E5297B">
        <w:rPr>
          <w:rStyle w:val="Strong"/>
          <w:rFonts w:ascii="Times New Roman" w:hAnsi="Times New Roman"/>
          <w:lang w:val="en-GB"/>
        </w:rPr>
        <w:t>(</w:t>
      </w:r>
      <w:proofErr w:type="spellStart"/>
      <w:r w:rsidR="006B3F2B" w:rsidRPr="00E5297B">
        <w:rPr>
          <w:rStyle w:val="Strong"/>
          <w:rFonts w:ascii="Times New Roman" w:hAnsi="Times New Roman"/>
          <w:lang w:val="en-GB"/>
        </w:rPr>
        <w:t>CCyB</w:t>
      </w:r>
      <w:proofErr w:type="spellEnd"/>
      <w:r w:rsidR="006B3F2B" w:rsidRPr="00E5297B">
        <w:rPr>
          <w:rStyle w:val="Strong"/>
          <w:rFonts w:ascii="Times New Roman" w:hAnsi="Times New Roman"/>
          <w:lang w:val="en-GB"/>
        </w:rPr>
        <w:t xml:space="preserve">) </w:t>
      </w:r>
      <w:r w:rsidR="00765BB3" w:rsidRPr="00E5297B">
        <w:rPr>
          <w:rStyle w:val="Strong"/>
          <w:rFonts w:ascii="Times New Roman" w:hAnsi="Times New Roman"/>
          <w:lang w:val="en-GB"/>
        </w:rPr>
        <w:t xml:space="preserve">for exposures to residents of </w:t>
      </w:r>
      <w:r w:rsidR="00765BB3" w:rsidRPr="00E5297B">
        <w:rPr>
          <w:rFonts w:ascii="Times New Roman" w:eastAsia="Times New Roman" w:hAnsi="Times New Roman" w:cs="Times New Roman"/>
          <w:b/>
          <w:bCs/>
          <w:kern w:val="28"/>
          <w:lang w:val="en-GB"/>
        </w:rPr>
        <w:t>Latvi</w:t>
      </w:r>
      <w:r w:rsidR="003C0C57" w:rsidRPr="00E5297B">
        <w:rPr>
          <w:rFonts w:ascii="Times New Roman" w:eastAsia="Times New Roman" w:hAnsi="Times New Roman" w:cs="Times New Roman"/>
          <w:b/>
          <w:bCs/>
          <w:kern w:val="28"/>
          <w:lang w:val="en-GB"/>
        </w:rPr>
        <w:t>a</w:t>
      </w:r>
    </w:p>
    <w:p w:rsidR="00480EAD" w:rsidRPr="00E5297B" w:rsidRDefault="00E5297B" w:rsidP="007C062F">
      <w:pPr>
        <w:keepNext/>
        <w:keepLines/>
        <w:spacing w:before="120" w:after="0" w:line="240" w:lineRule="auto"/>
        <w:jc w:val="both"/>
        <w:outlineLvl w:val="0"/>
        <w:rPr>
          <w:rFonts w:ascii="Times New Roman" w:eastAsia="Times New Roman" w:hAnsi="Times New Roman" w:cs="Times New Roman"/>
          <w:b/>
          <w:kern w:val="28"/>
          <w:lang w:val="en-GB"/>
        </w:rPr>
      </w:pPr>
      <w:r w:rsidRPr="00E5297B">
        <w:rPr>
          <w:rFonts w:ascii="Times New Roman" w:eastAsia="Times New Roman" w:hAnsi="Times New Roman" w:cs="Times New Roman"/>
          <w:b/>
          <w:kern w:val="28"/>
          <w:lang w:val="en-GB"/>
        </w:rPr>
        <w:t xml:space="preserve">The FCMC sets the </w:t>
      </w:r>
      <w:proofErr w:type="spellStart"/>
      <w:r w:rsidRPr="00E5297B">
        <w:rPr>
          <w:rFonts w:ascii="Times New Roman" w:eastAsia="Times New Roman" w:hAnsi="Times New Roman" w:cs="Times New Roman"/>
          <w:b/>
          <w:kern w:val="28"/>
          <w:lang w:val="en-GB"/>
        </w:rPr>
        <w:t>CCyB</w:t>
      </w:r>
      <w:proofErr w:type="spellEnd"/>
      <w:r w:rsidRPr="00E5297B">
        <w:rPr>
          <w:rFonts w:ascii="Times New Roman" w:eastAsia="Times New Roman" w:hAnsi="Times New Roman" w:cs="Times New Roman"/>
          <w:b/>
          <w:kern w:val="28"/>
          <w:lang w:val="en-GB"/>
        </w:rPr>
        <w:t xml:space="preserve"> rate at 0%.  The established </w:t>
      </w:r>
      <w:proofErr w:type="spellStart"/>
      <w:r w:rsidRPr="00E5297B">
        <w:rPr>
          <w:rFonts w:ascii="Times New Roman" w:eastAsia="Times New Roman" w:hAnsi="Times New Roman" w:cs="Times New Roman"/>
          <w:b/>
          <w:kern w:val="28"/>
          <w:lang w:val="en-GB"/>
        </w:rPr>
        <w:t>CCyB</w:t>
      </w:r>
      <w:proofErr w:type="spellEnd"/>
      <w:r w:rsidRPr="00E5297B">
        <w:rPr>
          <w:rFonts w:ascii="Times New Roman" w:eastAsia="Times New Roman" w:hAnsi="Times New Roman" w:cs="Times New Roman"/>
          <w:b/>
          <w:kern w:val="28"/>
          <w:lang w:val="en-GB"/>
        </w:rPr>
        <w:t xml:space="preserve"> rate will be used to calculate the credit institution-specific countercyclical capital buffer rate </w:t>
      </w:r>
      <w:r w:rsidRPr="00E5297B">
        <w:rPr>
          <w:rFonts w:ascii="Times New Roman" w:eastAsia="Times New Roman" w:hAnsi="Times New Roman" w:cs="Times New Roman"/>
          <w:b/>
          <w:bCs/>
          <w:kern w:val="28"/>
          <w:lang w:val="en-GB"/>
        </w:rPr>
        <w:t>from</w:t>
      </w:r>
      <w:r w:rsidRPr="00E5297B">
        <w:rPr>
          <w:rFonts w:ascii="Times New Roman" w:eastAsia="Times New Roman" w:hAnsi="Times New Roman" w:cs="Times New Roman"/>
          <w:b/>
          <w:kern w:val="28"/>
          <w:lang w:val="en-GB"/>
        </w:rPr>
        <w:t xml:space="preserve"> 1 May </w:t>
      </w:r>
      <w:r w:rsidRPr="00E5297B">
        <w:rPr>
          <w:rFonts w:ascii="Times New Roman" w:eastAsia="Times New Roman" w:hAnsi="Times New Roman" w:cs="Times New Roman"/>
          <w:b/>
          <w:bCs/>
          <w:kern w:val="28"/>
          <w:lang w:val="en-GB"/>
        </w:rPr>
        <w:t>2018.</w:t>
      </w:r>
    </w:p>
    <w:p w:rsidR="002577CC" w:rsidRPr="00E5297B" w:rsidRDefault="002577CC" w:rsidP="002577CC">
      <w:pPr>
        <w:keepNext/>
        <w:keepLines/>
        <w:spacing w:before="120" w:after="0" w:line="240" w:lineRule="auto"/>
        <w:jc w:val="both"/>
        <w:outlineLvl w:val="0"/>
        <w:rPr>
          <w:rFonts w:ascii="Times New Roman" w:eastAsia="Times New Roman" w:hAnsi="Times New Roman" w:cs="Times New Roman"/>
          <w:kern w:val="28"/>
          <w:lang w:val="en-GB"/>
        </w:rPr>
      </w:pPr>
      <w:r w:rsidRPr="00E5297B">
        <w:rPr>
          <w:rFonts w:ascii="Times New Roman" w:eastAsia="Times New Roman" w:hAnsi="Times New Roman" w:cs="Times New Roman"/>
          <w:kern w:val="28"/>
          <w:lang w:val="en-GB"/>
        </w:rPr>
        <w:t xml:space="preserve">Since the beginning of 2016 a credit growth has started to pick up again after a break of several years. </w:t>
      </w:r>
      <w:r w:rsidRPr="00E5297B">
        <w:rPr>
          <w:rFonts w:ascii="Times New Roman" w:eastAsia="Times New Roman" w:hAnsi="Times New Roman" w:cs="Times New Roman"/>
          <w:bCs/>
          <w:kern w:val="28"/>
          <w:lang w:val="en-GB"/>
        </w:rPr>
        <w:t xml:space="preserve">Though the loan portfolio to households still has been declining, the pace of decline has slowed down substantially. As to non-financial corporations, their loan portfolio is already higher compared to its level a year ago. Overall, by the end of 2016 the banking sector credit portfolio to the private non-financial sector already posted a slight increase </w:t>
      </w:r>
      <w:r w:rsidRPr="00E5297B">
        <w:rPr>
          <w:rFonts w:ascii="Times New Roman" w:eastAsia="Times New Roman" w:hAnsi="Times New Roman" w:cs="Times New Roman"/>
          <w:kern w:val="28"/>
          <w:lang w:val="en-GB"/>
        </w:rPr>
        <w:t xml:space="preserve">(0.5%) </w:t>
      </w:r>
      <w:r w:rsidRPr="00E5297B">
        <w:rPr>
          <w:rFonts w:ascii="Times New Roman" w:eastAsia="Times New Roman" w:hAnsi="Times New Roman" w:cs="Times New Roman"/>
          <w:bCs/>
          <w:kern w:val="28"/>
          <w:lang w:val="en-GB"/>
        </w:rPr>
        <w:t>compared to the end of 2015. A number of factors</w:t>
      </w:r>
      <w:r w:rsidRPr="00E5297B">
        <w:rPr>
          <w:rFonts w:ascii="Times New Roman" w:eastAsia="Times New Roman" w:hAnsi="Times New Roman" w:cs="Times New Roman"/>
          <w:kern w:val="28"/>
          <w:lang w:val="en-GB"/>
        </w:rPr>
        <w:t xml:space="preserve">, including an </w:t>
      </w:r>
      <w:r w:rsidRPr="00E5297B">
        <w:rPr>
          <w:rFonts w:ascii="Times New Roman" w:eastAsia="Times New Roman" w:hAnsi="Times New Roman" w:cs="Times New Roman"/>
          <w:bCs/>
          <w:kern w:val="28"/>
          <w:lang w:val="en-GB"/>
        </w:rPr>
        <w:t>increase in real estate prices</w:t>
      </w:r>
      <w:r w:rsidRPr="00E5297B">
        <w:rPr>
          <w:rFonts w:ascii="Times New Roman" w:eastAsia="Times New Roman" w:hAnsi="Times New Roman" w:cs="Times New Roman"/>
          <w:kern w:val="28"/>
          <w:lang w:val="en-GB"/>
        </w:rPr>
        <w:t>, the state support for the programme for mortgage loan guarantees for families with children, low interest rate</w:t>
      </w:r>
      <w:r w:rsidR="008170D1">
        <w:rPr>
          <w:rFonts w:ascii="Times New Roman" w:eastAsia="Times New Roman" w:hAnsi="Times New Roman" w:cs="Times New Roman"/>
          <w:kern w:val="28"/>
          <w:lang w:val="en-GB"/>
        </w:rPr>
        <w:t>s</w:t>
      </w:r>
      <w:r w:rsidRPr="00E5297B">
        <w:rPr>
          <w:rFonts w:ascii="Times New Roman" w:eastAsia="Times New Roman" w:hAnsi="Times New Roman" w:cs="Times New Roman"/>
          <w:kern w:val="28"/>
          <w:lang w:val="en-GB"/>
        </w:rPr>
        <w:t>, more active EU funds inflow will have a positive impact on lending dynamics in 2017. The banks themselves are also optimistic regarding an expansion of resident lending.</w:t>
      </w:r>
      <w:r w:rsidRPr="00E5297B">
        <w:rPr>
          <w:rFonts w:ascii="Times New Roman" w:eastAsia="Times New Roman" w:hAnsi="Times New Roman" w:cs="Times New Roman"/>
          <w:kern w:val="28"/>
          <w:vertAlign w:val="superscript"/>
          <w:lang w:val="en-GB"/>
        </w:rPr>
        <w:footnoteReference w:id="1"/>
      </w:r>
      <w:r w:rsidRPr="00E5297B">
        <w:rPr>
          <w:rFonts w:ascii="Times New Roman" w:eastAsia="Times New Roman" w:hAnsi="Times New Roman" w:cs="Times New Roman"/>
          <w:kern w:val="28"/>
          <w:lang w:val="en-GB"/>
        </w:rPr>
        <w:t xml:space="preserve"> </w:t>
      </w:r>
    </w:p>
    <w:p w:rsidR="00755306" w:rsidRPr="00E5297B" w:rsidRDefault="00D828D8" w:rsidP="00755306">
      <w:pPr>
        <w:keepNext/>
        <w:keepLines/>
        <w:spacing w:before="120" w:after="0" w:line="240" w:lineRule="auto"/>
        <w:jc w:val="both"/>
        <w:outlineLvl w:val="0"/>
        <w:rPr>
          <w:rFonts w:ascii="Times New Roman" w:eastAsia="Times New Roman" w:hAnsi="Times New Roman" w:cs="Times New Roman"/>
          <w:kern w:val="28"/>
          <w:lang w:val="en-GB"/>
        </w:rPr>
      </w:pPr>
      <w:r w:rsidRPr="00E5297B">
        <w:rPr>
          <w:rFonts w:ascii="Times New Roman" w:eastAsia="Times New Roman" w:hAnsi="Times New Roman" w:cs="Times New Roman"/>
          <w:kern w:val="28"/>
          <w:lang w:val="en-GB"/>
        </w:rPr>
        <w:t xml:space="preserve">A decline in </w:t>
      </w:r>
      <w:r w:rsidR="00F4571C" w:rsidRPr="00E5297B">
        <w:rPr>
          <w:rFonts w:ascii="Times New Roman" w:eastAsia="Times New Roman" w:hAnsi="Times New Roman" w:cs="Times New Roman"/>
          <w:kern w:val="28"/>
          <w:lang w:val="en-GB"/>
        </w:rPr>
        <w:t>credit-to-GDP</w:t>
      </w:r>
      <w:r w:rsidRPr="00E5297B">
        <w:rPr>
          <w:rFonts w:ascii="Times New Roman" w:eastAsia="Times New Roman" w:hAnsi="Times New Roman" w:cs="Times New Roman"/>
          <w:kern w:val="28"/>
          <w:lang w:val="en-GB"/>
        </w:rPr>
        <w:t xml:space="preserve"> ratio that had been observed since the end of </w:t>
      </w:r>
      <w:r w:rsidR="00755306" w:rsidRPr="00E5297B">
        <w:rPr>
          <w:rFonts w:ascii="Times New Roman" w:eastAsia="Times New Roman" w:hAnsi="Times New Roman" w:cs="Times New Roman"/>
          <w:kern w:val="28"/>
          <w:lang w:val="en-GB"/>
        </w:rPr>
        <w:t>2010</w:t>
      </w:r>
      <w:r w:rsidRPr="00E5297B">
        <w:rPr>
          <w:rFonts w:ascii="Times New Roman" w:eastAsia="Times New Roman" w:hAnsi="Times New Roman" w:cs="Times New Roman"/>
          <w:kern w:val="28"/>
          <w:lang w:val="en-GB"/>
        </w:rPr>
        <w:t xml:space="preserve"> has come to a halt in </w:t>
      </w:r>
      <w:r w:rsidR="00755306" w:rsidRPr="00E5297B">
        <w:rPr>
          <w:rFonts w:ascii="Times New Roman" w:eastAsia="Times New Roman" w:hAnsi="Times New Roman" w:cs="Times New Roman"/>
          <w:kern w:val="28"/>
          <w:lang w:val="en-GB"/>
        </w:rPr>
        <w:t xml:space="preserve">2016. </w:t>
      </w:r>
      <w:r w:rsidRPr="00E5297B">
        <w:rPr>
          <w:rFonts w:ascii="Times New Roman" w:eastAsia="Times New Roman" w:hAnsi="Times New Roman" w:cs="Times New Roman"/>
          <w:kern w:val="28"/>
          <w:lang w:val="en-GB"/>
        </w:rPr>
        <w:t xml:space="preserve">A deviation of this ratio from a long-term trend </w:t>
      </w:r>
      <w:r w:rsidR="00555708" w:rsidRPr="00E5297B">
        <w:rPr>
          <w:rFonts w:ascii="Times New Roman" w:eastAsia="Times New Roman" w:hAnsi="Times New Roman" w:cs="Times New Roman"/>
          <w:kern w:val="28"/>
          <w:lang w:val="en-GB"/>
        </w:rPr>
        <w:t>still remain</w:t>
      </w:r>
      <w:r w:rsidR="002D61CC" w:rsidRPr="00E5297B">
        <w:rPr>
          <w:rFonts w:ascii="Times New Roman" w:eastAsia="Times New Roman" w:hAnsi="Times New Roman" w:cs="Times New Roman"/>
          <w:kern w:val="28"/>
          <w:lang w:val="en-GB"/>
        </w:rPr>
        <w:t>s clearly negative though it narrows gradually</w:t>
      </w:r>
      <w:r w:rsidR="00755306" w:rsidRPr="00E5297B">
        <w:rPr>
          <w:rFonts w:ascii="Times New Roman" w:eastAsia="Times New Roman" w:hAnsi="Times New Roman" w:cs="Times New Roman"/>
          <w:kern w:val="28"/>
          <w:lang w:val="en-GB"/>
        </w:rPr>
        <w:t>.</w:t>
      </w:r>
    </w:p>
    <w:p w:rsidR="00CA2374" w:rsidRPr="00E5297B" w:rsidRDefault="00192919" w:rsidP="00CA2374">
      <w:pPr>
        <w:keepNext/>
        <w:keepLines/>
        <w:spacing w:before="120" w:after="0" w:line="240" w:lineRule="auto"/>
        <w:jc w:val="both"/>
        <w:outlineLvl w:val="0"/>
        <w:rPr>
          <w:rFonts w:ascii="Times New Roman" w:eastAsia="Times New Roman" w:hAnsi="Times New Roman" w:cs="Times New Roman"/>
          <w:kern w:val="28"/>
          <w:lang w:val="en-GB"/>
        </w:rPr>
      </w:pPr>
      <w:r w:rsidRPr="00E5297B">
        <w:rPr>
          <w:rFonts w:ascii="Times New Roman" w:eastAsia="Times New Roman" w:hAnsi="Times New Roman" w:cs="Times New Roman"/>
          <w:kern w:val="28"/>
          <w:lang w:val="en-GB"/>
        </w:rPr>
        <w:t>According to the "broad credit</w:t>
      </w:r>
      <w:r w:rsidR="00640A5B" w:rsidRPr="00E5297B">
        <w:rPr>
          <w:rFonts w:ascii="Times New Roman" w:eastAsia="Times New Roman" w:hAnsi="Times New Roman" w:cs="Times New Roman"/>
          <w:kern w:val="28"/>
          <w:lang w:val="en-GB"/>
        </w:rPr>
        <w:t>"</w:t>
      </w:r>
      <w:r w:rsidRPr="00E5297B">
        <w:rPr>
          <w:rFonts w:ascii="Times New Roman" w:eastAsia="Times New Roman" w:hAnsi="Times New Roman" w:cs="Times New Roman"/>
          <w:kern w:val="28"/>
          <w:lang w:val="en-GB"/>
        </w:rPr>
        <w:t xml:space="preserve"> definition</w:t>
      </w:r>
      <w:r w:rsidR="00CA2374" w:rsidRPr="00E5297B">
        <w:rPr>
          <w:rFonts w:ascii="Times New Roman" w:eastAsia="Times New Roman" w:hAnsi="Times New Roman" w:cs="Times New Roman"/>
          <w:kern w:val="28"/>
          <w:lang w:val="en-GB"/>
        </w:rPr>
        <w:t xml:space="preserve">, </w:t>
      </w:r>
      <w:r w:rsidR="0006360F" w:rsidRPr="00E5297B">
        <w:rPr>
          <w:rFonts w:ascii="Times New Roman" w:eastAsia="Times New Roman" w:hAnsi="Times New Roman" w:cs="Times New Roman"/>
          <w:kern w:val="28"/>
          <w:lang w:val="en-GB"/>
        </w:rPr>
        <w:t xml:space="preserve">the </w:t>
      </w:r>
      <w:r w:rsidRPr="00E5297B">
        <w:rPr>
          <w:rFonts w:ascii="Times New Roman" w:eastAsia="Times New Roman" w:hAnsi="Times New Roman" w:cs="Times New Roman"/>
          <w:kern w:val="28"/>
          <w:lang w:val="en-GB"/>
        </w:rPr>
        <w:t xml:space="preserve">credit-to-GDP ratio was </w:t>
      </w:r>
      <w:r w:rsidR="00932616" w:rsidRPr="00E5297B">
        <w:rPr>
          <w:rFonts w:ascii="Times New Roman" w:eastAsia="Times New Roman" w:hAnsi="Times New Roman" w:cs="Times New Roman"/>
          <w:kern w:val="28"/>
          <w:lang w:val="en-GB"/>
        </w:rPr>
        <w:t>99</w:t>
      </w:r>
      <w:r w:rsidR="00CA2374" w:rsidRPr="00E5297B">
        <w:rPr>
          <w:rFonts w:ascii="Times New Roman" w:eastAsia="Times New Roman" w:hAnsi="Times New Roman" w:cs="Times New Roman"/>
          <w:kern w:val="28"/>
          <w:lang w:val="en-GB"/>
        </w:rPr>
        <w:t>%</w:t>
      </w:r>
      <w:r w:rsidRPr="00E5297B">
        <w:rPr>
          <w:rFonts w:ascii="Times New Roman" w:eastAsia="Times New Roman" w:hAnsi="Times New Roman" w:cs="Times New Roman"/>
          <w:kern w:val="28"/>
          <w:lang w:val="en-GB"/>
        </w:rPr>
        <w:t xml:space="preserve"> in Q3 2016</w:t>
      </w:r>
      <w:r w:rsidR="00CA2374" w:rsidRPr="00E5297B">
        <w:rPr>
          <w:rFonts w:ascii="Times New Roman" w:eastAsia="Times New Roman" w:hAnsi="Times New Roman" w:cs="Times New Roman"/>
          <w:kern w:val="28"/>
          <w:lang w:val="en-GB"/>
        </w:rPr>
        <w:t xml:space="preserve">, </w:t>
      </w:r>
      <w:r w:rsidR="00920DFF" w:rsidRPr="00E5297B">
        <w:rPr>
          <w:rFonts w:ascii="Times New Roman" w:eastAsia="Times New Roman" w:hAnsi="Times New Roman" w:cs="Times New Roman"/>
          <w:kern w:val="28"/>
          <w:lang w:val="en-GB"/>
        </w:rPr>
        <w:t xml:space="preserve">while </w:t>
      </w:r>
      <w:r w:rsidR="00F46EF0" w:rsidRPr="00E5297B">
        <w:rPr>
          <w:rFonts w:ascii="Times New Roman" w:eastAsia="Times New Roman" w:hAnsi="Times New Roman" w:cs="Times New Roman"/>
          <w:kern w:val="28"/>
          <w:lang w:val="en-GB"/>
        </w:rPr>
        <w:t xml:space="preserve">the </w:t>
      </w:r>
      <w:r w:rsidR="00920DFF" w:rsidRPr="00E5297B">
        <w:rPr>
          <w:rFonts w:ascii="Times New Roman" w:eastAsia="Times New Roman" w:hAnsi="Times New Roman" w:cs="Times New Roman"/>
          <w:kern w:val="28"/>
          <w:lang w:val="en-GB"/>
        </w:rPr>
        <w:t>standardi</w:t>
      </w:r>
      <w:r w:rsidR="00F46EF0" w:rsidRPr="00E5297B">
        <w:rPr>
          <w:rFonts w:ascii="Times New Roman" w:eastAsia="Times New Roman" w:hAnsi="Times New Roman" w:cs="Times New Roman"/>
          <w:kern w:val="28"/>
          <w:lang w:val="en-GB"/>
        </w:rPr>
        <w:t>s</w:t>
      </w:r>
      <w:r w:rsidR="00920DFF" w:rsidRPr="00E5297B">
        <w:rPr>
          <w:rFonts w:ascii="Times New Roman" w:eastAsia="Times New Roman" w:hAnsi="Times New Roman" w:cs="Times New Roman"/>
          <w:kern w:val="28"/>
          <w:lang w:val="en-GB"/>
        </w:rPr>
        <w:t xml:space="preserve">ed </w:t>
      </w:r>
      <w:r w:rsidR="00C65FE3" w:rsidRPr="00E5297B">
        <w:rPr>
          <w:rFonts w:ascii="Times New Roman" w:eastAsia="Times New Roman" w:hAnsi="Times New Roman" w:cs="Times New Roman"/>
          <w:kern w:val="28"/>
          <w:lang w:val="en-GB"/>
        </w:rPr>
        <w:t>gap</w:t>
      </w:r>
      <w:r w:rsidR="00920DFF" w:rsidRPr="00E5297B">
        <w:rPr>
          <w:rFonts w:ascii="Times New Roman" w:eastAsia="Times New Roman" w:hAnsi="Times New Roman" w:cs="Times New Roman"/>
          <w:kern w:val="28"/>
          <w:lang w:val="en-GB"/>
        </w:rPr>
        <w:t xml:space="preserve"> was </w:t>
      </w:r>
      <w:r w:rsidR="00CA2374" w:rsidRPr="00E5297B">
        <w:rPr>
          <w:rFonts w:ascii="Times New Roman" w:eastAsia="Times New Roman" w:hAnsi="Times New Roman" w:cs="Times New Roman"/>
          <w:kern w:val="28"/>
          <w:lang w:val="en-GB"/>
        </w:rPr>
        <w:t>-3</w:t>
      </w:r>
      <w:r w:rsidR="00932616" w:rsidRPr="00E5297B">
        <w:rPr>
          <w:rFonts w:ascii="Times New Roman" w:eastAsia="Times New Roman" w:hAnsi="Times New Roman" w:cs="Times New Roman"/>
          <w:kern w:val="28"/>
          <w:lang w:val="en-GB"/>
        </w:rPr>
        <w:t>8</w:t>
      </w:r>
      <w:r w:rsidR="00CA2374" w:rsidRPr="00E5297B">
        <w:rPr>
          <w:rFonts w:ascii="Times New Roman" w:eastAsia="Times New Roman" w:hAnsi="Times New Roman" w:cs="Times New Roman"/>
          <w:kern w:val="28"/>
          <w:lang w:val="en-GB"/>
        </w:rPr>
        <w:t>%.</w:t>
      </w:r>
      <w:r w:rsidR="00CA2374" w:rsidRPr="00E5297B">
        <w:rPr>
          <w:rFonts w:ascii="Times New Roman" w:eastAsia="Times New Roman" w:hAnsi="Times New Roman" w:cs="Times New Roman"/>
          <w:kern w:val="28"/>
          <w:vertAlign w:val="superscript"/>
          <w:lang w:val="en-GB"/>
        </w:rPr>
        <w:footnoteReference w:id="2"/>
      </w:r>
      <w:r w:rsidR="00CA2374" w:rsidRPr="00E5297B">
        <w:rPr>
          <w:rFonts w:ascii="Times New Roman" w:eastAsia="Times New Roman" w:hAnsi="Times New Roman" w:cs="Times New Roman"/>
          <w:kern w:val="28"/>
          <w:lang w:val="en-GB"/>
        </w:rPr>
        <w:t> </w:t>
      </w:r>
      <w:r w:rsidR="0006360F" w:rsidRPr="00E5297B">
        <w:rPr>
          <w:rFonts w:ascii="Times New Roman" w:eastAsia="Times New Roman" w:hAnsi="Times New Roman" w:cs="Times New Roman"/>
          <w:kern w:val="28"/>
          <w:lang w:val="en-GB"/>
        </w:rPr>
        <w:t>I</w:t>
      </w:r>
      <w:r w:rsidR="00C464D6" w:rsidRPr="00E5297B">
        <w:rPr>
          <w:rFonts w:ascii="Times New Roman" w:eastAsia="Times New Roman" w:hAnsi="Times New Roman" w:cs="Times New Roman"/>
          <w:kern w:val="28"/>
          <w:lang w:val="en-GB"/>
        </w:rPr>
        <w:t>f</w:t>
      </w:r>
      <w:r w:rsidR="0006360F" w:rsidRPr="00E5297B">
        <w:rPr>
          <w:rFonts w:ascii="Times New Roman" w:eastAsia="Times New Roman" w:hAnsi="Times New Roman" w:cs="Times New Roman"/>
          <w:kern w:val="28"/>
          <w:lang w:val="en-GB"/>
        </w:rPr>
        <w:t xml:space="preserve"> the credit-to-GDP </w:t>
      </w:r>
      <w:r w:rsidR="008170D1">
        <w:rPr>
          <w:rFonts w:ascii="Times New Roman" w:eastAsia="Times New Roman" w:hAnsi="Times New Roman" w:cs="Times New Roman"/>
          <w:kern w:val="28"/>
          <w:lang w:val="en-GB"/>
        </w:rPr>
        <w:t>ratio</w:t>
      </w:r>
      <w:r w:rsidR="0006360F" w:rsidRPr="00E5297B">
        <w:rPr>
          <w:rFonts w:ascii="Times New Roman" w:eastAsia="Times New Roman" w:hAnsi="Times New Roman" w:cs="Times New Roman"/>
          <w:kern w:val="28"/>
          <w:lang w:val="en-GB"/>
        </w:rPr>
        <w:t xml:space="preserve"> exceeds a long-term trend by </w:t>
      </w:r>
      <w:r w:rsidR="00CA2374" w:rsidRPr="00E5297B">
        <w:rPr>
          <w:rFonts w:ascii="Times New Roman" w:eastAsia="Times New Roman" w:hAnsi="Times New Roman" w:cs="Times New Roman"/>
          <w:kern w:val="28"/>
          <w:lang w:val="en-GB"/>
        </w:rPr>
        <w:t>2 p</w:t>
      </w:r>
      <w:r w:rsidR="0006360F" w:rsidRPr="00E5297B">
        <w:rPr>
          <w:rFonts w:ascii="Times New Roman" w:eastAsia="Times New Roman" w:hAnsi="Times New Roman" w:cs="Times New Roman"/>
          <w:kern w:val="28"/>
          <w:lang w:val="en-GB"/>
        </w:rPr>
        <w:t>e</w:t>
      </w:r>
      <w:r w:rsidR="00CA2374" w:rsidRPr="00E5297B">
        <w:rPr>
          <w:rFonts w:ascii="Times New Roman" w:eastAsia="Times New Roman" w:hAnsi="Times New Roman" w:cs="Times New Roman"/>
          <w:kern w:val="28"/>
          <w:lang w:val="en-GB"/>
        </w:rPr>
        <w:t>rcent</w:t>
      </w:r>
      <w:r w:rsidR="0006360F" w:rsidRPr="00E5297B">
        <w:rPr>
          <w:rFonts w:ascii="Times New Roman" w:eastAsia="Times New Roman" w:hAnsi="Times New Roman" w:cs="Times New Roman"/>
          <w:kern w:val="28"/>
          <w:lang w:val="en-GB"/>
        </w:rPr>
        <w:t>age points</w:t>
      </w:r>
      <w:r w:rsidR="00CA2374" w:rsidRPr="00E5297B">
        <w:rPr>
          <w:rFonts w:ascii="Times New Roman" w:eastAsia="Times New Roman" w:hAnsi="Times New Roman" w:cs="Times New Roman"/>
          <w:kern w:val="28"/>
          <w:lang w:val="en-GB"/>
        </w:rPr>
        <w:t xml:space="preserve">, </w:t>
      </w:r>
      <w:r w:rsidR="0006360F" w:rsidRPr="00E5297B">
        <w:rPr>
          <w:rFonts w:ascii="Times New Roman" w:eastAsia="Times New Roman" w:hAnsi="Times New Roman" w:cs="Times New Roman"/>
          <w:kern w:val="28"/>
          <w:lang w:val="en-GB"/>
        </w:rPr>
        <w:t>the</w:t>
      </w:r>
      <w:r w:rsidR="00CA2374" w:rsidRPr="00E5297B">
        <w:rPr>
          <w:rFonts w:ascii="Times New Roman" w:eastAsia="Times New Roman" w:hAnsi="Times New Roman" w:cs="Times New Roman"/>
          <w:kern w:val="28"/>
          <w:lang w:val="en-GB"/>
        </w:rPr>
        <w:t xml:space="preserve"> </w:t>
      </w:r>
      <w:r w:rsidR="00F4571C" w:rsidRPr="00E5297B">
        <w:rPr>
          <w:rFonts w:ascii="Times New Roman" w:eastAsia="Times New Roman" w:hAnsi="Times New Roman" w:cs="Times New Roman"/>
          <w:kern w:val="28"/>
          <w:lang w:val="en-GB"/>
        </w:rPr>
        <w:t xml:space="preserve">benchmark buffer </w:t>
      </w:r>
      <w:r w:rsidR="0006360F" w:rsidRPr="00E5297B">
        <w:rPr>
          <w:rFonts w:ascii="Times New Roman" w:eastAsia="Times New Roman" w:hAnsi="Times New Roman" w:cs="Times New Roman"/>
          <w:kern w:val="28"/>
          <w:lang w:val="en-GB"/>
        </w:rPr>
        <w:t xml:space="preserve">rate increases linearly from zero to </w:t>
      </w:r>
      <w:r w:rsidR="00CA2374" w:rsidRPr="00E5297B">
        <w:rPr>
          <w:rFonts w:ascii="Times New Roman" w:eastAsia="Times New Roman" w:hAnsi="Times New Roman" w:cs="Times New Roman"/>
          <w:kern w:val="28"/>
          <w:lang w:val="en-GB"/>
        </w:rPr>
        <w:t xml:space="preserve">2.5% </w:t>
      </w:r>
      <w:r w:rsidR="0006360F" w:rsidRPr="00E5297B">
        <w:rPr>
          <w:rFonts w:ascii="Times New Roman" w:eastAsia="Times New Roman" w:hAnsi="Times New Roman" w:cs="Times New Roman"/>
          <w:kern w:val="28"/>
          <w:lang w:val="en-GB"/>
        </w:rPr>
        <w:t>of risk-weighted assets</w:t>
      </w:r>
      <w:r w:rsidR="00CA2374" w:rsidRPr="00E5297B">
        <w:rPr>
          <w:rFonts w:ascii="Times New Roman" w:eastAsia="Times New Roman" w:hAnsi="Times New Roman" w:cs="Times New Roman"/>
          <w:kern w:val="28"/>
          <w:lang w:val="en-GB"/>
        </w:rPr>
        <w:t xml:space="preserve">. </w:t>
      </w:r>
      <w:r w:rsidR="0006360F" w:rsidRPr="00E5297B">
        <w:rPr>
          <w:rFonts w:ascii="Times New Roman" w:eastAsia="Times New Roman" w:hAnsi="Times New Roman" w:cs="Times New Roman"/>
          <w:kern w:val="28"/>
          <w:lang w:val="en-GB"/>
        </w:rPr>
        <w:t xml:space="preserve">In case of </w:t>
      </w:r>
      <w:r w:rsidR="00EA0FCB" w:rsidRPr="00E5297B">
        <w:rPr>
          <w:rFonts w:ascii="Times New Roman" w:eastAsia="Times New Roman" w:hAnsi="Times New Roman" w:cs="Times New Roman"/>
          <w:kern w:val="28"/>
          <w:lang w:val="en-GB"/>
        </w:rPr>
        <w:t xml:space="preserve">the credit-to-GDP gap </w:t>
      </w:r>
      <w:r w:rsidR="0006360F" w:rsidRPr="00E5297B">
        <w:rPr>
          <w:rFonts w:ascii="Times New Roman" w:eastAsia="Times New Roman" w:hAnsi="Times New Roman" w:cs="Times New Roman"/>
          <w:kern w:val="28"/>
          <w:lang w:val="en-GB"/>
        </w:rPr>
        <w:t xml:space="preserve">of </w:t>
      </w:r>
      <w:r w:rsidR="00CA2374" w:rsidRPr="00E5297B">
        <w:rPr>
          <w:rFonts w:ascii="Times New Roman" w:eastAsia="Times New Roman" w:hAnsi="Times New Roman" w:cs="Times New Roman"/>
          <w:kern w:val="28"/>
          <w:lang w:val="en-GB"/>
        </w:rPr>
        <w:t>-3</w:t>
      </w:r>
      <w:r w:rsidR="009F4B08" w:rsidRPr="00E5297B">
        <w:rPr>
          <w:rFonts w:ascii="Times New Roman" w:eastAsia="Times New Roman" w:hAnsi="Times New Roman" w:cs="Times New Roman"/>
          <w:kern w:val="28"/>
          <w:lang w:val="en-GB"/>
        </w:rPr>
        <w:t>8</w:t>
      </w:r>
      <w:r w:rsidR="00CA2374" w:rsidRPr="00E5297B">
        <w:rPr>
          <w:rFonts w:ascii="Times New Roman" w:eastAsia="Times New Roman" w:hAnsi="Times New Roman" w:cs="Times New Roman"/>
          <w:kern w:val="28"/>
          <w:lang w:val="en-GB"/>
        </w:rPr>
        <w:t xml:space="preserve">%, </w:t>
      </w:r>
      <w:r w:rsidR="0006360F" w:rsidRPr="00E5297B">
        <w:rPr>
          <w:rFonts w:ascii="Times New Roman" w:eastAsia="Times New Roman" w:hAnsi="Times New Roman" w:cs="Times New Roman"/>
          <w:kern w:val="28"/>
          <w:lang w:val="en-GB"/>
        </w:rPr>
        <w:t xml:space="preserve">the benchmark buffer rate is </w:t>
      </w:r>
      <w:r w:rsidR="00CA2374" w:rsidRPr="00E5297B">
        <w:rPr>
          <w:rFonts w:ascii="Times New Roman" w:eastAsia="Times New Roman" w:hAnsi="Times New Roman" w:cs="Times New Roman"/>
          <w:kern w:val="28"/>
          <w:lang w:val="en-GB"/>
        </w:rPr>
        <w:t>0%.</w:t>
      </w:r>
    </w:p>
    <w:p w:rsidR="00CA2374" w:rsidRPr="00E5297B" w:rsidRDefault="00640A5B" w:rsidP="00CA2374">
      <w:pPr>
        <w:keepNext/>
        <w:keepLines/>
        <w:spacing w:before="120" w:after="0" w:line="240" w:lineRule="auto"/>
        <w:jc w:val="both"/>
        <w:outlineLvl w:val="0"/>
        <w:rPr>
          <w:rFonts w:ascii="Times New Roman" w:eastAsia="Times New Roman" w:hAnsi="Times New Roman" w:cs="Times New Roman"/>
          <w:kern w:val="28"/>
          <w:lang w:val="en-GB"/>
        </w:rPr>
      </w:pPr>
      <w:r w:rsidRPr="00E5297B">
        <w:rPr>
          <w:rFonts w:ascii="Times New Roman" w:eastAsia="Times New Roman" w:hAnsi="Times New Roman" w:cs="Times New Roman"/>
          <w:kern w:val="28"/>
          <w:lang w:val="en-GB"/>
        </w:rPr>
        <w:t xml:space="preserve">According to the </w:t>
      </w:r>
      <w:r w:rsidR="00CA2374" w:rsidRPr="00E5297B">
        <w:rPr>
          <w:rFonts w:ascii="Times New Roman" w:eastAsia="Times New Roman" w:hAnsi="Times New Roman" w:cs="Times New Roman"/>
          <w:kern w:val="28"/>
          <w:lang w:val="en-GB"/>
        </w:rPr>
        <w:t>"</w:t>
      </w:r>
      <w:r w:rsidRPr="00E5297B">
        <w:rPr>
          <w:rFonts w:ascii="Times New Roman" w:eastAsia="Times New Roman" w:hAnsi="Times New Roman" w:cs="Times New Roman"/>
          <w:kern w:val="28"/>
          <w:lang w:val="en-GB"/>
        </w:rPr>
        <w:t>narrow credit</w:t>
      </w:r>
      <w:r w:rsidR="00CA2374" w:rsidRPr="00E5297B">
        <w:rPr>
          <w:rFonts w:ascii="Times New Roman" w:eastAsia="Times New Roman" w:hAnsi="Times New Roman" w:cs="Times New Roman"/>
          <w:kern w:val="28"/>
          <w:lang w:val="en-GB"/>
        </w:rPr>
        <w:t>" defin</w:t>
      </w:r>
      <w:r w:rsidRPr="00E5297B">
        <w:rPr>
          <w:rFonts w:ascii="Times New Roman" w:eastAsia="Times New Roman" w:hAnsi="Times New Roman" w:cs="Times New Roman"/>
          <w:kern w:val="28"/>
          <w:lang w:val="en-GB"/>
        </w:rPr>
        <w:t>ition</w:t>
      </w:r>
      <w:r w:rsidR="00CA2374" w:rsidRPr="00E5297B">
        <w:rPr>
          <w:rFonts w:ascii="Times New Roman" w:eastAsia="Times New Roman" w:hAnsi="Times New Roman" w:cs="Times New Roman"/>
          <w:kern w:val="28"/>
          <w:lang w:val="en-GB"/>
        </w:rPr>
        <w:t xml:space="preserve">, </w:t>
      </w:r>
      <w:r w:rsidRPr="00E5297B">
        <w:rPr>
          <w:rFonts w:ascii="Times New Roman" w:eastAsia="Times New Roman" w:hAnsi="Times New Roman" w:cs="Times New Roman"/>
          <w:kern w:val="28"/>
          <w:lang w:val="en-GB"/>
        </w:rPr>
        <w:t>the credit-to-GDP ratio was</w:t>
      </w:r>
      <w:r w:rsidR="00CA2374" w:rsidRPr="00E5297B">
        <w:rPr>
          <w:rFonts w:ascii="Times New Roman" w:eastAsia="Times New Roman" w:hAnsi="Times New Roman" w:cs="Times New Roman"/>
          <w:kern w:val="28"/>
          <w:lang w:val="en-GB"/>
        </w:rPr>
        <w:t xml:space="preserve"> 45%</w:t>
      </w:r>
      <w:r w:rsidRPr="00E5297B">
        <w:rPr>
          <w:rFonts w:ascii="Times New Roman" w:eastAsia="Times New Roman" w:hAnsi="Times New Roman" w:cs="Times New Roman"/>
          <w:kern w:val="28"/>
          <w:lang w:val="en-GB"/>
        </w:rPr>
        <w:t xml:space="preserve"> by the end of 2016</w:t>
      </w:r>
      <w:r w:rsidR="00CA2374" w:rsidRPr="00E5297B">
        <w:rPr>
          <w:rFonts w:ascii="Times New Roman" w:eastAsia="Times New Roman" w:hAnsi="Times New Roman" w:cs="Times New Roman"/>
          <w:kern w:val="28"/>
          <w:lang w:val="en-GB"/>
        </w:rPr>
        <w:t>, b</w:t>
      </w:r>
      <w:r w:rsidRPr="00E5297B">
        <w:rPr>
          <w:rFonts w:ascii="Times New Roman" w:eastAsia="Times New Roman" w:hAnsi="Times New Roman" w:cs="Times New Roman"/>
          <w:kern w:val="28"/>
          <w:lang w:val="en-GB"/>
        </w:rPr>
        <w:t>u</w:t>
      </w:r>
      <w:r w:rsidR="00CA2374" w:rsidRPr="00E5297B">
        <w:rPr>
          <w:rFonts w:ascii="Times New Roman" w:eastAsia="Times New Roman" w:hAnsi="Times New Roman" w:cs="Times New Roman"/>
          <w:kern w:val="28"/>
          <w:lang w:val="en-GB"/>
        </w:rPr>
        <w:t xml:space="preserve">t </w:t>
      </w:r>
      <w:r w:rsidRPr="00E5297B">
        <w:rPr>
          <w:rFonts w:ascii="Times New Roman" w:eastAsia="Times New Roman" w:hAnsi="Times New Roman" w:cs="Times New Roman"/>
          <w:kern w:val="28"/>
          <w:lang w:val="en-GB"/>
        </w:rPr>
        <w:t xml:space="preserve">its additional </w:t>
      </w:r>
      <w:r w:rsidR="001C2181" w:rsidRPr="00E5297B">
        <w:rPr>
          <w:rFonts w:ascii="Times New Roman" w:eastAsia="Times New Roman" w:hAnsi="Times New Roman" w:cs="Times New Roman"/>
          <w:kern w:val="28"/>
          <w:lang w:val="en-GB"/>
        </w:rPr>
        <w:t xml:space="preserve">gap </w:t>
      </w:r>
      <w:r w:rsidRPr="00E5297B">
        <w:rPr>
          <w:rFonts w:ascii="Times New Roman" w:eastAsia="Times New Roman" w:hAnsi="Times New Roman" w:cs="Times New Roman"/>
          <w:kern w:val="28"/>
          <w:lang w:val="en-GB"/>
        </w:rPr>
        <w:t xml:space="preserve">was </w:t>
      </w:r>
      <w:r w:rsidR="00BF4770" w:rsidRPr="00E5297B">
        <w:rPr>
          <w:rFonts w:ascii="Times New Roman" w:eastAsia="Times New Roman" w:hAnsi="Times New Roman" w:cs="Times New Roman"/>
          <w:kern w:val="28"/>
          <w:lang w:val="en-GB"/>
        </w:rPr>
        <w:t>-27</w:t>
      </w:r>
      <w:r w:rsidR="00CA2374" w:rsidRPr="00E5297B">
        <w:rPr>
          <w:rFonts w:ascii="Times New Roman" w:eastAsia="Times New Roman" w:hAnsi="Times New Roman" w:cs="Times New Roman"/>
          <w:kern w:val="28"/>
          <w:lang w:val="en-GB"/>
        </w:rPr>
        <w:t>%</w:t>
      </w:r>
      <w:r w:rsidR="00CA2374" w:rsidRPr="00E5297B">
        <w:rPr>
          <w:rFonts w:ascii="Times New Roman" w:eastAsia="Times New Roman" w:hAnsi="Times New Roman" w:cs="Times New Roman"/>
          <w:kern w:val="28"/>
          <w:vertAlign w:val="superscript"/>
          <w:lang w:val="en-GB"/>
        </w:rPr>
        <w:footnoteReference w:id="3"/>
      </w:r>
      <w:r w:rsidR="00CA2374" w:rsidRPr="00E5297B">
        <w:rPr>
          <w:rFonts w:ascii="Times New Roman" w:eastAsia="Times New Roman" w:hAnsi="Times New Roman" w:cs="Times New Roman"/>
          <w:kern w:val="28"/>
          <w:lang w:val="en-GB"/>
        </w:rPr>
        <w:t xml:space="preserve">, </w:t>
      </w:r>
      <w:r w:rsidRPr="00E5297B">
        <w:rPr>
          <w:rFonts w:ascii="Times New Roman" w:eastAsia="Times New Roman" w:hAnsi="Times New Roman" w:cs="Times New Roman"/>
          <w:kern w:val="28"/>
          <w:lang w:val="en-GB"/>
        </w:rPr>
        <w:t xml:space="preserve">as a result </w:t>
      </w:r>
      <w:r w:rsidR="009D1805" w:rsidRPr="00E5297B">
        <w:rPr>
          <w:rFonts w:ascii="Times New Roman" w:eastAsia="Times New Roman" w:hAnsi="Times New Roman" w:cs="Times New Roman"/>
          <w:kern w:val="28"/>
          <w:lang w:val="en-GB"/>
        </w:rPr>
        <w:t xml:space="preserve">the benchmark buffer rate based on the additional credit-to-GDP gap was at </w:t>
      </w:r>
      <w:r w:rsidR="00CA2374" w:rsidRPr="00E5297B">
        <w:rPr>
          <w:rFonts w:ascii="Times New Roman" w:eastAsia="Times New Roman" w:hAnsi="Times New Roman" w:cs="Times New Roman"/>
          <w:kern w:val="28"/>
          <w:lang w:val="en-GB"/>
        </w:rPr>
        <w:t xml:space="preserve">0%. </w:t>
      </w:r>
      <w:r w:rsidR="009D1805" w:rsidRPr="00E5297B">
        <w:rPr>
          <w:rFonts w:ascii="Times New Roman" w:eastAsia="Times New Roman" w:hAnsi="Times New Roman" w:cs="Times New Roman"/>
          <w:kern w:val="28"/>
          <w:lang w:val="en-GB"/>
        </w:rPr>
        <w:t xml:space="preserve">The benchmark that best reflects the specificities of the national economy is selected as </w:t>
      </w:r>
      <w:r w:rsidR="00E52BC5" w:rsidRPr="00E5297B">
        <w:rPr>
          <w:rFonts w:ascii="Times New Roman" w:eastAsia="Times New Roman" w:hAnsi="Times New Roman" w:cs="Times New Roman"/>
          <w:kern w:val="28"/>
          <w:lang w:val="en-GB"/>
        </w:rPr>
        <w:t>a</w:t>
      </w:r>
      <w:r w:rsidR="009D1805" w:rsidRPr="00E5297B">
        <w:rPr>
          <w:rFonts w:ascii="Times New Roman" w:eastAsia="Times New Roman" w:hAnsi="Times New Roman" w:cs="Times New Roman"/>
          <w:kern w:val="28"/>
          <w:lang w:val="en-GB"/>
        </w:rPr>
        <w:t xml:space="preserve"> </w:t>
      </w:r>
      <w:r w:rsidR="003F0ACB" w:rsidRPr="00E5297B">
        <w:rPr>
          <w:rFonts w:ascii="Times New Roman" w:eastAsia="Times New Roman" w:hAnsi="Times New Roman" w:cs="Times New Roman"/>
          <w:kern w:val="28"/>
          <w:lang w:val="en-GB"/>
        </w:rPr>
        <w:t xml:space="preserve">countercyclical capital </w:t>
      </w:r>
      <w:r w:rsidR="009D1805" w:rsidRPr="00E5297B">
        <w:rPr>
          <w:rFonts w:ascii="Times New Roman" w:eastAsia="Times New Roman" w:hAnsi="Times New Roman" w:cs="Times New Roman"/>
          <w:kern w:val="28"/>
          <w:lang w:val="en-GB"/>
        </w:rPr>
        <w:t>buffer guide</w:t>
      </w:r>
      <w:r w:rsidR="00CA2374" w:rsidRPr="00E5297B">
        <w:rPr>
          <w:rFonts w:ascii="Times New Roman" w:eastAsia="Times New Roman" w:hAnsi="Times New Roman" w:cs="Times New Roman"/>
          <w:kern w:val="28"/>
          <w:lang w:val="en-GB"/>
        </w:rPr>
        <w:t xml:space="preserve">. </w:t>
      </w:r>
      <w:r w:rsidR="001C2181" w:rsidRPr="00E5297B">
        <w:rPr>
          <w:rFonts w:ascii="Times New Roman" w:eastAsia="Times New Roman" w:hAnsi="Times New Roman" w:cs="Times New Roman"/>
          <w:kern w:val="28"/>
          <w:lang w:val="en-GB"/>
        </w:rPr>
        <w:t xml:space="preserve">For </w:t>
      </w:r>
      <w:r w:rsidR="004821E2" w:rsidRPr="00E5297B">
        <w:rPr>
          <w:rFonts w:ascii="Times New Roman" w:eastAsia="Times New Roman" w:hAnsi="Times New Roman" w:cs="Times New Roman"/>
          <w:kern w:val="28"/>
          <w:lang w:val="en-GB"/>
        </w:rPr>
        <w:t xml:space="preserve">Latvia, </w:t>
      </w:r>
      <w:r w:rsidR="001C2181" w:rsidRPr="00E5297B">
        <w:rPr>
          <w:rFonts w:ascii="Times New Roman" w:eastAsia="Times New Roman" w:hAnsi="Times New Roman" w:cs="Times New Roman"/>
          <w:lang w:val="en-US" w:eastAsia="de-DE" w:bidi="pa-IN"/>
        </w:rPr>
        <w:t>the results obtained from the calculations of the benchmark buffer rate under the narrow definition (additional benchmark buffer rate) are more justified than using the broad credit definition results</w:t>
      </w:r>
      <w:r w:rsidR="00CA2374" w:rsidRPr="00E5297B">
        <w:rPr>
          <w:rFonts w:ascii="Times New Roman" w:eastAsia="Times New Roman" w:hAnsi="Times New Roman" w:cs="Times New Roman"/>
          <w:kern w:val="28"/>
          <w:lang w:val="en-GB"/>
        </w:rPr>
        <w:t xml:space="preserve">. </w:t>
      </w:r>
      <w:r w:rsidR="001C2181" w:rsidRPr="00E5297B">
        <w:rPr>
          <w:rFonts w:ascii="Times New Roman" w:eastAsia="Times New Roman" w:hAnsi="Times New Roman" w:cs="Times New Roman"/>
          <w:lang w:val="en-US" w:eastAsia="de-DE" w:bidi="pa-IN"/>
        </w:rPr>
        <w:t xml:space="preserve">The data of the "narrow credit" time series are more stable (they are not retrospectively adjusted) and they are available sooner. Therefore, in Latvia the benchmark buffer rate that is calculated based on the additional credit-to-GDP gap has been selected as the </w:t>
      </w:r>
      <w:r w:rsidR="003F0ACB" w:rsidRPr="00E5297B">
        <w:rPr>
          <w:rFonts w:ascii="Times New Roman" w:eastAsia="Times New Roman" w:hAnsi="Times New Roman" w:cs="Times New Roman"/>
          <w:lang w:val="en-US" w:eastAsia="de-DE" w:bidi="pa-IN"/>
        </w:rPr>
        <w:t xml:space="preserve">countercyclical capital buffer </w:t>
      </w:r>
      <w:r w:rsidR="001C2181" w:rsidRPr="00E5297B">
        <w:rPr>
          <w:rFonts w:ascii="Times New Roman" w:eastAsia="Times New Roman" w:hAnsi="Times New Roman" w:cs="Times New Roman"/>
          <w:lang w:val="en-US" w:eastAsia="de-DE" w:bidi="pa-IN"/>
        </w:rPr>
        <w:t>guide</w:t>
      </w:r>
      <w:r w:rsidR="00CA2374" w:rsidRPr="00E5297B">
        <w:rPr>
          <w:rFonts w:ascii="Times New Roman" w:eastAsia="Times New Roman" w:hAnsi="Times New Roman" w:cs="Times New Roman"/>
          <w:kern w:val="28"/>
          <w:lang w:val="en-GB"/>
        </w:rPr>
        <w:t>.</w:t>
      </w:r>
    </w:p>
    <w:p w:rsidR="00485251" w:rsidRPr="00E5297B" w:rsidRDefault="001C2181" w:rsidP="00CA2374">
      <w:pPr>
        <w:keepNext/>
        <w:keepLines/>
        <w:spacing w:before="120" w:after="0" w:line="240" w:lineRule="auto"/>
        <w:jc w:val="both"/>
        <w:outlineLvl w:val="0"/>
        <w:rPr>
          <w:rFonts w:ascii="Times New Roman" w:eastAsia="Times New Roman" w:hAnsi="Times New Roman" w:cs="Times New Roman"/>
          <w:kern w:val="28"/>
          <w:lang w:val="en-GB"/>
        </w:rPr>
      </w:pPr>
      <w:r w:rsidRPr="00E5297B">
        <w:rPr>
          <w:rFonts w:ascii="Times New Roman" w:eastAsia="Times New Roman" w:hAnsi="Times New Roman" w:cs="Times New Roman"/>
          <w:kern w:val="28"/>
          <w:lang w:val="en-GB"/>
        </w:rPr>
        <w:t xml:space="preserve">It should be noted that </w:t>
      </w:r>
      <w:r w:rsidR="00B50E30" w:rsidRPr="00E5297B">
        <w:rPr>
          <w:rFonts w:ascii="Times New Roman" w:eastAsia="Times New Roman" w:hAnsi="Times New Roman" w:cs="Times New Roman"/>
          <w:kern w:val="28"/>
          <w:lang w:val="en-GB"/>
        </w:rPr>
        <w:t>according to experience o</w:t>
      </w:r>
      <w:r w:rsidRPr="00E5297B">
        <w:rPr>
          <w:rFonts w:ascii="Times New Roman" w:eastAsia="Times New Roman" w:hAnsi="Times New Roman" w:cs="Times New Roman"/>
          <w:kern w:val="28"/>
          <w:lang w:val="en-GB"/>
        </w:rPr>
        <w:t>f other countries</w:t>
      </w:r>
      <w:r w:rsidR="00485251" w:rsidRPr="00E5297B">
        <w:rPr>
          <w:rFonts w:ascii="Times New Roman" w:eastAsia="Times New Roman" w:hAnsi="Times New Roman" w:cs="Times New Roman"/>
          <w:kern w:val="28"/>
          <w:lang w:val="en-GB"/>
        </w:rPr>
        <w:t xml:space="preserve">, </w:t>
      </w:r>
      <w:r w:rsidRPr="00E5297B">
        <w:rPr>
          <w:rFonts w:ascii="Times New Roman" w:eastAsia="Times New Roman" w:hAnsi="Times New Roman" w:cs="Times New Roman"/>
          <w:kern w:val="28"/>
          <w:lang w:val="en-GB"/>
        </w:rPr>
        <w:t xml:space="preserve">the deviation of credit-to-GDP </w:t>
      </w:r>
      <w:r w:rsidR="007825A8" w:rsidRPr="00E5297B">
        <w:rPr>
          <w:rFonts w:ascii="Times New Roman" w:eastAsia="Times New Roman" w:hAnsi="Times New Roman" w:cs="Times New Roman"/>
          <w:kern w:val="28"/>
          <w:lang w:val="en-GB"/>
        </w:rPr>
        <w:t>ratio</w:t>
      </w:r>
      <w:r w:rsidRPr="00E5297B">
        <w:rPr>
          <w:rFonts w:ascii="Times New Roman" w:eastAsia="Times New Roman" w:hAnsi="Times New Roman" w:cs="Times New Roman"/>
          <w:kern w:val="28"/>
          <w:lang w:val="en-GB"/>
        </w:rPr>
        <w:t xml:space="preserve"> from </w:t>
      </w:r>
      <w:r w:rsidR="007825A8" w:rsidRPr="00E5297B">
        <w:rPr>
          <w:rFonts w:ascii="Times New Roman" w:eastAsia="Times New Roman" w:hAnsi="Times New Roman" w:cs="Times New Roman"/>
          <w:kern w:val="28"/>
          <w:lang w:val="en-GB"/>
        </w:rPr>
        <w:t>its</w:t>
      </w:r>
      <w:r w:rsidRPr="00E5297B">
        <w:rPr>
          <w:rFonts w:ascii="Times New Roman" w:eastAsia="Times New Roman" w:hAnsi="Times New Roman" w:cs="Times New Roman"/>
          <w:kern w:val="28"/>
          <w:lang w:val="en-GB"/>
        </w:rPr>
        <w:t xml:space="preserve"> long-term trend may not always be </w:t>
      </w:r>
      <w:r w:rsidR="008E541C" w:rsidRPr="00E5297B">
        <w:rPr>
          <w:rFonts w:ascii="Times New Roman" w:eastAsia="Times New Roman" w:hAnsi="Times New Roman" w:cs="Times New Roman"/>
          <w:kern w:val="28"/>
          <w:lang w:val="en-GB"/>
        </w:rPr>
        <w:t xml:space="preserve">a </w:t>
      </w:r>
      <w:r w:rsidRPr="00E5297B">
        <w:rPr>
          <w:rFonts w:ascii="Times New Roman" w:eastAsia="Times New Roman" w:hAnsi="Times New Roman" w:cs="Times New Roman"/>
          <w:kern w:val="28"/>
          <w:lang w:val="en-GB"/>
        </w:rPr>
        <w:t>reliable signal</w:t>
      </w:r>
      <w:r w:rsidR="00485251" w:rsidRPr="00E5297B">
        <w:rPr>
          <w:rFonts w:ascii="Times New Roman" w:eastAsia="Times New Roman" w:hAnsi="Times New Roman" w:cs="Times New Roman"/>
          <w:kern w:val="28"/>
          <w:lang w:val="en-GB"/>
        </w:rPr>
        <w:t xml:space="preserve">. </w:t>
      </w:r>
      <w:r w:rsidR="00B50E30" w:rsidRPr="00E5297B">
        <w:rPr>
          <w:rFonts w:ascii="Times New Roman" w:eastAsia="Times New Roman" w:hAnsi="Times New Roman" w:cs="Times New Roman"/>
          <w:kern w:val="28"/>
          <w:lang w:val="en-GB"/>
        </w:rPr>
        <w:t xml:space="preserve">In order to assess an increase in cyclical systemic risk and determine the </w:t>
      </w:r>
      <w:proofErr w:type="spellStart"/>
      <w:r w:rsidR="008E541C" w:rsidRPr="00E5297B">
        <w:rPr>
          <w:rFonts w:ascii="Times New Roman" w:eastAsia="Times New Roman" w:hAnsi="Times New Roman" w:cs="Times New Roman"/>
          <w:kern w:val="28"/>
          <w:lang w:val="en-GB"/>
        </w:rPr>
        <w:t>CCyB</w:t>
      </w:r>
      <w:proofErr w:type="spellEnd"/>
      <w:r w:rsidR="008E541C" w:rsidRPr="00E5297B">
        <w:rPr>
          <w:rFonts w:ascii="Times New Roman" w:eastAsia="Times New Roman" w:hAnsi="Times New Roman" w:cs="Times New Roman"/>
          <w:kern w:val="28"/>
          <w:lang w:val="en-GB"/>
        </w:rPr>
        <w:t xml:space="preserve"> </w:t>
      </w:r>
      <w:r w:rsidR="00B50E30" w:rsidRPr="00E5297B">
        <w:rPr>
          <w:rFonts w:ascii="Times New Roman" w:eastAsia="Times New Roman" w:hAnsi="Times New Roman" w:cs="Times New Roman"/>
          <w:kern w:val="28"/>
          <w:lang w:val="en-GB"/>
        </w:rPr>
        <w:t>rate</w:t>
      </w:r>
      <w:r w:rsidR="00485251" w:rsidRPr="00E5297B">
        <w:rPr>
          <w:rFonts w:ascii="Times New Roman" w:eastAsia="Times New Roman" w:hAnsi="Times New Roman" w:cs="Times New Roman"/>
          <w:kern w:val="28"/>
          <w:lang w:val="en-GB"/>
        </w:rPr>
        <w:t xml:space="preserve">, </w:t>
      </w:r>
      <w:r w:rsidR="00B50E30" w:rsidRPr="00E5297B">
        <w:rPr>
          <w:rFonts w:ascii="Times New Roman" w:eastAsia="Times New Roman" w:hAnsi="Times New Roman" w:cs="Times New Roman"/>
          <w:kern w:val="28"/>
          <w:lang w:val="en-GB"/>
        </w:rPr>
        <w:t>other quantitative indicators and constrained judgement should be considered as well</w:t>
      </w:r>
      <w:r w:rsidR="00485251" w:rsidRPr="00E5297B">
        <w:rPr>
          <w:rFonts w:ascii="Times New Roman" w:eastAsia="Times New Roman" w:hAnsi="Times New Roman" w:cs="Times New Roman"/>
          <w:kern w:val="28"/>
          <w:lang w:val="en-GB"/>
        </w:rPr>
        <w:t xml:space="preserve">, </w:t>
      </w:r>
      <w:r w:rsidR="00B50E30" w:rsidRPr="00E5297B">
        <w:rPr>
          <w:rFonts w:ascii="Times New Roman" w:eastAsia="Times New Roman" w:hAnsi="Times New Roman" w:cs="Times New Roman"/>
          <w:kern w:val="28"/>
          <w:lang w:val="en-GB"/>
        </w:rPr>
        <w:t>placing a great deal of emphasis on the qualitative assessment</w:t>
      </w:r>
      <w:r w:rsidR="00485251" w:rsidRPr="00E5297B">
        <w:rPr>
          <w:rFonts w:ascii="Times New Roman" w:eastAsia="Times New Roman" w:hAnsi="Times New Roman" w:cs="Times New Roman"/>
          <w:kern w:val="28"/>
          <w:lang w:val="en-GB"/>
        </w:rPr>
        <w:t xml:space="preserve">. </w:t>
      </w:r>
      <w:r w:rsidR="00B50E30" w:rsidRPr="00E5297B">
        <w:rPr>
          <w:rFonts w:ascii="Times New Roman" w:eastAsia="Times New Roman" w:hAnsi="Times New Roman" w:cs="Times New Roman"/>
          <w:kern w:val="28"/>
          <w:lang w:val="en-GB"/>
        </w:rPr>
        <w:t xml:space="preserve">Where necessary, FCMC may set the </w:t>
      </w:r>
      <w:proofErr w:type="spellStart"/>
      <w:r w:rsidR="008E541C" w:rsidRPr="00E5297B">
        <w:rPr>
          <w:rFonts w:ascii="Times New Roman" w:eastAsia="Times New Roman" w:hAnsi="Times New Roman" w:cs="Times New Roman"/>
          <w:lang w:val="en-US" w:eastAsia="de-DE" w:bidi="pa-IN"/>
        </w:rPr>
        <w:t>CCyB</w:t>
      </w:r>
      <w:proofErr w:type="spellEnd"/>
      <w:r w:rsidR="00B50E30" w:rsidRPr="00E5297B">
        <w:rPr>
          <w:rFonts w:ascii="Times New Roman" w:eastAsia="Times New Roman" w:hAnsi="Times New Roman" w:cs="Times New Roman"/>
          <w:lang w:val="en-US" w:eastAsia="de-DE" w:bidi="pa-IN"/>
        </w:rPr>
        <w:t xml:space="preserve"> rate </w:t>
      </w:r>
      <w:r w:rsidR="00B50E30" w:rsidRPr="00E5297B">
        <w:rPr>
          <w:rFonts w:ascii="Times New Roman" w:eastAsia="Times New Roman" w:hAnsi="Times New Roman" w:cs="Times New Roman"/>
          <w:kern w:val="28"/>
          <w:lang w:val="en-GB"/>
        </w:rPr>
        <w:t>that is higher than 2.5% of risk-weighted assets</w:t>
      </w:r>
      <w:r w:rsidR="00721508" w:rsidRPr="00E5297B">
        <w:rPr>
          <w:rFonts w:ascii="Times New Roman" w:eastAsia="Times New Roman" w:hAnsi="Times New Roman" w:cs="Times New Roman"/>
          <w:kern w:val="28"/>
          <w:lang w:val="en-GB"/>
        </w:rPr>
        <w:t>.</w:t>
      </w:r>
      <w:r w:rsidR="00485251" w:rsidRPr="00E5297B">
        <w:rPr>
          <w:rFonts w:ascii="Times New Roman" w:eastAsia="Times New Roman" w:hAnsi="Times New Roman" w:cs="Times New Roman"/>
          <w:kern w:val="28"/>
          <w:lang w:val="en-GB"/>
        </w:rPr>
        <w:t xml:space="preserve"> </w:t>
      </w:r>
    </w:p>
    <w:p w:rsidR="00FB1F16" w:rsidRPr="00E5297B" w:rsidRDefault="00FB1F16" w:rsidP="00FB1F16">
      <w:pPr>
        <w:keepNext/>
        <w:keepLines/>
        <w:spacing w:before="120" w:after="0" w:line="240" w:lineRule="auto"/>
        <w:jc w:val="both"/>
        <w:outlineLvl w:val="0"/>
        <w:rPr>
          <w:rFonts w:ascii="Times New Roman" w:eastAsia="Times New Roman" w:hAnsi="Times New Roman" w:cs="Times New Roman"/>
          <w:bCs/>
          <w:lang w:val="en-GB" w:eastAsia="de-DE" w:bidi="pa-IN"/>
        </w:rPr>
      </w:pPr>
      <w:r w:rsidRPr="00E5297B">
        <w:rPr>
          <w:rFonts w:ascii="Times New Roman" w:eastAsia="Times New Roman" w:hAnsi="Times New Roman" w:cs="Times New Roman"/>
          <w:bCs/>
          <w:lang w:val="en-GB" w:eastAsia="de-DE" w:bidi="pa-IN"/>
        </w:rPr>
        <w:lastRenderedPageBreak/>
        <w:t>Since 2015, both – real estate prices and a number of transactions in real estate market</w:t>
      </w:r>
      <w:r w:rsidR="008170D1">
        <w:rPr>
          <w:rFonts w:ascii="Times New Roman" w:eastAsia="Times New Roman" w:hAnsi="Times New Roman" w:cs="Times New Roman"/>
          <w:bCs/>
          <w:lang w:val="en-GB" w:eastAsia="de-DE" w:bidi="pa-IN"/>
        </w:rPr>
        <w:t xml:space="preserve"> </w:t>
      </w:r>
      <w:proofErr w:type="gramStart"/>
      <w:r w:rsidR="008170D1">
        <w:rPr>
          <w:rFonts w:ascii="Times New Roman" w:eastAsia="Times New Roman" w:hAnsi="Times New Roman" w:cs="Times New Roman"/>
          <w:bCs/>
          <w:lang w:val="en-GB" w:eastAsia="de-DE" w:bidi="pa-IN"/>
        </w:rPr>
        <w:t xml:space="preserve">– </w:t>
      </w:r>
      <w:r w:rsidRPr="00E5297B">
        <w:rPr>
          <w:rFonts w:ascii="Times New Roman" w:eastAsia="Times New Roman" w:hAnsi="Times New Roman" w:cs="Times New Roman"/>
          <w:bCs/>
          <w:lang w:val="en-GB" w:eastAsia="de-DE" w:bidi="pa-IN"/>
        </w:rPr>
        <w:t xml:space="preserve"> continue</w:t>
      </w:r>
      <w:proofErr w:type="gramEnd"/>
      <w:r w:rsidRPr="00E5297B">
        <w:rPr>
          <w:rFonts w:ascii="Times New Roman" w:eastAsia="Times New Roman" w:hAnsi="Times New Roman" w:cs="Times New Roman"/>
          <w:bCs/>
          <w:lang w:val="en-GB" w:eastAsia="de-DE" w:bidi="pa-IN"/>
        </w:rPr>
        <w:t xml:space="preserve"> to climb with the </w:t>
      </w:r>
      <w:r w:rsidRPr="00E5297B">
        <w:rPr>
          <w:rFonts w:ascii="Times New Roman" w:eastAsia="Times New Roman" w:hAnsi="Times New Roman" w:cs="Times New Roman"/>
          <w:bCs/>
          <w:lang w:val="en-US" w:eastAsia="de-DE" w:bidi="pa-IN"/>
        </w:rPr>
        <w:t>rate</w:t>
      </w:r>
      <w:r w:rsidRPr="00E5297B">
        <w:rPr>
          <w:rFonts w:ascii="Times New Roman" w:eastAsia="Times New Roman" w:hAnsi="Times New Roman" w:cs="Times New Roman"/>
          <w:bCs/>
          <w:lang w:val="en-GB" w:eastAsia="de-DE" w:bidi="pa-IN"/>
        </w:rPr>
        <w:t xml:space="preserve"> of the increase accelerating in the second half of 2016. Enlivening of the real estate market is a positive trend; however, this market segment should be closely monitored in view of relatively higher pace of housing price growth over past quarters. Housing price dynamics are influenced by improvements in the household financial situation, with a declining debt burden and increasing wages, as well as better availability of credits in the context of the state support for the programme for mortgage loan guarantees for families with children. The amount of mortgage loans granted within this programme constitute approximately one-third of all new housing credits granted. At the same time, non-financial corporations' and households' debt service expenditure since the end of 2015 have stabilised at the historically lowest level of 1.5% of GDP. </w:t>
      </w:r>
    </w:p>
    <w:p w:rsidR="00FB1F16" w:rsidRPr="00E5297B" w:rsidRDefault="00FB1F16" w:rsidP="00FB1F16">
      <w:pPr>
        <w:keepNext/>
        <w:keepLines/>
        <w:spacing w:before="120" w:after="0" w:line="240" w:lineRule="auto"/>
        <w:jc w:val="both"/>
        <w:outlineLvl w:val="0"/>
        <w:rPr>
          <w:rFonts w:ascii="Times New Roman" w:eastAsia="Times New Roman" w:hAnsi="Times New Roman" w:cs="Times New Roman"/>
          <w:bCs/>
          <w:lang w:val="en-GB" w:eastAsia="de-DE" w:bidi="pa-IN"/>
        </w:rPr>
      </w:pPr>
      <w:r w:rsidRPr="00E5297B">
        <w:rPr>
          <w:rFonts w:ascii="Times New Roman" w:eastAsia="Times New Roman" w:hAnsi="Times New Roman" w:cs="Times New Roman"/>
          <w:bCs/>
          <w:lang w:val="en-GB" w:eastAsia="de-DE" w:bidi="pa-IN"/>
        </w:rPr>
        <w:t>In 2016, Latvia's economic growth of 1.3% (in comparable prices according to the seasonally adjusted data) was the slowest one since 2010. Weakening of the national economic development was due to a number of negative external factors, slow economic growth in main trading partners of Latvia, decline in investments, in particular in the construction sector, as well as disruption in the use of the EU funding. Whereas in 2017, the GDP growth is expected at 3.0% on the background of impact of external economic environment improvements, increasing activity in investment projects financed by the EU funds, as well as increase in export and investment volumes and private consumption growth. Major risks for economic growth are related to external uncertainty factors and global political situation</w:t>
      </w:r>
      <w:r w:rsidRPr="00E5297B">
        <w:rPr>
          <w:rFonts w:ascii="Times New Roman" w:eastAsia="Times New Roman" w:hAnsi="Times New Roman" w:cs="Times New Roman"/>
          <w:bCs/>
          <w:vertAlign w:val="superscript"/>
          <w:lang w:val="en-GB" w:eastAsia="de-DE" w:bidi="pa-IN"/>
        </w:rPr>
        <w:footnoteReference w:id="4"/>
      </w:r>
      <w:r w:rsidRPr="00E5297B">
        <w:rPr>
          <w:rFonts w:ascii="Times New Roman" w:eastAsia="Times New Roman" w:hAnsi="Times New Roman" w:cs="Times New Roman"/>
          <w:bCs/>
          <w:lang w:val="en-GB" w:eastAsia="de-DE" w:bidi="pa-IN"/>
        </w:rPr>
        <w:t xml:space="preserve">. </w:t>
      </w:r>
    </w:p>
    <w:p w:rsidR="00E5297B" w:rsidRPr="00E5297B" w:rsidRDefault="00E5297B" w:rsidP="00E5297B">
      <w:pPr>
        <w:keepNext/>
        <w:keepLines/>
        <w:spacing w:before="120" w:after="0" w:line="240" w:lineRule="auto"/>
        <w:jc w:val="both"/>
        <w:outlineLvl w:val="0"/>
        <w:rPr>
          <w:rFonts w:ascii="Times New Roman" w:eastAsia="Times New Roman" w:hAnsi="Times New Roman" w:cs="Times New Roman"/>
          <w:bCs/>
          <w:lang w:val="en-GB" w:eastAsia="de-DE" w:bidi="pa-IN"/>
        </w:rPr>
      </w:pPr>
      <w:r w:rsidRPr="00E5297B">
        <w:rPr>
          <w:rFonts w:ascii="Times New Roman" w:eastAsia="Times New Roman" w:hAnsi="Times New Roman" w:cs="Times New Roman"/>
          <w:bCs/>
          <w:lang w:val="en-GB" w:eastAsia="de-DE" w:bidi="pa-IN"/>
        </w:rPr>
        <w:t xml:space="preserve">Capital adequacy ratios continue to substantially exceed both – minimum and total capital requirements, as well as an average EU level. At the end of 2016, the banking sector's total and common equity Tier 1 (CET1) ratios were at 21.2% and 18.0%, respectively. The banking sector in general in 2016 generated the profit of ~454 million euro, i.e. by 9.1% more than a year ago. However, it should be noted that the banking sector profit was positively influenced by one-off factor – the sale of the VISA EUROPE shares in line with requirements by the VISA Inc. At the end of 2016, the banking sector ROE was 14.3%, but excluding the impact of VISA transaction, it was lower, i.e. 10.4%.  </w:t>
      </w:r>
    </w:p>
    <w:bookmarkEnd w:id="0"/>
    <w:p w:rsidR="00A3730D" w:rsidRPr="00E5297B" w:rsidRDefault="00FF0E16">
      <w:pPr>
        <w:keepNext/>
        <w:keepLines/>
        <w:spacing w:before="120" w:after="0" w:line="240" w:lineRule="auto"/>
        <w:jc w:val="both"/>
        <w:outlineLvl w:val="0"/>
        <w:rPr>
          <w:rFonts w:ascii="Times New Roman" w:eastAsia="Times New Roman" w:hAnsi="Times New Roman" w:cs="Times New Roman"/>
          <w:b/>
          <w:kern w:val="28"/>
          <w:lang w:val="en-GB"/>
        </w:rPr>
      </w:pPr>
      <w:r w:rsidRPr="00E5297B">
        <w:rPr>
          <w:rFonts w:ascii="Times New Roman" w:eastAsia="Times New Roman" w:hAnsi="Times New Roman" w:cs="Times New Roman"/>
          <w:b/>
          <w:kern w:val="28"/>
          <w:lang w:val="en-GB"/>
        </w:rPr>
        <w:t xml:space="preserve">The above considerations demonstrate that an impact of cyclical systemic risk on the Latvia's </w:t>
      </w:r>
      <w:r w:rsidR="00A460F4" w:rsidRPr="00E5297B">
        <w:rPr>
          <w:rFonts w:ascii="Times New Roman" w:eastAsia="Times New Roman" w:hAnsi="Times New Roman" w:cs="Times New Roman"/>
          <w:b/>
          <w:kern w:val="28"/>
          <w:lang w:val="en-GB"/>
        </w:rPr>
        <w:t>bank</w:t>
      </w:r>
      <w:r w:rsidRPr="00E5297B">
        <w:rPr>
          <w:rFonts w:ascii="Times New Roman" w:eastAsia="Times New Roman" w:hAnsi="Times New Roman" w:cs="Times New Roman"/>
          <w:b/>
          <w:kern w:val="28"/>
          <w:lang w:val="en-GB"/>
        </w:rPr>
        <w:t xml:space="preserve">ing </w:t>
      </w:r>
      <w:r w:rsidR="00A460F4" w:rsidRPr="00E5297B">
        <w:rPr>
          <w:rFonts w:ascii="Times New Roman" w:eastAsia="Times New Roman" w:hAnsi="Times New Roman" w:cs="Times New Roman"/>
          <w:b/>
          <w:kern w:val="28"/>
          <w:lang w:val="en-GB"/>
        </w:rPr>
        <w:t>se</w:t>
      </w:r>
      <w:r w:rsidRPr="00E5297B">
        <w:rPr>
          <w:rFonts w:ascii="Times New Roman" w:eastAsia="Times New Roman" w:hAnsi="Times New Roman" w:cs="Times New Roman"/>
          <w:b/>
          <w:kern w:val="28"/>
          <w:lang w:val="en-GB"/>
        </w:rPr>
        <w:t>ctor</w:t>
      </w:r>
      <w:r w:rsidR="00A460F4" w:rsidRPr="00E5297B">
        <w:rPr>
          <w:rFonts w:ascii="Times New Roman" w:eastAsia="Times New Roman" w:hAnsi="Times New Roman" w:cs="Times New Roman"/>
          <w:b/>
          <w:kern w:val="28"/>
          <w:lang w:val="en-GB"/>
        </w:rPr>
        <w:t xml:space="preserve"> i</w:t>
      </w:r>
      <w:r w:rsidRPr="00E5297B">
        <w:rPr>
          <w:rFonts w:ascii="Times New Roman" w:eastAsia="Times New Roman" w:hAnsi="Times New Roman" w:cs="Times New Roman"/>
          <w:b/>
          <w:kern w:val="28"/>
          <w:lang w:val="en-GB"/>
        </w:rPr>
        <w:t>s</w:t>
      </w:r>
      <w:r w:rsidR="00A460F4" w:rsidRPr="00E5297B">
        <w:rPr>
          <w:rFonts w:ascii="Times New Roman" w:eastAsia="Times New Roman" w:hAnsi="Times New Roman" w:cs="Times New Roman"/>
          <w:b/>
          <w:kern w:val="28"/>
          <w:lang w:val="en-GB"/>
        </w:rPr>
        <w:t xml:space="preserve"> minim</w:t>
      </w:r>
      <w:r w:rsidRPr="00E5297B">
        <w:rPr>
          <w:rFonts w:ascii="Times New Roman" w:eastAsia="Times New Roman" w:hAnsi="Times New Roman" w:cs="Times New Roman"/>
          <w:b/>
          <w:kern w:val="28"/>
          <w:lang w:val="en-GB"/>
        </w:rPr>
        <w:t xml:space="preserve">al therefore the FCMC sets the CCB rate at </w:t>
      </w:r>
      <w:r w:rsidR="00A460F4" w:rsidRPr="00E5297B">
        <w:rPr>
          <w:rFonts w:ascii="Times New Roman" w:eastAsia="Times New Roman" w:hAnsi="Times New Roman" w:cs="Times New Roman"/>
          <w:b/>
          <w:kern w:val="28"/>
          <w:lang w:val="en-GB"/>
        </w:rPr>
        <w:t xml:space="preserve">0%. </w:t>
      </w:r>
      <w:r w:rsidRPr="00E5297B">
        <w:rPr>
          <w:rFonts w:ascii="Times New Roman" w:eastAsia="Times New Roman" w:hAnsi="Times New Roman" w:cs="Times New Roman"/>
          <w:b/>
          <w:kern w:val="28"/>
          <w:lang w:val="en-GB"/>
        </w:rPr>
        <w:t>In view of the current economic and lending development trends</w:t>
      </w:r>
      <w:r w:rsidR="00A460F4" w:rsidRPr="00E5297B">
        <w:rPr>
          <w:rFonts w:ascii="Times New Roman" w:eastAsia="Times New Roman" w:hAnsi="Times New Roman" w:cs="Times New Roman"/>
          <w:b/>
          <w:kern w:val="28"/>
          <w:lang w:val="en-GB"/>
        </w:rPr>
        <w:t xml:space="preserve">, </w:t>
      </w:r>
      <w:r w:rsidR="00F3378D" w:rsidRPr="00E5297B">
        <w:rPr>
          <w:rFonts w:ascii="Times New Roman" w:eastAsia="Times New Roman" w:hAnsi="Times New Roman" w:cs="Times New Roman"/>
          <w:b/>
          <w:kern w:val="28"/>
          <w:lang w:val="en-GB"/>
        </w:rPr>
        <w:t xml:space="preserve">and </w:t>
      </w:r>
      <w:r w:rsidR="00C01DFE" w:rsidRPr="00E5297B">
        <w:rPr>
          <w:rFonts w:ascii="Times New Roman" w:eastAsia="Times New Roman" w:hAnsi="Times New Roman" w:cs="Times New Roman"/>
          <w:b/>
          <w:kern w:val="28"/>
          <w:lang w:val="en-GB"/>
        </w:rPr>
        <w:t xml:space="preserve">provided there will be not </w:t>
      </w:r>
      <w:r w:rsidR="00F3378D" w:rsidRPr="00E5297B">
        <w:rPr>
          <w:rFonts w:ascii="Times New Roman" w:eastAsia="Times New Roman" w:hAnsi="Times New Roman" w:cs="Times New Roman"/>
          <w:b/>
          <w:kern w:val="28"/>
          <w:lang w:val="en-GB"/>
        </w:rPr>
        <w:t xml:space="preserve">notable increase in cyclical systemic risks, </w:t>
      </w:r>
      <w:r w:rsidRPr="00E5297B">
        <w:rPr>
          <w:rFonts w:ascii="Times New Roman" w:eastAsia="Times New Roman" w:hAnsi="Times New Roman" w:cs="Times New Roman"/>
          <w:b/>
          <w:kern w:val="28"/>
          <w:lang w:val="en-GB"/>
        </w:rPr>
        <w:t xml:space="preserve">the FCMC is not planning to increase the </w:t>
      </w:r>
      <w:bookmarkStart w:id="1" w:name="_GoBack"/>
      <w:bookmarkEnd w:id="1"/>
      <w:proofErr w:type="spellStart"/>
      <w:r w:rsidR="00F1225F" w:rsidRPr="00E5297B">
        <w:rPr>
          <w:rFonts w:ascii="Times New Roman" w:eastAsia="Times New Roman" w:hAnsi="Times New Roman" w:cs="Times New Roman"/>
          <w:b/>
          <w:kern w:val="28"/>
          <w:lang w:val="en-GB"/>
        </w:rPr>
        <w:t>CC</w:t>
      </w:r>
      <w:r w:rsidR="00F3378D" w:rsidRPr="00E5297B">
        <w:rPr>
          <w:rFonts w:ascii="Times New Roman" w:eastAsia="Times New Roman" w:hAnsi="Times New Roman" w:cs="Times New Roman"/>
          <w:b/>
          <w:kern w:val="28"/>
          <w:lang w:val="en-GB"/>
        </w:rPr>
        <w:t>y</w:t>
      </w:r>
      <w:r w:rsidR="00F1225F" w:rsidRPr="00E5297B">
        <w:rPr>
          <w:rFonts w:ascii="Times New Roman" w:eastAsia="Times New Roman" w:hAnsi="Times New Roman" w:cs="Times New Roman"/>
          <w:b/>
          <w:kern w:val="28"/>
          <w:lang w:val="en-GB"/>
        </w:rPr>
        <w:t>B</w:t>
      </w:r>
      <w:proofErr w:type="spellEnd"/>
      <w:r w:rsidR="00F1225F" w:rsidRPr="00E5297B">
        <w:rPr>
          <w:rFonts w:ascii="Times New Roman" w:eastAsia="Times New Roman" w:hAnsi="Times New Roman" w:cs="Times New Roman"/>
          <w:b/>
          <w:kern w:val="28"/>
          <w:lang w:val="en-GB"/>
        </w:rPr>
        <w:t xml:space="preserve"> rate over the coming </w:t>
      </w:r>
      <w:r w:rsidR="00FD3AB5" w:rsidRPr="00E5297B">
        <w:rPr>
          <w:rFonts w:ascii="Times New Roman" w:eastAsia="Times New Roman" w:hAnsi="Times New Roman" w:cs="Times New Roman"/>
          <w:b/>
          <w:kern w:val="28"/>
          <w:lang w:val="en-GB"/>
        </w:rPr>
        <w:t xml:space="preserve">two </w:t>
      </w:r>
      <w:r w:rsidR="00F1225F" w:rsidRPr="00E5297B">
        <w:rPr>
          <w:rFonts w:ascii="Times New Roman" w:eastAsia="Times New Roman" w:hAnsi="Times New Roman" w:cs="Times New Roman"/>
          <w:b/>
          <w:kern w:val="28"/>
          <w:lang w:val="en-GB"/>
        </w:rPr>
        <w:t>year</w:t>
      </w:r>
      <w:r w:rsidR="00FD3AB5" w:rsidRPr="00E5297B">
        <w:rPr>
          <w:rFonts w:ascii="Times New Roman" w:eastAsia="Times New Roman" w:hAnsi="Times New Roman" w:cs="Times New Roman"/>
          <w:b/>
          <w:kern w:val="28"/>
          <w:lang w:val="en-GB"/>
        </w:rPr>
        <w:t>s</w:t>
      </w:r>
      <w:r w:rsidR="00A460F4" w:rsidRPr="00E5297B">
        <w:rPr>
          <w:rFonts w:ascii="Times New Roman" w:eastAsia="Times New Roman" w:hAnsi="Times New Roman" w:cs="Times New Roman"/>
          <w:b/>
          <w:kern w:val="28"/>
          <w:lang w:val="en-GB"/>
        </w:rPr>
        <w:t xml:space="preserve">. </w:t>
      </w:r>
    </w:p>
    <w:sectPr w:rsidR="00A3730D" w:rsidRPr="00E5297B" w:rsidSect="00812F5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D41" w:rsidRDefault="00FF0D41" w:rsidP="0032368D">
      <w:pPr>
        <w:spacing w:after="0" w:line="240" w:lineRule="auto"/>
      </w:pPr>
      <w:r>
        <w:separator/>
      </w:r>
    </w:p>
  </w:endnote>
  <w:endnote w:type="continuationSeparator" w:id="0">
    <w:p w:rsidR="00FF0D41" w:rsidRDefault="00FF0D41"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D41" w:rsidRDefault="00FF0D41" w:rsidP="0032368D">
      <w:pPr>
        <w:spacing w:after="0" w:line="240" w:lineRule="auto"/>
      </w:pPr>
      <w:r>
        <w:separator/>
      </w:r>
    </w:p>
  </w:footnote>
  <w:footnote w:type="continuationSeparator" w:id="0">
    <w:p w:rsidR="00FF0D41" w:rsidRDefault="00FF0D41" w:rsidP="0032368D">
      <w:pPr>
        <w:spacing w:after="0" w:line="240" w:lineRule="auto"/>
      </w:pPr>
      <w:r>
        <w:continuationSeparator/>
      </w:r>
    </w:p>
  </w:footnote>
  <w:footnote w:id="1">
    <w:p w:rsidR="002577CC" w:rsidRPr="0097474B" w:rsidRDefault="002577CC" w:rsidP="002577CC">
      <w:pPr>
        <w:pStyle w:val="FootnoteText"/>
      </w:pPr>
      <w:r>
        <w:rPr>
          <w:rStyle w:val="FootnoteReference"/>
        </w:rPr>
        <w:footnoteRef/>
      </w:r>
      <w:r>
        <w:t xml:space="preserve"> </w:t>
      </w:r>
      <w:r w:rsidRPr="0097474B">
        <w:t xml:space="preserve">FCMC </w:t>
      </w:r>
      <w:proofErr w:type="spellStart"/>
      <w:r w:rsidRPr="0097474B">
        <w:t>annual</w:t>
      </w:r>
      <w:proofErr w:type="spellEnd"/>
      <w:r w:rsidRPr="0097474B">
        <w:t xml:space="preserve"> </w:t>
      </w:r>
      <w:proofErr w:type="spellStart"/>
      <w:r w:rsidR="008170D1">
        <w:t>banking</w:t>
      </w:r>
      <w:proofErr w:type="spellEnd"/>
      <w:r w:rsidR="008170D1">
        <w:t xml:space="preserve"> </w:t>
      </w:r>
      <w:proofErr w:type="spellStart"/>
      <w:r w:rsidRPr="0097474B">
        <w:t>survey</w:t>
      </w:r>
      <w:proofErr w:type="spellEnd"/>
      <w:r w:rsidRPr="0097474B">
        <w:t xml:space="preserve"> </w:t>
      </w:r>
      <w:proofErr w:type="spellStart"/>
      <w:r w:rsidRPr="0097474B">
        <w:t>on</w:t>
      </w:r>
      <w:proofErr w:type="spellEnd"/>
      <w:r w:rsidRPr="0097474B">
        <w:t xml:space="preserve"> </w:t>
      </w:r>
      <w:proofErr w:type="spellStart"/>
      <w:r w:rsidRPr="0097474B">
        <w:t>financial</w:t>
      </w:r>
      <w:proofErr w:type="spellEnd"/>
      <w:r w:rsidRPr="0097474B">
        <w:t xml:space="preserve"> </w:t>
      </w:r>
      <w:proofErr w:type="spellStart"/>
      <w:r w:rsidRPr="0097474B">
        <w:t>ratios</w:t>
      </w:r>
      <w:proofErr w:type="spellEnd"/>
      <w:r w:rsidRPr="0097474B">
        <w:t xml:space="preserve">, risks </w:t>
      </w:r>
      <w:proofErr w:type="spellStart"/>
      <w:r w:rsidRPr="0097474B">
        <w:t>and</w:t>
      </w:r>
      <w:proofErr w:type="spellEnd"/>
      <w:r w:rsidRPr="0097474B">
        <w:t xml:space="preserve"> </w:t>
      </w:r>
      <w:proofErr w:type="spellStart"/>
      <w:r w:rsidRPr="0097474B">
        <w:t>strategic</w:t>
      </w:r>
      <w:proofErr w:type="spellEnd"/>
      <w:r w:rsidRPr="0097474B">
        <w:t xml:space="preserve"> </w:t>
      </w:r>
      <w:proofErr w:type="spellStart"/>
      <w:r w:rsidRPr="0097474B">
        <w:t>forecast</w:t>
      </w:r>
      <w:proofErr w:type="spellEnd"/>
      <w:r w:rsidRPr="0097474B">
        <w:t xml:space="preserve"> </w:t>
      </w:r>
      <w:proofErr w:type="spellStart"/>
      <w:r w:rsidRPr="0097474B">
        <w:t>for</w:t>
      </w:r>
      <w:proofErr w:type="spellEnd"/>
      <w:r w:rsidRPr="0097474B">
        <w:t xml:space="preserve"> 2017. </w:t>
      </w:r>
    </w:p>
  </w:footnote>
  <w:footnote w:id="2">
    <w:p w:rsidR="00CA2374" w:rsidRPr="0097474B" w:rsidRDefault="00CA2374" w:rsidP="00CA2374">
      <w:pPr>
        <w:pStyle w:val="FootnoteText"/>
        <w:rPr>
          <w:lang w:val="en-GB"/>
        </w:rPr>
      </w:pPr>
      <w:r w:rsidRPr="0097474B">
        <w:rPr>
          <w:rStyle w:val="FootnoteReference"/>
          <w:lang w:val="en-GB"/>
        </w:rPr>
        <w:footnoteRef/>
      </w:r>
      <w:r w:rsidRPr="0097474B">
        <w:rPr>
          <w:lang w:val="en-GB"/>
        </w:rPr>
        <w:t xml:space="preserve"> </w:t>
      </w:r>
      <w:r w:rsidR="0097474B" w:rsidRPr="0097474B">
        <w:rPr>
          <w:rFonts w:ascii="Times New Roman" w:hAnsi="Times New Roman" w:cs="Times New Roman"/>
          <w:lang w:val="en-GB"/>
        </w:rPr>
        <w:t xml:space="preserve">Credit time series from Q4 1995 to Q3 2016 </w:t>
      </w:r>
    </w:p>
  </w:footnote>
  <w:footnote w:id="3">
    <w:p w:rsidR="00CA2374" w:rsidRPr="004A6AA0" w:rsidRDefault="00CA2374" w:rsidP="00CA2374">
      <w:pPr>
        <w:pStyle w:val="FootnoteText"/>
      </w:pPr>
      <w:r w:rsidRPr="0031554E">
        <w:rPr>
          <w:rStyle w:val="FootnoteReference"/>
        </w:rPr>
        <w:footnoteRef/>
      </w:r>
      <w:r w:rsidRPr="0031554E">
        <w:t xml:space="preserve"> </w:t>
      </w:r>
      <w:r w:rsidR="0097474B" w:rsidRPr="00DB4EEC">
        <w:rPr>
          <w:rFonts w:ascii="Times New Roman" w:hAnsi="Times New Roman" w:cs="Times New Roman"/>
          <w:lang w:val="en-GB"/>
        </w:rPr>
        <w:t>Credi</w:t>
      </w:r>
      <w:r w:rsidR="0097474B">
        <w:rPr>
          <w:rFonts w:ascii="Times New Roman" w:hAnsi="Times New Roman" w:cs="Times New Roman"/>
          <w:lang w:val="en-GB"/>
        </w:rPr>
        <w:t>t time series from Q4 1995 to Q4</w:t>
      </w:r>
      <w:r w:rsidR="0097474B" w:rsidRPr="00DB4EEC">
        <w:rPr>
          <w:rFonts w:ascii="Times New Roman" w:hAnsi="Times New Roman" w:cs="Times New Roman"/>
          <w:lang w:val="en-GB"/>
        </w:rPr>
        <w:t xml:space="preserve"> 201</w:t>
      </w:r>
      <w:r w:rsidR="0097474B">
        <w:rPr>
          <w:rFonts w:ascii="Times New Roman" w:hAnsi="Times New Roman" w:cs="Times New Roman"/>
          <w:lang w:val="en-GB"/>
        </w:rPr>
        <w:t>6</w:t>
      </w:r>
    </w:p>
    <w:p w:rsidR="00CA2374" w:rsidRDefault="00CA2374" w:rsidP="00CA2374">
      <w:pPr>
        <w:pStyle w:val="FootnoteText"/>
      </w:pPr>
    </w:p>
  </w:footnote>
  <w:footnote w:id="4">
    <w:p w:rsidR="00FB1F16" w:rsidRPr="00AE7021" w:rsidRDefault="00FB1F16" w:rsidP="00FB1F16">
      <w:pPr>
        <w:pStyle w:val="FootnoteText"/>
      </w:pPr>
      <w:r w:rsidRPr="00AE7021">
        <w:rPr>
          <w:rStyle w:val="FootnoteReference"/>
        </w:rPr>
        <w:footnoteRef/>
      </w:r>
      <w:r w:rsidRPr="00AE7021">
        <w:t xml:space="preserve"> </w:t>
      </w:r>
      <w:proofErr w:type="spellStart"/>
      <w:r w:rsidRPr="00AE7021">
        <w:t>Macroeconomic</w:t>
      </w:r>
      <w:proofErr w:type="spellEnd"/>
      <w:r w:rsidRPr="00AE7021">
        <w:t xml:space="preserve"> </w:t>
      </w:r>
      <w:proofErr w:type="spellStart"/>
      <w:r w:rsidRPr="00AE7021">
        <w:t>report</w:t>
      </w:r>
      <w:proofErr w:type="spellEnd"/>
      <w:r w:rsidRPr="00AE7021">
        <w:t xml:space="preserve"> </w:t>
      </w:r>
      <w:proofErr w:type="spellStart"/>
      <w:r w:rsidRPr="00AE7021">
        <w:t>for</w:t>
      </w:r>
      <w:proofErr w:type="spellEnd"/>
      <w:r w:rsidRPr="00AE7021">
        <w:t xml:space="preserve"> </w:t>
      </w:r>
      <w:proofErr w:type="spellStart"/>
      <w:r w:rsidRPr="00AE7021">
        <w:t>December</w:t>
      </w:r>
      <w:proofErr w:type="spellEnd"/>
      <w:r w:rsidRPr="00AE7021">
        <w:t xml:space="preserve"> 2016 </w:t>
      </w:r>
      <w:proofErr w:type="spellStart"/>
      <w:r w:rsidRPr="00AE7021">
        <w:t>by</w:t>
      </w:r>
      <w:proofErr w:type="spellEnd"/>
      <w:r w:rsidRPr="00AE7021">
        <w:t xml:space="preserve"> </w:t>
      </w:r>
      <w:proofErr w:type="spellStart"/>
      <w:r w:rsidRPr="00AE7021">
        <w:t>the</w:t>
      </w:r>
      <w:proofErr w:type="spellEnd"/>
      <w:r w:rsidRPr="00AE7021">
        <w:t xml:space="preserve"> </w:t>
      </w:r>
      <w:proofErr w:type="spellStart"/>
      <w:r w:rsidRPr="00AE7021">
        <w:t>Bank</w:t>
      </w:r>
      <w:proofErr w:type="spellEnd"/>
      <w:r w:rsidRPr="00AE7021">
        <w:t xml:space="preserve"> </w:t>
      </w:r>
      <w:proofErr w:type="spellStart"/>
      <w:r w:rsidRPr="00AE7021">
        <w:t>of</w:t>
      </w:r>
      <w:proofErr w:type="spellEnd"/>
      <w:r w:rsidRPr="00AE7021">
        <w:t xml:space="preserve"> </w:t>
      </w:r>
      <w:proofErr w:type="spellStart"/>
      <w:r w:rsidRPr="00AE7021">
        <w:t>Latvia</w:t>
      </w:r>
      <w:proofErr w:type="spellEnd"/>
      <w:r w:rsidRPr="00AE7021">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8D"/>
    <w:rsid w:val="000219CE"/>
    <w:rsid w:val="00033609"/>
    <w:rsid w:val="000416B6"/>
    <w:rsid w:val="00043684"/>
    <w:rsid w:val="00056361"/>
    <w:rsid w:val="0006360F"/>
    <w:rsid w:val="00076B19"/>
    <w:rsid w:val="0007732A"/>
    <w:rsid w:val="0008428A"/>
    <w:rsid w:val="000B0917"/>
    <w:rsid w:val="000B500D"/>
    <w:rsid w:val="000C5528"/>
    <w:rsid w:val="000D0CFE"/>
    <w:rsid w:val="00102925"/>
    <w:rsid w:val="0011553F"/>
    <w:rsid w:val="00121888"/>
    <w:rsid w:val="00151AC3"/>
    <w:rsid w:val="0015490A"/>
    <w:rsid w:val="00174F2D"/>
    <w:rsid w:val="0019182F"/>
    <w:rsid w:val="00192919"/>
    <w:rsid w:val="00196BE7"/>
    <w:rsid w:val="001B3A24"/>
    <w:rsid w:val="001B4A29"/>
    <w:rsid w:val="001C2181"/>
    <w:rsid w:val="001C4A4B"/>
    <w:rsid w:val="001D7E5E"/>
    <w:rsid w:val="001E4DEF"/>
    <w:rsid w:val="001E5B20"/>
    <w:rsid w:val="001E5DDE"/>
    <w:rsid w:val="001F0D5B"/>
    <w:rsid w:val="001F3CBB"/>
    <w:rsid w:val="001F7184"/>
    <w:rsid w:val="00200585"/>
    <w:rsid w:val="00211C78"/>
    <w:rsid w:val="002204A7"/>
    <w:rsid w:val="0025420C"/>
    <w:rsid w:val="00257798"/>
    <w:rsid w:val="002577CC"/>
    <w:rsid w:val="002774E0"/>
    <w:rsid w:val="00282D6E"/>
    <w:rsid w:val="002A37B2"/>
    <w:rsid w:val="002A6B0A"/>
    <w:rsid w:val="002B1FB5"/>
    <w:rsid w:val="002C0998"/>
    <w:rsid w:val="002C17C8"/>
    <w:rsid w:val="002D0028"/>
    <w:rsid w:val="002D61CC"/>
    <w:rsid w:val="002D763E"/>
    <w:rsid w:val="002E1221"/>
    <w:rsid w:val="002E2D88"/>
    <w:rsid w:val="002E458C"/>
    <w:rsid w:val="0030576F"/>
    <w:rsid w:val="0031554E"/>
    <w:rsid w:val="00317341"/>
    <w:rsid w:val="0032368D"/>
    <w:rsid w:val="00327AF2"/>
    <w:rsid w:val="003359AC"/>
    <w:rsid w:val="00336DFF"/>
    <w:rsid w:val="00361118"/>
    <w:rsid w:val="00373687"/>
    <w:rsid w:val="003811B7"/>
    <w:rsid w:val="003950AB"/>
    <w:rsid w:val="00395E14"/>
    <w:rsid w:val="003A1C21"/>
    <w:rsid w:val="003A71F7"/>
    <w:rsid w:val="003A788B"/>
    <w:rsid w:val="003C0C57"/>
    <w:rsid w:val="003C6059"/>
    <w:rsid w:val="003D03F5"/>
    <w:rsid w:val="003D464B"/>
    <w:rsid w:val="003D54E7"/>
    <w:rsid w:val="003F0ACB"/>
    <w:rsid w:val="004058BC"/>
    <w:rsid w:val="00427AFE"/>
    <w:rsid w:val="0044271E"/>
    <w:rsid w:val="004458CB"/>
    <w:rsid w:val="0046415C"/>
    <w:rsid w:val="00471FDD"/>
    <w:rsid w:val="004802E1"/>
    <w:rsid w:val="00480EAD"/>
    <w:rsid w:val="004821E2"/>
    <w:rsid w:val="00483487"/>
    <w:rsid w:val="00485251"/>
    <w:rsid w:val="004A48D8"/>
    <w:rsid w:val="004A6195"/>
    <w:rsid w:val="004A6271"/>
    <w:rsid w:val="004D2A61"/>
    <w:rsid w:val="004E4EFF"/>
    <w:rsid w:val="004E598C"/>
    <w:rsid w:val="004F57E6"/>
    <w:rsid w:val="004F663E"/>
    <w:rsid w:val="0050101D"/>
    <w:rsid w:val="0051255E"/>
    <w:rsid w:val="00512D34"/>
    <w:rsid w:val="0051567D"/>
    <w:rsid w:val="00532E21"/>
    <w:rsid w:val="00533B15"/>
    <w:rsid w:val="00540530"/>
    <w:rsid w:val="005530EC"/>
    <w:rsid w:val="00555708"/>
    <w:rsid w:val="005557E7"/>
    <w:rsid w:val="005809B2"/>
    <w:rsid w:val="00584828"/>
    <w:rsid w:val="005916F9"/>
    <w:rsid w:val="00597727"/>
    <w:rsid w:val="005B43FD"/>
    <w:rsid w:val="005C192C"/>
    <w:rsid w:val="005E27EE"/>
    <w:rsid w:val="005F5E68"/>
    <w:rsid w:val="005F6B02"/>
    <w:rsid w:val="005F6B51"/>
    <w:rsid w:val="0060248D"/>
    <w:rsid w:val="00626D69"/>
    <w:rsid w:val="00640A5B"/>
    <w:rsid w:val="00647385"/>
    <w:rsid w:val="006506BC"/>
    <w:rsid w:val="00652F2C"/>
    <w:rsid w:val="006852AB"/>
    <w:rsid w:val="0068695B"/>
    <w:rsid w:val="00694A1E"/>
    <w:rsid w:val="006A2EA8"/>
    <w:rsid w:val="006A5D61"/>
    <w:rsid w:val="006B0555"/>
    <w:rsid w:val="006B3F2B"/>
    <w:rsid w:val="006D6D14"/>
    <w:rsid w:val="006F3C5A"/>
    <w:rsid w:val="007054B6"/>
    <w:rsid w:val="00721508"/>
    <w:rsid w:val="00722FBC"/>
    <w:rsid w:val="00732145"/>
    <w:rsid w:val="0075295B"/>
    <w:rsid w:val="00755306"/>
    <w:rsid w:val="00765BB3"/>
    <w:rsid w:val="007711FA"/>
    <w:rsid w:val="007825A8"/>
    <w:rsid w:val="00786278"/>
    <w:rsid w:val="007A2552"/>
    <w:rsid w:val="007A3364"/>
    <w:rsid w:val="007A6003"/>
    <w:rsid w:val="007B70B4"/>
    <w:rsid w:val="007C062F"/>
    <w:rsid w:val="007D0F9E"/>
    <w:rsid w:val="007D6A04"/>
    <w:rsid w:val="007F0B1F"/>
    <w:rsid w:val="007F27EB"/>
    <w:rsid w:val="007F43A8"/>
    <w:rsid w:val="008018ED"/>
    <w:rsid w:val="00803B31"/>
    <w:rsid w:val="008045C6"/>
    <w:rsid w:val="00812F55"/>
    <w:rsid w:val="008153A2"/>
    <w:rsid w:val="008170D1"/>
    <w:rsid w:val="00823AC7"/>
    <w:rsid w:val="00827011"/>
    <w:rsid w:val="00834128"/>
    <w:rsid w:val="0086001F"/>
    <w:rsid w:val="00860D9A"/>
    <w:rsid w:val="00866B9E"/>
    <w:rsid w:val="00880092"/>
    <w:rsid w:val="008971A7"/>
    <w:rsid w:val="008B07C8"/>
    <w:rsid w:val="008C4114"/>
    <w:rsid w:val="008E541C"/>
    <w:rsid w:val="008F031D"/>
    <w:rsid w:val="008F3BC5"/>
    <w:rsid w:val="009036F8"/>
    <w:rsid w:val="00906956"/>
    <w:rsid w:val="009107FF"/>
    <w:rsid w:val="0091533F"/>
    <w:rsid w:val="00920DFF"/>
    <w:rsid w:val="00932616"/>
    <w:rsid w:val="009538AA"/>
    <w:rsid w:val="009654B7"/>
    <w:rsid w:val="00970B53"/>
    <w:rsid w:val="00973D6F"/>
    <w:rsid w:val="0097474B"/>
    <w:rsid w:val="00984E74"/>
    <w:rsid w:val="00990449"/>
    <w:rsid w:val="009A5CAC"/>
    <w:rsid w:val="009D133E"/>
    <w:rsid w:val="009D1805"/>
    <w:rsid w:val="009D5C3F"/>
    <w:rsid w:val="009E69AE"/>
    <w:rsid w:val="009F4B08"/>
    <w:rsid w:val="00A066A5"/>
    <w:rsid w:val="00A06DCF"/>
    <w:rsid w:val="00A111D3"/>
    <w:rsid w:val="00A343F8"/>
    <w:rsid w:val="00A37284"/>
    <w:rsid w:val="00A3730D"/>
    <w:rsid w:val="00A460F4"/>
    <w:rsid w:val="00A52BBE"/>
    <w:rsid w:val="00A60AD7"/>
    <w:rsid w:val="00A63FA3"/>
    <w:rsid w:val="00A81C4E"/>
    <w:rsid w:val="00AB0804"/>
    <w:rsid w:val="00AB7D3C"/>
    <w:rsid w:val="00AC3B42"/>
    <w:rsid w:val="00AC487D"/>
    <w:rsid w:val="00AC5314"/>
    <w:rsid w:val="00AD0F9A"/>
    <w:rsid w:val="00AD0FED"/>
    <w:rsid w:val="00AE7021"/>
    <w:rsid w:val="00AF3187"/>
    <w:rsid w:val="00AF5A22"/>
    <w:rsid w:val="00B131EB"/>
    <w:rsid w:val="00B14758"/>
    <w:rsid w:val="00B228F2"/>
    <w:rsid w:val="00B340E6"/>
    <w:rsid w:val="00B35AC6"/>
    <w:rsid w:val="00B50E30"/>
    <w:rsid w:val="00B57DE1"/>
    <w:rsid w:val="00B66C4D"/>
    <w:rsid w:val="00B70515"/>
    <w:rsid w:val="00B7762B"/>
    <w:rsid w:val="00B933DE"/>
    <w:rsid w:val="00B94FA0"/>
    <w:rsid w:val="00BC61BA"/>
    <w:rsid w:val="00BD6400"/>
    <w:rsid w:val="00BE4B82"/>
    <w:rsid w:val="00BE4CD6"/>
    <w:rsid w:val="00BE6527"/>
    <w:rsid w:val="00BF4770"/>
    <w:rsid w:val="00C01DFE"/>
    <w:rsid w:val="00C26764"/>
    <w:rsid w:val="00C464D6"/>
    <w:rsid w:val="00C51304"/>
    <w:rsid w:val="00C65FE3"/>
    <w:rsid w:val="00C66A7B"/>
    <w:rsid w:val="00CA2374"/>
    <w:rsid w:val="00CB1528"/>
    <w:rsid w:val="00CB6ADE"/>
    <w:rsid w:val="00CC708A"/>
    <w:rsid w:val="00CC7720"/>
    <w:rsid w:val="00D03E0C"/>
    <w:rsid w:val="00D07221"/>
    <w:rsid w:val="00D121EA"/>
    <w:rsid w:val="00D225CA"/>
    <w:rsid w:val="00D22B45"/>
    <w:rsid w:val="00D336FE"/>
    <w:rsid w:val="00D43F90"/>
    <w:rsid w:val="00D52888"/>
    <w:rsid w:val="00D828D8"/>
    <w:rsid w:val="00D90F96"/>
    <w:rsid w:val="00DA22B5"/>
    <w:rsid w:val="00DB689E"/>
    <w:rsid w:val="00DC2C50"/>
    <w:rsid w:val="00DC5BC8"/>
    <w:rsid w:val="00DD7B69"/>
    <w:rsid w:val="00DE2350"/>
    <w:rsid w:val="00DF45EE"/>
    <w:rsid w:val="00DF4896"/>
    <w:rsid w:val="00E11FC9"/>
    <w:rsid w:val="00E16D92"/>
    <w:rsid w:val="00E20ACF"/>
    <w:rsid w:val="00E479DE"/>
    <w:rsid w:val="00E5297B"/>
    <w:rsid w:val="00E52BC5"/>
    <w:rsid w:val="00E6384B"/>
    <w:rsid w:val="00E6583E"/>
    <w:rsid w:val="00E72ACD"/>
    <w:rsid w:val="00E76600"/>
    <w:rsid w:val="00E9329D"/>
    <w:rsid w:val="00EA0FCB"/>
    <w:rsid w:val="00EA38B7"/>
    <w:rsid w:val="00EA39EE"/>
    <w:rsid w:val="00ED2B36"/>
    <w:rsid w:val="00ED4E21"/>
    <w:rsid w:val="00EE1D72"/>
    <w:rsid w:val="00EE5136"/>
    <w:rsid w:val="00EE74AB"/>
    <w:rsid w:val="00F1225F"/>
    <w:rsid w:val="00F3378D"/>
    <w:rsid w:val="00F40422"/>
    <w:rsid w:val="00F4571C"/>
    <w:rsid w:val="00F4649E"/>
    <w:rsid w:val="00F46EF0"/>
    <w:rsid w:val="00F511EA"/>
    <w:rsid w:val="00F75EF8"/>
    <w:rsid w:val="00F83F56"/>
    <w:rsid w:val="00F83F5F"/>
    <w:rsid w:val="00F85351"/>
    <w:rsid w:val="00FB1F16"/>
    <w:rsid w:val="00FC3E17"/>
    <w:rsid w:val="00FD00C8"/>
    <w:rsid w:val="00FD2440"/>
    <w:rsid w:val="00FD3AB5"/>
    <w:rsid w:val="00FF0D41"/>
    <w:rsid w:val="00FF0E16"/>
    <w:rsid w:val="00FF10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aliases w:val="Footnote Reference Number,Footnote Reference_LVL6,Footnote Reference_LVL61,Footnote Reference_LVL62,Footnote Reference_LVL63,Footnote Reference_LVL64"/>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 w:type="character" w:styleId="Strong">
    <w:name w:val="Strong"/>
    <w:basedOn w:val="DefaultParagraphFont"/>
    <w:uiPriority w:val="22"/>
    <w:qFormat/>
    <w:rsid w:val="00765BB3"/>
    <w:rPr>
      <w:b/>
      <w:bCs/>
    </w:rPr>
  </w:style>
  <w:style w:type="character" w:styleId="Emphasis">
    <w:name w:val="Emphasis"/>
    <w:uiPriority w:val="20"/>
    <w:qFormat/>
    <w:rsid w:val="0097474B"/>
    <w:rPr>
      <w:b/>
      <w:bCs/>
      <w:i/>
      <w:iCs/>
      <w:spacing w:val="10"/>
    </w:rPr>
  </w:style>
  <w:style w:type="character" w:customStyle="1" w:styleId="st1">
    <w:name w:val="st1"/>
    <w:basedOn w:val="DefaultParagraphFont"/>
    <w:rsid w:val="0097474B"/>
  </w:style>
  <w:style w:type="character" w:customStyle="1" w:styleId="apple-converted-space">
    <w:name w:val="apple-converted-space"/>
    <w:basedOn w:val="DefaultParagraphFont"/>
    <w:rsid w:val="00A52B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aliases w:val="Footnote Reference Number,Footnote Reference_LVL6,Footnote Reference_LVL61,Footnote Reference_LVL62,Footnote Reference_LVL63,Footnote Reference_LVL64"/>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 w:type="character" w:styleId="Strong">
    <w:name w:val="Strong"/>
    <w:basedOn w:val="DefaultParagraphFont"/>
    <w:uiPriority w:val="22"/>
    <w:qFormat/>
    <w:rsid w:val="00765BB3"/>
    <w:rPr>
      <w:b/>
      <w:bCs/>
    </w:rPr>
  </w:style>
  <w:style w:type="character" w:styleId="Emphasis">
    <w:name w:val="Emphasis"/>
    <w:uiPriority w:val="20"/>
    <w:qFormat/>
    <w:rsid w:val="0097474B"/>
    <w:rPr>
      <w:b/>
      <w:bCs/>
      <w:i/>
      <w:iCs/>
      <w:spacing w:val="10"/>
    </w:rPr>
  </w:style>
  <w:style w:type="character" w:customStyle="1" w:styleId="st1">
    <w:name w:val="st1"/>
    <w:basedOn w:val="DefaultParagraphFont"/>
    <w:rsid w:val="0097474B"/>
  </w:style>
  <w:style w:type="character" w:customStyle="1" w:styleId="apple-converted-space">
    <w:name w:val="apple-converted-space"/>
    <w:basedOn w:val="DefaultParagraphFont"/>
    <w:rsid w:val="00A52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060F4-AD41-4AFE-BA86-2D8482F14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3792</Words>
  <Characters>2163</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Jelena Zubkova</cp:lastModifiedBy>
  <cp:revision>21</cp:revision>
  <cp:lastPrinted>2017-03-21T08:09:00Z</cp:lastPrinted>
  <dcterms:created xsi:type="dcterms:W3CDTF">2017-03-27T07:20:00Z</dcterms:created>
  <dcterms:modified xsi:type="dcterms:W3CDTF">2017-05-15T11:12:00Z</dcterms:modified>
</cp:coreProperties>
</file>